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72F3" w:rsidRPr="00B672F3" w:rsidRDefault="00B672F3" w:rsidP="00B672F3">
      <w:pPr>
        <w:overflowPunct w:val="0"/>
        <w:autoSpaceDE w:val="0"/>
        <w:autoSpaceDN w:val="0"/>
        <w:adjustRightInd w:val="0"/>
        <w:spacing w:after="0" w:line="240" w:lineRule="auto"/>
        <w:textAlignment w:val="baseline"/>
        <w:rPr>
          <w:rFonts w:ascii="Arial" w:eastAsia="Times New Roman" w:hAnsi="Arial" w:cs="Arial"/>
          <w:b/>
          <w:sz w:val="32"/>
          <w:szCs w:val="32"/>
          <w:lang w:val="de-DE" w:eastAsia="de-DE"/>
        </w:rPr>
      </w:pPr>
    </w:p>
    <w:p w:rsidR="00B672F3" w:rsidRPr="00B672F3" w:rsidRDefault="00B672F3" w:rsidP="00B672F3">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lang w:val="de-DE" w:eastAsia="de-DE"/>
        </w:rPr>
      </w:pPr>
    </w:p>
    <w:p w:rsidR="00B672F3" w:rsidRPr="00B672F3" w:rsidRDefault="00B672F3" w:rsidP="00B672F3">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0"/>
          <w:lang w:val="de-DE" w:eastAsia="de-DE"/>
        </w:rPr>
      </w:pPr>
    </w:p>
    <w:p w:rsidR="00B672F3" w:rsidRPr="00B672F3" w:rsidRDefault="00B672F3" w:rsidP="00B672F3">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0"/>
          <w:lang w:val="de-DE" w:eastAsia="de-DE"/>
        </w:rPr>
      </w:pPr>
    </w:p>
    <w:p w:rsidR="00B672F3" w:rsidRPr="00B672F3" w:rsidRDefault="00B672F3" w:rsidP="00B672F3">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0"/>
          <w:lang w:val="de-DE" w:eastAsia="de-DE"/>
        </w:rPr>
      </w:pPr>
    </w:p>
    <w:p w:rsidR="00B672F3" w:rsidRPr="00B672F3" w:rsidRDefault="00B672F3" w:rsidP="00B672F3">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0"/>
          <w:lang w:val="de-DE" w:eastAsia="de-DE"/>
        </w:rPr>
      </w:pPr>
    </w:p>
    <w:p w:rsidR="00B672F3" w:rsidRPr="00B672F3" w:rsidRDefault="00B672F3" w:rsidP="00B672F3">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0"/>
          <w:lang w:val="de-DE" w:eastAsia="de-DE"/>
        </w:rPr>
      </w:pPr>
    </w:p>
    <w:p w:rsidR="00B672F3" w:rsidRPr="00B672F3" w:rsidRDefault="00B672F3" w:rsidP="00B672F3">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0"/>
          <w:lang w:val="de-DE" w:eastAsia="de-DE"/>
        </w:rPr>
      </w:pPr>
    </w:p>
    <w:p w:rsidR="00B672F3" w:rsidRPr="00B672F3" w:rsidRDefault="00B672F3" w:rsidP="00B672F3">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0"/>
          <w:lang w:val="de-DE" w:eastAsia="de-DE"/>
        </w:rPr>
      </w:pPr>
    </w:p>
    <w:p w:rsidR="00B672F3" w:rsidRPr="00B672F3" w:rsidRDefault="00B672F3" w:rsidP="00B672F3">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0"/>
          <w:lang w:val="de-DE" w:eastAsia="de-DE"/>
        </w:rPr>
      </w:pPr>
    </w:p>
    <w:p w:rsidR="00B672F3" w:rsidRPr="00B672F3" w:rsidRDefault="00B672F3" w:rsidP="00B672F3">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0"/>
          <w:lang w:val="de-DE" w:eastAsia="de-DE"/>
        </w:rPr>
      </w:pPr>
    </w:p>
    <w:p w:rsidR="00B672F3" w:rsidRPr="00B672F3" w:rsidRDefault="00B672F3" w:rsidP="00B672F3">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0"/>
          <w:lang w:val="de-DE" w:eastAsia="de-DE"/>
        </w:rPr>
      </w:pPr>
    </w:p>
    <w:p w:rsidR="00735C25" w:rsidRDefault="00961888" w:rsidP="00735C25">
      <w:pPr>
        <w:overflowPunct w:val="0"/>
        <w:autoSpaceDE w:val="0"/>
        <w:autoSpaceDN w:val="0"/>
        <w:adjustRightInd w:val="0"/>
        <w:spacing w:after="0" w:line="360" w:lineRule="auto"/>
        <w:jc w:val="center"/>
        <w:textAlignment w:val="baseline"/>
        <w:rPr>
          <w:rFonts w:ascii="Arial" w:eastAsia="Times New Roman" w:hAnsi="Arial" w:cs="Arial"/>
          <w:b/>
          <w:sz w:val="40"/>
          <w:szCs w:val="40"/>
          <w:lang w:val="en-US" w:eastAsia="de-DE"/>
        </w:rPr>
      </w:pPr>
      <w:r w:rsidRPr="00961888">
        <w:rPr>
          <w:rFonts w:ascii="Arial" w:eastAsia="Times New Roman" w:hAnsi="Arial" w:cs="Arial"/>
          <w:b/>
          <w:sz w:val="40"/>
          <w:szCs w:val="40"/>
          <w:lang w:val="en-US" w:eastAsia="de-DE"/>
        </w:rPr>
        <w:t xml:space="preserve">Exploring the role of pipecolic acid </w:t>
      </w:r>
    </w:p>
    <w:p w:rsidR="00735C25" w:rsidRDefault="00961888" w:rsidP="00735C25">
      <w:pPr>
        <w:overflowPunct w:val="0"/>
        <w:autoSpaceDE w:val="0"/>
        <w:autoSpaceDN w:val="0"/>
        <w:adjustRightInd w:val="0"/>
        <w:spacing w:after="0" w:line="360" w:lineRule="auto"/>
        <w:jc w:val="center"/>
        <w:textAlignment w:val="baseline"/>
        <w:rPr>
          <w:rFonts w:ascii="Arial" w:eastAsia="Times New Roman" w:hAnsi="Arial" w:cs="Arial"/>
          <w:b/>
          <w:sz w:val="40"/>
          <w:szCs w:val="40"/>
          <w:lang w:val="en-US" w:eastAsia="de-DE"/>
        </w:rPr>
      </w:pPr>
      <w:proofErr w:type="gramStart"/>
      <w:r w:rsidRPr="00961888">
        <w:rPr>
          <w:rFonts w:ascii="Arial" w:eastAsia="Times New Roman" w:hAnsi="Arial" w:cs="Arial"/>
          <w:b/>
          <w:sz w:val="40"/>
          <w:szCs w:val="40"/>
          <w:lang w:val="en-US" w:eastAsia="de-DE"/>
        </w:rPr>
        <w:t>in</w:t>
      </w:r>
      <w:proofErr w:type="gramEnd"/>
      <w:r w:rsidRPr="00961888">
        <w:rPr>
          <w:rFonts w:ascii="Arial" w:eastAsia="Times New Roman" w:hAnsi="Arial" w:cs="Arial"/>
          <w:b/>
          <w:sz w:val="40"/>
          <w:szCs w:val="40"/>
          <w:lang w:val="en-US" w:eastAsia="de-DE"/>
        </w:rPr>
        <w:t xml:space="preserve"> defence priming and inducible immunity </w:t>
      </w:r>
    </w:p>
    <w:p w:rsidR="00B672F3" w:rsidRPr="00961888" w:rsidRDefault="00961888" w:rsidP="00735C25">
      <w:pPr>
        <w:overflowPunct w:val="0"/>
        <w:autoSpaceDE w:val="0"/>
        <w:autoSpaceDN w:val="0"/>
        <w:adjustRightInd w:val="0"/>
        <w:spacing w:after="0" w:line="360" w:lineRule="auto"/>
        <w:jc w:val="center"/>
        <w:textAlignment w:val="baseline"/>
        <w:rPr>
          <w:rFonts w:ascii="Arial" w:eastAsia="Times New Roman" w:hAnsi="Arial" w:cs="Arial"/>
          <w:sz w:val="24"/>
          <w:szCs w:val="20"/>
          <w:lang w:val="en-US" w:eastAsia="de-DE"/>
        </w:rPr>
      </w:pPr>
      <w:proofErr w:type="gramStart"/>
      <w:r w:rsidRPr="00961888">
        <w:rPr>
          <w:rFonts w:ascii="Arial" w:eastAsia="Times New Roman" w:hAnsi="Arial" w:cs="Arial"/>
          <w:b/>
          <w:sz w:val="40"/>
          <w:szCs w:val="40"/>
          <w:lang w:val="en-US" w:eastAsia="de-DE"/>
        </w:rPr>
        <w:t>in</w:t>
      </w:r>
      <w:proofErr w:type="gramEnd"/>
      <w:r w:rsidR="00735C25">
        <w:rPr>
          <w:rFonts w:ascii="Arial" w:eastAsia="Times New Roman" w:hAnsi="Arial" w:cs="Arial"/>
          <w:b/>
          <w:sz w:val="40"/>
          <w:szCs w:val="40"/>
          <w:lang w:val="en-US" w:eastAsia="de-DE"/>
        </w:rPr>
        <w:t xml:space="preserve"> </w:t>
      </w:r>
      <w:r>
        <w:rPr>
          <w:rFonts w:ascii="Arial" w:eastAsia="Times New Roman" w:hAnsi="Arial" w:cs="Arial"/>
          <w:b/>
          <w:i/>
          <w:sz w:val="40"/>
          <w:szCs w:val="40"/>
          <w:lang w:val="en-US" w:eastAsia="de-DE"/>
        </w:rPr>
        <w:t>Arabidopsis thaliana</w:t>
      </w:r>
      <w:r>
        <w:rPr>
          <w:rFonts w:ascii="Arial" w:eastAsia="Times New Roman" w:hAnsi="Arial" w:cs="Arial"/>
          <w:b/>
          <w:sz w:val="40"/>
          <w:szCs w:val="40"/>
          <w:lang w:val="en-US" w:eastAsia="de-DE"/>
        </w:rPr>
        <w:t xml:space="preserve"> (L.) </w:t>
      </w:r>
      <w:proofErr w:type="gramStart"/>
      <w:r>
        <w:rPr>
          <w:rFonts w:ascii="Arial" w:eastAsia="Times New Roman" w:hAnsi="Arial" w:cs="Arial"/>
          <w:b/>
          <w:sz w:val="40"/>
          <w:szCs w:val="40"/>
          <w:lang w:val="en-US" w:eastAsia="de-DE"/>
        </w:rPr>
        <w:t>Heynh.</w:t>
      </w:r>
      <w:proofErr w:type="gramEnd"/>
    </w:p>
    <w:p w:rsidR="00B672F3" w:rsidRPr="00961888" w:rsidRDefault="00B672F3" w:rsidP="00B672F3">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0"/>
          <w:lang w:val="en-US" w:eastAsia="de-DE"/>
        </w:rPr>
      </w:pPr>
    </w:p>
    <w:p w:rsidR="00B672F3" w:rsidRPr="00961888" w:rsidRDefault="00B672F3" w:rsidP="00B672F3">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0"/>
          <w:lang w:val="en-US" w:eastAsia="de-DE"/>
        </w:rPr>
      </w:pPr>
    </w:p>
    <w:p w:rsidR="00B672F3" w:rsidRPr="00961888" w:rsidRDefault="00B672F3" w:rsidP="00B672F3">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0"/>
          <w:lang w:val="en-US" w:eastAsia="de-DE"/>
        </w:rPr>
      </w:pPr>
    </w:p>
    <w:p w:rsidR="00B672F3" w:rsidRPr="00961888" w:rsidRDefault="00B672F3" w:rsidP="00B672F3">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0"/>
          <w:lang w:val="en-US" w:eastAsia="de-DE"/>
        </w:rPr>
      </w:pPr>
    </w:p>
    <w:p w:rsidR="00B672F3" w:rsidRPr="00961888" w:rsidRDefault="00B672F3" w:rsidP="00B672F3">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0"/>
          <w:lang w:val="en-US" w:eastAsia="de-DE"/>
        </w:rPr>
      </w:pPr>
    </w:p>
    <w:p w:rsidR="00B672F3" w:rsidRPr="00961888" w:rsidRDefault="00B672F3" w:rsidP="00B672F3">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0"/>
          <w:lang w:val="en-US" w:eastAsia="de-DE"/>
        </w:rPr>
      </w:pPr>
    </w:p>
    <w:p w:rsidR="00B672F3" w:rsidRPr="00961888" w:rsidRDefault="00B672F3" w:rsidP="00B672F3">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0"/>
          <w:lang w:val="en-US" w:eastAsia="de-DE"/>
        </w:rPr>
      </w:pPr>
    </w:p>
    <w:p w:rsidR="00B672F3" w:rsidRPr="00B672F3" w:rsidRDefault="00B672F3" w:rsidP="00B672F3">
      <w:pPr>
        <w:overflowPunct w:val="0"/>
        <w:autoSpaceDE w:val="0"/>
        <w:autoSpaceDN w:val="0"/>
        <w:adjustRightInd w:val="0"/>
        <w:spacing w:after="0" w:line="240" w:lineRule="auto"/>
        <w:jc w:val="center"/>
        <w:textAlignment w:val="baseline"/>
        <w:rPr>
          <w:rFonts w:ascii="Arial" w:eastAsia="Times New Roman" w:hAnsi="Arial" w:cs="Arial"/>
          <w:sz w:val="28"/>
          <w:szCs w:val="28"/>
          <w:lang w:val="de-DE" w:eastAsia="de-DE"/>
        </w:rPr>
      </w:pPr>
      <w:r w:rsidRPr="00B672F3">
        <w:rPr>
          <w:rFonts w:ascii="Arial" w:eastAsia="Times New Roman" w:hAnsi="Arial" w:cs="Arial"/>
          <w:sz w:val="28"/>
          <w:szCs w:val="28"/>
          <w:lang w:val="de-DE" w:eastAsia="de-DE"/>
        </w:rPr>
        <w:t>Inaugural-Dissertation</w:t>
      </w:r>
    </w:p>
    <w:p w:rsidR="00B672F3" w:rsidRPr="00B672F3" w:rsidRDefault="00B672F3" w:rsidP="00B672F3">
      <w:pPr>
        <w:overflowPunct w:val="0"/>
        <w:autoSpaceDE w:val="0"/>
        <w:autoSpaceDN w:val="0"/>
        <w:adjustRightInd w:val="0"/>
        <w:spacing w:after="0" w:line="240" w:lineRule="auto"/>
        <w:jc w:val="center"/>
        <w:textAlignment w:val="baseline"/>
        <w:rPr>
          <w:rFonts w:ascii="Arial" w:eastAsia="Times New Roman" w:hAnsi="Arial" w:cs="Arial"/>
          <w:sz w:val="28"/>
          <w:szCs w:val="28"/>
          <w:lang w:val="de-DE" w:eastAsia="de-DE"/>
        </w:rPr>
      </w:pPr>
    </w:p>
    <w:p w:rsidR="00B672F3" w:rsidRPr="00B672F3" w:rsidRDefault="00B672F3" w:rsidP="00B672F3">
      <w:pPr>
        <w:overflowPunct w:val="0"/>
        <w:autoSpaceDE w:val="0"/>
        <w:autoSpaceDN w:val="0"/>
        <w:adjustRightInd w:val="0"/>
        <w:spacing w:after="0" w:line="240" w:lineRule="auto"/>
        <w:jc w:val="center"/>
        <w:textAlignment w:val="baseline"/>
        <w:rPr>
          <w:rFonts w:ascii="Arial" w:eastAsia="Times New Roman" w:hAnsi="Arial" w:cs="Arial"/>
          <w:sz w:val="24"/>
          <w:szCs w:val="20"/>
          <w:lang w:val="de-DE" w:eastAsia="de-DE"/>
        </w:rPr>
      </w:pPr>
    </w:p>
    <w:p w:rsidR="00B672F3" w:rsidRPr="00B672F3" w:rsidRDefault="00B672F3" w:rsidP="00B672F3">
      <w:pPr>
        <w:overflowPunct w:val="0"/>
        <w:autoSpaceDE w:val="0"/>
        <w:autoSpaceDN w:val="0"/>
        <w:adjustRightInd w:val="0"/>
        <w:spacing w:after="0" w:line="240" w:lineRule="auto"/>
        <w:jc w:val="center"/>
        <w:textAlignment w:val="baseline"/>
        <w:rPr>
          <w:rFonts w:ascii="Arial" w:eastAsia="Times New Roman" w:hAnsi="Arial" w:cs="Arial"/>
          <w:sz w:val="24"/>
          <w:szCs w:val="20"/>
          <w:lang w:val="de-DE" w:eastAsia="de-DE"/>
        </w:rPr>
      </w:pPr>
    </w:p>
    <w:p w:rsidR="00B672F3" w:rsidRPr="00B672F3" w:rsidRDefault="00B672F3" w:rsidP="00735C25">
      <w:pPr>
        <w:overflowPunct w:val="0"/>
        <w:autoSpaceDE w:val="0"/>
        <w:autoSpaceDN w:val="0"/>
        <w:adjustRightInd w:val="0"/>
        <w:spacing w:after="0"/>
        <w:jc w:val="center"/>
        <w:textAlignment w:val="baseline"/>
        <w:rPr>
          <w:rFonts w:ascii="Arial" w:eastAsia="Times New Roman" w:hAnsi="Arial" w:cs="Arial"/>
          <w:sz w:val="28"/>
          <w:szCs w:val="28"/>
          <w:lang w:val="de-DE" w:eastAsia="de-DE"/>
        </w:rPr>
      </w:pPr>
      <w:r w:rsidRPr="00B672F3">
        <w:rPr>
          <w:rFonts w:ascii="Arial" w:eastAsia="Times New Roman" w:hAnsi="Arial" w:cs="Arial"/>
          <w:sz w:val="28"/>
          <w:szCs w:val="28"/>
          <w:lang w:val="de-DE" w:eastAsia="de-DE"/>
        </w:rPr>
        <w:t>zur Erlangung des Doktorgrades</w:t>
      </w:r>
      <w:r w:rsidRPr="00B672F3">
        <w:rPr>
          <w:rFonts w:ascii="Arial" w:eastAsia="Times New Roman" w:hAnsi="Arial" w:cs="Arial"/>
          <w:sz w:val="28"/>
          <w:szCs w:val="28"/>
          <w:lang w:val="de-DE" w:eastAsia="de-DE"/>
        </w:rPr>
        <w:br/>
        <w:t>der Mathematisch-Naturwissenschaftlichen Fakultät</w:t>
      </w:r>
    </w:p>
    <w:p w:rsidR="00B672F3" w:rsidRPr="00B672F3" w:rsidRDefault="00B672F3" w:rsidP="00735C25">
      <w:pPr>
        <w:overflowPunct w:val="0"/>
        <w:autoSpaceDE w:val="0"/>
        <w:autoSpaceDN w:val="0"/>
        <w:adjustRightInd w:val="0"/>
        <w:spacing w:after="0"/>
        <w:jc w:val="center"/>
        <w:textAlignment w:val="baseline"/>
        <w:rPr>
          <w:rFonts w:ascii="Arial" w:eastAsia="Times New Roman" w:hAnsi="Arial" w:cs="Arial"/>
          <w:sz w:val="28"/>
          <w:szCs w:val="28"/>
          <w:lang w:val="de-DE" w:eastAsia="de-DE"/>
        </w:rPr>
      </w:pPr>
      <w:r w:rsidRPr="00B672F3">
        <w:rPr>
          <w:rFonts w:ascii="Arial" w:eastAsia="Times New Roman" w:hAnsi="Arial" w:cs="Arial"/>
          <w:sz w:val="28"/>
          <w:szCs w:val="28"/>
          <w:lang w:val="de-DE" w:eastAsia="de-DE"/>
        </w:rPr>
        <w:t>der Heinrich-Heine-Universität Düsseldorf</w:t>
      </w:r>
    </w:p>
    <w:p w:rsidR="00B672F3" w:rsidRPr="00B672F3" w:rsidRDefault="00B672F3" w:rsidP="00B672F3">
      <w:pPr>
        <w:overflowPunct w:val="0"/>
        <w:autoSpaceDE w:val="0"/>
        <w:autoSpaceDN w:val="0"/>
        <w:adjustRightInd w:val="0"/>
        <w:spacing w:after="0" w:line="240" w:lineRule="auto"/>
        <w:jc w:val="center"/>
        <w:textAlignment w:val="baseline"/>
        <w:rPr>
          <w:rFonts w:ascii="Arial" w:eastAsia="Times New Roman" w:hAnsi="Arial" w:cs="Arial"/>
          <w:sz w:val="16"/>
          <w:szCs w:val="16"/>
          <w:lang w:val="de-DE" w:eastAsia="de-DE"/>
        </w:rPr>
      </w:pPr>
    </w:p>
    <w:p w:rsidR="00B672F3" w:rsidRPr="00B672F3" w:rsidRDefault="00B672F3" w:rsidP="00B672F3">
      <w:pPr>
        <w:overflowPunct w:val="0"/>
        <w:autoSpaceDE w:val="0"/>
        <w:autoSpaceDN w:val="0"/>
        <w:adjustRightInd w:val="0"/>
        <w:spacing w:after="0" w:line="240" w:lineRule="auto"/>
        <w:jc w:val="center"/>
        <w:textAlignment w:val="baseline"/>
        <w:rPr>
          <w:rFonts w:ascii="Arial" w:eastAsia="Times New Roman" w:hAnsi="Arial" w:cs="Arial"/>
          <w:sz w:val="16"/>
          <w:szCs w:val="16"/>
          <w:lang w:val="de-DE" w:eastAsia="de-DE"/>
        </w:rPr>
      </w:pPr>
    </w:p>
    <w:p w:rsidR="00B672F3" w:rsidRPr="00B672F3" w:rsidRDefault="00B672F3" w:rsidP="00B672F3">
      <w:pPr>
        <w:overflowPunct w:val="0"/>
        <w:autoSpaceDE w:val="0"/>
        <w:autoSpaceDN w:val="0"/>
        <w:adjustRightInd w:val="0"/>
        <w:spacing w:after="0" w:line="240" w:lineRule="auto"/>
        <w:jc w:val="center"/>
        <w:textAlignment w:val="baseline"/>
        <w:rPr>
          <w:rFonts w:ascii="Arial" w:eastAsia="Times New Roman" w:hAnsi="Arial" w:cs="Arial"/>
          <w:sz w:val="28"/>
          <w:szCs w:val="28"/>
          <w:lang w:val="de-DE" w:eastAsia="de-DE"/>
        </w:rPr>
      </w:pPr>
      <w:r w:rsidRPr="00B672F3">
        <w:rPr>
          <w:rFonts w:ascii="Arial" w:eastAsia="Times New Roman" w:hAnsi="Arial" w:cs="Arial"/>
          <w:sz w:val="28"/>
          <w:szCs w:val="28"/>
          <w:lang w:val="de-DE" w:eastAsia="de-DE"/>
        </w:rPr>
        <w:t>vorgelegt von</w:t>
      </w:r>
    </w:p>
    <w:p w:rsidR="00B672F3" w:rsidRPr="00B672F3" w:rsidRDefault="00B672F3" w:rsidP="00B672F3">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8"/>
          <w:lang w:val="de-DE" w:eastAsia="de-DE"/>
        </w:rPr>
      </w:pPr>
    </w:p>
    <w:p w:rsidR="00B672F3" w:rsidRPr="00B672F3" w:rsidRDefault="00B672F3" w:rsidP="00735C25">
      <w:pPr>
        <w:overflowPunct w:val="0"/>
        <w:autoSpaceDE w:val="0"/>
        <w:autoSpaceDN w:val="0"/>
        <w:adjustRightInd w:val="0"/>
        <w:spacing w:after="0" w:line="360" w:lineRule="auto"/>
        <w:jc w:val="center"/>
        <w:textAlignment w:val="baseline"/>
        <w:rPr>
          <w:rFonts w:ascii="Arial" w:eastAsia="Times New Roman" w:hAnsi="Arial" w:cs="Arial"/>
          <w:b/>
          <w:sz w:val="28"/>
          <w:szCs w:val="28"/>
          <w:lang w:val="de-DE" w:eastAsia="de-DE"/>
        </w:rPr>
      </w:pPr>
      <w:r>
        <w:rPr>
          <w:rFonts w:ascii="Arial" w:eastAsia="Times New Roman" w:hAnsi="Arial" w:cs="Arial"/>
          <w:b/>
          <w:sz w:val="28"/>
          <w:szCs w:val="28"/>
          <w:lang w:val="de-DE" w:eastAsia="de-DE"/>
        </w:rPr>
        <w:t>Anne-Christin Döring</w:t>
      </w:r>
    </w:p>
    <w:p w:rsidR="00B672F3" w:rsidRPr="00B672F3" w:rsidRDefault="00B672F3" w:rsidP="00735C25">
      <w:pPr>
        <w:overflowPunct w:val="0"/>
        <w:autoSpaceDE w:val="0"/>
        <w:autoSpaceDN w:val="0"/>
        <w:adjustRightInd w:val="0"/>
        <w:spacing w:after="0" w:line="360" w:lineRule="auto"/>
        <w:jc w:val="center"/>
        <w:textAlignment w:val="baseline"/>
        <w:rPr>
          <w:rFonts w:ascii="Arial" w:eastAsia="Times New Roman" w:hAnsi="Arial" w:cs="Arial"/>
          <w:sz w:val="28"/>
          <w:szCs w:val="28"/>
          <w:lang w:val="de-DE" w:eastAsia="de-DE"/>
        </w:rPr>
      </w:pPr>
      <w:r w:rsidRPr="00B672F3">
        <w:rPr>
          <w:rFonts w:ascii="Arial" w:eastAsia="Times New Roman" w:hAnsi="Arial" w:cs="Arial"/>
          <w:sz w:val="28"/>
          <w:szCs w:val="28"/>
          <w:lang w:val="de-DE" w:eastAsia="de-DE"/>
        </w:rPr>
        <w:t xml:space="preserve">aus </w:t>
      </w:r>
      <w:r>
        <w:rPr>
          <w:rFonts w:ascii="Arial" w:eastAsia="Times New Roman" w:hAnsi="Arial" w:cs="Arial"/>
          <w:sz w:val="28"/>
          <w:szCs w:val="28"/>
          <w:lang w:val="de-DE" w:eastAsia="de-DE"/>
        </w:rPr>
        <w:t>Aschersleben</w:t>
      </w:r>
    </w:p>
    <w:p w:rsidR="00B672F3" w:rsidRPr="00B672F3" w:rsidRDefault="00B672F3" w:rsidP="00B672F3">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val="de-DE" w:eastAsia="de-DE"/>
        </w:rPr>
      </w:pPr>
    </w:p>
    <w:p w:rsidR="00B672F3" w:rsidRPr="00B672F3" w:rsidRDefault="00B672F3" w:rsidP="00B672F3">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val="de-DE" w:eastAsia="de-DE"/>
        </w:rPr>
      </w:pPr>
    </w:p>
    <w:p w:rsidR="00B672F3" w:rsidRPr="00B672F3" w:rsidRDefault="00B672F3" w:rsidP="00B672F3">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val="de-DE" w:eastAsia="de-DE"/>
        </w:rPr>
      </w:pPr>
    </w:p>
    <w:p w:rsidR="00B672F3" w:rsidRPr="00B672F3" w:rsidRDefault="00B672F3" w:rsidP="00B672F3">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val="de-DE" w:eastAsia="de-DE"/>
        </w:rPr>
      </w:pPr>
    </w:p>
    <w:p w:rsidR="00B672F3" w:rsidRPr="00B672F3" w:rsidRDefault="00B672F3" w:rsidP="00B672F3">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val="de-DE" w:eastAsia="de-DE"/>
        </w:rPr>
      </w:pPr>
    </w:p>
    <w:p w:rsidR="00B672F3" w:rsidRPr="00B672F3" w:rsidRDefault="00B672F3" w:rsidP="00B672F3">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val="de-DE" w:eastAsia="de-DE"/>
        </w:rPr>
      </w:pPr>
    </w:p>
    <w:p w:rsidR="00B672F3" w:rsidRPr="00B672F3" w:rsidRDefault="00B672F3" w:rsidP="00B672F3">
      <w:pPr>
        <w:overflowPunct w:val="0"/>
        <w:autoSpaceDE w:val="0"/>
        <w:autoSpaceDN w:val="0"/>
        <w:adjustRightInd w:val="0"/>
        <w:spacing w:after="0" w:line="240" w:lineRule="auto"/>
        <w:jc w:val="center"/>
        <w:textAlignment w:val="baseline"/>
        <w:rPr>
          <w:rFonts w:ascii="Arial" w:eastAsia="Times New Roman" w:hAnsi="Arial" w:cs="Arial"/>
          <w:sz w:val="28"/>
          <w:szCs w:val="28"/>
          <w:lang w:val="de-DE" w:eastAsia="de-DE"/>
        </w:rPr>
      </w:pPr>
      <w:r>
        <w:rPr>
          <w:rFonts w:ascii="Arial" w:eastAsia="Times New Roman" w:hAnsi="Arial" w:cs="Arial"/>
          <w:sz w:val="28"/>
          <w:szCs w:val="28"/>
          <w:lang w:val="de-DE" w:eastAsia="de-DE"/>
        </w:rPr>
        <w:t>Düsseldorf</w:t>
      </w:r>
      <w:r w:rsidRPr="00B672F3">
        <w:rPr>
          <w:rFonts w:ascii="Arial" w:eastAsia="Times New Roman" w:hAnsi="Arial" w:cs="Arial"/>
          <w:sz w:val="28"/>
          <w:szCs w:val="28"/>
          <w:lang w:val="de-DE" w:eastAsia="de-DE"/>
        </w:rPr>
        <w:t xml:space="preserve">, </w:t>
      </w:r>
      <w:r w:rsidR="005D2D1A">
        <w:rPr>
          <w:rFonts w:ascii="Arial" w:eastAsia="Times New Roman" w:hAnsi="Arial" w:cs="Arial"/>
          <w:sz w:val="28"/>
          <w:szCs w:val="28"/>
          <w:lang w:val="de-DE" w:eastAsia="de-DE"/>
        </w:rPr>
        <w:t>Mai</w:t>
      </w:r>
      <w:r w:rsidR="00CB005D">
        <w:rPr>
          <w:rFonts w:ascii="Arial" w:eastAsia="Times New Roman" w:hAnsi="Arial" w:cs="Arial"/>
          <w:sz w:val="28"/>
          <w:szCs w:val="28"/>
          <w:lang w:val="de-DE" w:eastAsia="de-DE"/>
        </w:rPr>
        <w:t xml:space="preserve"> </w:t>
      </w:r>
      <w:r>
        <w:rPr>
          <w:rFonts w:ascii="Arial" w:eastAsia="Times New Roman" w:hAnsi="Arial" w:cs="Arial"/>
          <w:sz w:val="28"/>
          <w:szCs w:val="28"/>
          <w:lang w:val="de-DE" w:eastAsia="de-DE"/>
        </w:rPr>
        <w:t>2015</w:t>
      </w:r>
    </w:p>
    <w:p w:rsidR="001F5989" w:rsidRDefault="003E32AD">
      <w:pPr>
        <w:rPr>
          <w:lang w:val="de-DE"/>
        </w:rPr>
      </w:pPr>
      <w:r>
        <w:rPr>
          <w:noProof/>
          <w:lang w:val="de-DE" w:eastAsia="de-DE"/>
        </w:rPr>
        <mc:AlternateContent>
          <mc:Choice Requires="wps">
            <w:drawing>
              <wp:anchor distT="0" distB="0" distL="114300" distR="114300" simplePos="0" relativeHeight="251717632" behindDoc="0" locked="0" layoutInCell="1" allowOverlap="1">
                <wp:simplePos x="0" y="0"/>
                <wp:positionH relativeFrom="column">
                  <wp:posOffset>2738755</wp:posOffset>
                </wp:positionH>
                <wp:positionV relativeFrom="paragraph">
                  <wp:posOffset>288925</wp:posOffset>
                </wp:positionV>
                <wp:extent cx="381000" cy="247650"/>
                <wp:effectExtent l="0" t="0" r="19050" b="19050"/>
                <wp:wrapNone/>
                <wp:docPr id="81" name="Rechteck 81"/>
                <wp:cNvGraphicFramePr/>
                <a:graphic xmlns:a="http://schemas.openxmlformats.org/drawingml/2006/main">
                  <a:graphicData uri="http://schemas.microsoft.com/office/word/2010/wordprocessingShape">
                    <wps:wsp>
                      <wps:cNvSpPr/>
                      <wps:spPr>
                        <a:xfrm>
                          <a:off x="0" y="0"/>
                          <a:ext cx="381000" cy="24765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hteck 81" o:spid="_x0000_s1026" style="position:absolute;margin-left:215.65pt;margin-top:22.75pt;width:30pt;height:19.5pt;z-index:2517176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" fillcolor="white [3212]" strokecolor="white [3212]" strokeweight="2pt"/>
            </w:pict>
          </mc:Fallback>
        </mc:AlternateContent>
      </w:r>
      <w:r w:rsidR="001D05F9">
        <w:rPr>
          <w:noProof/>
          <w:lang w:val="de-DE" w:eastAsia="de-DE"/>
        </w:rPr>
        <mc:AlternateContent>
          <mc:Choice Requires="wps">
            <w:drawing>
              <wp:anchor distT="0" distB="0" distL="114300" distR="114300" simplePos="0" relativeHeight="251659264" behindDoc="0" locked="0" layoutInCell="1" allowOverlap="1" wp14:anchorId="7D09C93A" wp14:editId="7B79BC0A">
                <wp:simplePos x="0" y="0"/>
                <wp:positionH relativeFrom="column">
                  <wp:posOffset>5520055</wp:posOffset>
                </wp:positionH>
                <wp:positionV relativeFrom="paragraph">
                  <wp:posOffset>288925</wp:posOffset>
                </wp:positionV>
                <wp:extent cx="466725" cy="295275"/>
                <wp:effectExtent l="0" t="0" r="28575" b="28575"/>
                <wp:wrapNone/>
                <wp:docPr id="55" name="Rechteck 55"/>
                <wp:cNvGraphicFramePr/>
                <a:graphic xmlns:a="http://schemas.openxmlformats.org/drawingml/2006/main">
                  <a:graphicData uri="http://schemas.microsoft.com/office/word/2010/wordprocessingShape">
                    <wps:wsp>
                      <wps:cNvSpPr/>
                      <wps:spPr>
                        <a:xfrm>
                          <a:off x="0" y="0"/>
                          <a:ext cx="466725" cy="29527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hteck 55" o:spid="_x0000_s1026" style="position:absolute;margin-left:434.65pt;margin-top:22.75pt;width:36.75pt;height:23.2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" fillcolor="white [3212]" strokecolor="white [3212]" strokeweight="2pt"/>
            </w:pict>
          </mc:Fallback>
        </mc:AlternateContent>
      </w:r>
    </w:p>
    <w:p w:rsidR="00DC6BB1" w:rsidRDefault="00DC6BB1">
      <w:pPr>
        <w:rPr>
          <w:lang w:val="de-DE"/>
        </w:rPr>
      </w:pPr>
    </w:p>
    <w:p w:rsidR="00961888" w:rsidRDefault="00961888" w:rsidP="00DC6BB1">
      <w:pPr>
        <w:suppressAutoHyphens/>
        <w:overflowPunct w:val="0"/>
        <w:autoSpaceDE w:val="0"/>
        <w:spacing w:after="0" w:line="240" w:lineRule="auto"/>
        <w:textAlignment w:val="baseline"/>
        <w:rPr>
          <w:lang w:val="de-DE"/>
        </w:rPr>
      </w:pPr>
    </w:p>
    <w:p w:rsidR="00961888" w:rsidRDefault="00961888" w:rsidP="00DC6BB1">
      <w:pPr>
        <w:suppressAutoHyphens/>
        <w:overflowPunct w:val="0"/>
        <w:autoSpaceDE w:val="0"/>
        <w:spacing w:after="0" w:line="240" w:lineRule="auto"/>
        <w:textAlignment w:val="baseline"/>
        <w:rPr>
          <w:lang w:val="de-DE"/>
        </w:rPr>
      </w:pPr>
    </w:p>
    <w:p w:rsidR="00DC6BB1" w:rsidRPr="00DC6BB1" w:rsidRDefault="00DC6BB1" w:rsidP="00735C25">
      <w:pPr>
        <w:suppressAutoHyphens/>
        <w:overflowPunct w:val="0"/>
        <w:autoSpaceDE w:val="0"/>
        <w:spacing w:after="0"/>
        <w:textAlignment w:val="baseline"/>
        <w:rPr>
          <w:rFonts w:ascii="Arial" w:eastAsia="Times New Roman" w:hAnsi="Arial" w:cs="Arial"/>
          <w:sz w:val="24"/>
          <w:szCs w:val="24"/>
          <w:lang w:val="de-DE" w:eastAsia="zh-CN"/>
        </w:rPr>
      </w:pPr>
      <w:r w:rsidRPr="00DC6BB1">
        <w:rPr>
          <w:rFonts w:ascii="Arial" w:eastAsia="Times New Roman" w:hAnsi="Arial" w:cs="Arial"/>
          <w:sz w:val="24"/>
          <w:szCs w:val="24"/>
          <w:lang w:val="de-DE" w:eastAsia="zh-CN"/>
        </w:rPr>
        <w:t>aus dem Institut für</w:t>
      </w:r>
      <w:r>
        <w:rPr>
          <w:rFonts w:ascii="Arial" w:eastAsia="Times New Roman" w:hAnsi="Arial" w:cs="Arial"/>
          <w:sz w:val="24"/>
          <w:szCs w:val="24"/>
          <w:lang w:val="de-DE" w:eastAsia="zh-CN"/>
        </w:rPr>
        <w:t xml:space="preserve"> molekulare Ökophysiologie der Pflanzen</w:t>
      </w:r>
    </w:p>
    <w:p w:rsidR="00DC6BB1" w:rsidRPr="00DC6BB1" w:rsidRDefault="00DC6BB1" w:rsidP="00735C25">
      <w:pPr>
        <w:suppressAutoHyphens/>
        <w:overflowPunct w:val="0"/>
        <w:autoSpaceDE w:val="0"/>
        <w:spacing w:after="0"/>
        <w:textAlignment w:val="baseline"/>
        <w:rPr>
          <w:rFonts w:ascii="Arial" w:eastAsia="Times New Roman" w:hAnsi="Arial" w:cs="Arial"/>
          <w:sz w:val="24"/>
          <w:szCs w:val="24"/>
          <w:lang w:val="de-DE" w:eastAsia="zh-CN"/>
        </w:rPr>
      </w:pPr>
      <w:r w:rsidRPr="00DC6BB1">
        <w:rPr>
          <w:rFonts w:ascii="Arial" w:eastAsia="Times New Roman" w:hAnsi="Arial" w:cs="Arial"/>
          <w:sz w:val="24"/>
          <w:szCs w:val="24"/>
          <w:lang w:val="de-DE" w:eastAsia="zh-CN"/>
        </w:rPr>
        <w:t>der Heinrich-Heine-Universität Düsseldorf</w:t>
      </w:r>
    </w:p>
    <w:p w:rsidR="00DC6BB1" w:rsidRPr="00DC6BB1" w:rsidRDefault="00DC6BB1" w:rsidP="00DC6BB1">
      <w:pPr>
        <w:suppressAutoHyphens/>
        <w:overflowPunct w:val="0"/>
        <w:autoSpaceDE w:val="0"/>
        <w:spacing w:after="0" w:line="240" w:lineRule="auto"/>
        <w:textAlignment w:val="baseline"/>
        <w:rPr>
          <w:rFonts w:ascii="Arial" w:eastAsia="Times New Roman" w:hAnsi="Arial" w:cs="Arial"/>
          <w:sz w:val="24"/>
          <w:szCs w:val="24"/>
          <w:lang w:val="de-DE" w:eastAsia="zh-CN"/>
        </w:rPr>
      </w:pPr>
    </w:p>
    <w:p w:rsidR="00DC6BB1" w:rsidRPr="00DC6BB1" w:rsidRDefault="00DC6BB1" w:rsidP="00DC6BB1">
      <w:pPr>
        <w:suppressAutoHyphens/>
        <w:overflowPunct w:val="0"/>
        <w:autoSpaceDE w:val="0"/>
        <w:spacing w:after="0" w:line="240" w:lineRule="auto"/>
        <w:textAlignment w:val="baseline"/>
        <w:rPr>
          <w:rFonts w:ascii="Arial" w:eastAsia="Times New Roman" w:hAnsi="Arial" w:cs="Arial"/>
          <w:sz w:val="24"/>
          <w:szCs w:val="24"/>
          <w:lang w:val="de-DE" w:eastAsia="zh-CN"/>
        </w:rPr>
      </w:pPr>
    </w:p>
    <w:p w:rsidR="00DC6BB1" w:rsidRPr="00DC6BB1" w:rsidRDefault="00DC6BB1" w:rsidP="00DC6BB1">
      <w:pPr>
        <w:suppressAutoHyphens/>
        <w:overflowPunct w:val="0"/>
        <w:autoSpaceDE w:val="0"/>
        <w:spacing w:after="0" w:line="240" w:lineRule="auto"/>
        <w:textAlignment w:val="baseline"/>
        <w:rPr>
          <w:rFonts w:ascii="Arial" w:eastAsia="Times New Roman" w:hAnsi="Arial" w:cs="Arial"/>
          <w:sz w:val="24"/>
          <w:szCs w:val="24"/>
          <w:lang w:val="de-DE" w:eastAsia="zh-CN"/>
        </w:rPr>
      </w:pPr>
    </w:p>
    <w:p w:rsidR="00DC6BB1" w:rsidRPr="00DC6BB1" w:rsidRDefault="00DC6BB1" w:rsidP="00DC6BB1">
      <w:pPr>
        <w:suppressAutoHyphens/>
        <w:overflowPunct w:val="0"/>
        <w:autoSpaceDE w:val="0"/>
        <w:spacing w:after="0" w:line="240" w:lineRule="auto"/>
        <w:textAlignment w:val="baseline"/>
        <w:rPr>
          <w:rFonts w:ascii="Arial" w:eastAsia="Times New Roman" w:hAnsi="Arial" w:cs="Arial"/>
          <w:sz w:val="24"/>
          <w:szCs w:val="24"/>
          <w:lang w:val="de-DE" w:eastAsia="zh-CN"/>
        </w:rPr>
      </w:pPr>
    </w:p>
    <w:p w:rsidR="00DC6BB1" w:rsidRPr="00DC6BB1" w:rsidRDefault="00DC6BB1" w:rsidP="00DC6BB1">
      <w:pPr>
        <w:suppressAutoHyphens/>
        <w:overflowPunct w:val="0"/>
        <w:autoSpaceDE w:val="0"/>
        <w:spacing w:after="0" w:line="240" w:lineRule="auto"/>
        <w:textAlignment w:val="baseline"/>
        <w:rPr>
          <w:rFonts w:ascii="Arial" w:eastAsia="Times New Roman" w:hAnsi="Arial" w:cs="Arial"/>
          <w:sz w:val="24"/>
          <w:szCs w:val="24"/>
          <w:lang w:val="de-DE" w:eastAsia="zh-CN"/>
        </w:rPr>
      </w:pPr>
    </w:p>
    <w:p w:rsidR="00DC6BB1" w:rsidRPr="00DC6BB1" w:rsidRDefault="00DC6BB1" w:rsidP="00DC6BB1">
      <w:pPr>
        <w:suppressAutoHyphens/>
        <w:overflowPunct w:val="0"/>
        <w:autoSpaceDE w:val="0"/>
        <w:spacing w:after="0" w:line="240" w:lineRule="auto"/>
        <w:textAlignment w:val="baseline"/>
        <w:rPr>
          <w:rFonts w:ascii="Arial" w:eastAsia="Times New Roman" w:hAnsi="Arial" w:cs="Arial"/>
          <w:sz w:val="24"/>
          <w:szCs w:val="24"/>
          <w:lang w:val="de-DE" w:eastAsia="zh-CN"/>
        </w:rPr>
      </w:pPr>
    </w:p>
    <w:p w:rsidR="00DC6BB1" w:rsidRPr="00DC6BB1" w:rsidRDefault="00DC6BB1" w:rsidP="00DC6BB1">
      <w:pPr>
        <w:suppressAutoHyphens/>
        <w:overflowPunct w:val="0"/>
        <w:autoSpaceDE w:val="0"/>
        <w:spacing w:after="0" w:line="240" w:lineRule="auto"/>
        <w:textAlignment w:val="baseline"/>
        <w:rPr>
          <w:rFonts w:ascii="Arial" w:eastAsia="Times New Roman" w:hAnsi="Arial" w:cs="Arial"/>
          <w:sz w:val="24"/>
          <w:szCs w:val="24"/>
          <w:lang w:val="de-DE" w:eastAsia="zh-CN"/>
        </w:rPr>
      </w:pPr>
    </w:p>
    <w:p w:rsidR="00DC6BB1" w:rsidRPr="00DC6BB1" w:rsidRDefault="00DC6BB1" w:rsidP="00DC6BB1">
      <w:pPr>
        <w:suppressAutoHyphens/>
        <w:overflowPunct w:val="0"/>
        <w:autoSpaceDE w:val="0"/>
        <w:spacing w:after="0" w:line="240" w:lineRule="auto"/>
        <w:textAlignment w:val="baseline"/>
        <w:rPr>
          <w:rFonts w:ascii="Arial" w:eastAsia="Times New Roman" w:hAnsi="Arial" w:cs="Arial"/>
          <w:sz w:val="24"/>
          <w:szCs w:val="24"/>
          <w:lang w:val="de-DE" w:eastAsia="zh-CN"/>
        </w:rPr>
      </w:pPr>
    </w:p>
    <w:p w:rsidR="00DC6BB1" w:rsidRPr="00DC6BB1" w:rsidRDefault="00DC6BB1" w:rsidP="00DC6BB1">
      <w:pPr>
        <w:suppressAutoHyphens/>
        <w:overflowPunct w:val="0"/>
        <w:autoSpaceDE w:val="0"/>
        <w:spacing w:after="0" w:line="240" w:lineRule="auto"/>
        <w:textAlignment w:val="baseline"/>
        <w:rPr>
          <w:rFonts w:ascii="Arial" w:eastAsia="Times New Roman" w:hAnsi="Arial" w:cs="Arial"/>
          <w:sz w:val="24"/>
          <w:szCs w:val="24"/>
          <w:lang w:val="de-DE" w:eastAsia="zh-CN"/>
        </w:rPr>
      </w:pPr>
    </w:p>
    <w:p w:rsidR="00DC6BB1" w:rsidRPr="00DC6BB1" w:rsidRDefault="00DC6BB1" w:rsidP="00DC6BB1">
      <w:pPr>
        <w:suppressAutoHyphens/>
        <w:overflowPunct w:val="0"/>
        <w:autoSpaceDE w:val="0"/>
        <w:spacing w:after="0" w:line="240" w:lineRule="auto"/>
        <w:textAlignment w:val="baseline"/>
        <w:rPr>
          <w:rFonts w:ascii="Arial" w:eastAsia="Times New Roman" w:hAnsi="Arial" w:cs="Arial"/>
          <w:sz w:val="24"/>
          <w:szCs w:val="24"/>
          <w:lang w:val="de-DE" w:eastAsia="zh-CN"/>
        </w:rPr>
      </w:pPr>
    </w:p>
    <w:p w:rsidR="00DC6BB1" w:rsidRPr="00DC6BB1" w:rsidRDefault="00DC6BB1" w:rsidP="00DC6BB1">
      <w:pPr>
        <w:suppressAutoHyphens/>
        <w:overflowPunct w:val="0"/>
        <w:autoSpaceDE w:val="0"/>
        <w:spacing w:after="0" w:line="240" w:lineRule="auto"/>
        <w:textAlignment w:val="baseline"/>
        <w:rPr>
          <w:rFonts w:ascii="Arial" w:eastAsia="Times New Roman" w:hAnsi="Arial" w:cs="Arial"/>
          <w:sz w:val="24"/>
          <w:szCs w:val="24"/>
          <w:lang w:val="de-DE" w:eastAsia="zh-CN"/>
        </w:rPr>
      </w:pPr>
    </w:p>
    <w:p w:rsidR="00DC6BB1" w:rsidRPr="00DC6BB1" w:rsidRDefault="00DC6BB1" w:rsidP="00DC6BB1">
      <w:pPr>
        <w:suppressAutoHyphens/>
        <w:overflowPunct w:val="0"/>
        <w:autoSpaceDE w:val="0"/>
        <w:spacing w:after="0" w:line="240" w:lineRule="auto"/>
        <w:textAlignment w:val="baseline"/>
        <w:rPr>
          <w:rFonts w:ascii="Arial" w:eastAsia="Times New Roman" w:hAnsi="Arial" w:cs="Arial"/>
          <w:sz w:val="24"/>
          <w:szCs w:val="24"/>
          <w:lang w:val="de-DE" w:eastAsia="zh-CN"/>
        </w:rPr>
      </w:pPr>
    </w:p>
    <w:p w:rsidR="00DC6BB1" w:rsidRPr="00DC6BB1" w:rsidRDefault="00DC6BB1" w:rsidP="00DC6BB1">
      <w:pPr>
        <w:suppressAutoHyphens/>
        <w:overflowPunct w:val="0"/>
        <w:autoSpaceDE w:val="0"/>
        <w:spacing w:after="0" w:line="240" w:lineRule="auto"/>
        <w:textAlignment w:val="baseline"/>
        <w:rPr>
          <w:rFonts w:ascii="Arial" w:eastAsia="Times New Roman" w:hAnsi="Arial" w:cs="Arial"/>
          <w:sz w:val="24"/>
          <w:szCs w:val="24"/>
          <w:lang w:val="de-DE" w:eastAsia="zh-CN"/>
        </w:rPr>
      </w:pPr>
    </w:p>
    <w:p w:rsidR="00DC6BB1" w:rsidRPr="00DC6BB1" w:rsidRDefault="00DC6BB1" w:rsidP="00DC6BB1">
      <w:pPr>
        <w:suppressAutoHyphens/>
        <w:overflowPunct w:val="0"/>
        <w:autoSpaceDE w:val="0"/>
        <w:spacing w:after="0" w:line="240" w:lineRule="auto"/>
        <w:textAlignment w:val="baseline"/>
        <w:rPr>
          <w:rFonts w:ascii="Arial" w:eastAsia="Times New Roman" w:hAnsi="Arial" w:cs="Arial"/>
          <w:sz w:val="24"/>
          <w:szCs w:val="24"/>
          <w:lang w:val="de-DE" w:eastAsia="zh-CN"/>
        </w:rPr>
      </w:pPr>
    </w:p>
    <w:p w:rsidR="00DC6BB1" w:rsidRPr="00DC6BB1" w:rsidRDefault="00DC6BB1" w:rsidP="00DC6BB1">
      <w:pPr>
        <w:suppressAutoHyphens/>
        <w:overflowPunct w:val="0"/>
        <w:autoSpaceDE w:val="0"/>
        <w:spacing w:after="0" w:line="240" w:lineRule="auto"/>
        <w:textAlignment w:val="baseline"/>
        <w:rPr>
          <w:rFonts w:ascii="Arial" w:eastAsia="Times New Roman" w:hAnsi="Arial" w:cs="Arial"/>
          <w:sz w:val="24"/>
          <w:szCs w:val="24"/>
          <w:lang w:val="de-DE" w:eastAsia="zh-CN"/>
        </w:rPr>
      </w:pPr>
    </w:p>
    <w:p w:rsidR="00DC6BB1" w:rsidRPr="00DC6BB1" w:rsidRDefault="00DC6BB1" w:rsidP="00DC6BB1">
      <w:pPr>
        <w:suppressAutoHyphens/>
        <w:overflowPunct w:val="0"/>
        <w:autoSpaceDE w:val="0"/>
        <w:spacing w:after="0" w:line="240" w:lineRule="auto"/>
        <w:textAlignment w:val="baseline"/>
        <w:rPr>
          <w:rFonts w:ascii="Arial" w:eastAsia="Times New Roman" w:hAnsi="Arial" w:cs="Arial"/>
          <w:sz w:val="24"/>
          <w:szCs w:val="24"/>
          <w:lang w:val="de-DE" w:eastAsia="zh-CN"/>
        </w:rPr>
      </w:pPr>
    </w:p>
    <w:p w:rsidR="00DC6BB1" w:rsidRPr="00DC6BB1" w:rsidRDefault="00DC6BB1" w:rsidP="00DC6BB1">
      <w:pPr>
        <w:suppressAutoHyphens/>
        <w:overflowPunct w:val="0"/>
        <w:autoSpaceDE w:val="0"/>
        <w:spacing w:after="0" w:line="240" w:lineRule="auto"/>
        <w:textAlignment w:val="baseline"/>
        <w:rPr>
          <w:rFonts w:ascii="Arial" w:eastAsia="Times New Roman" w:hAnsi="Arial" w:cs="Arial"/>
          <w:sz w:val="24"/>
          <w:szCs w:val="24"/>
          <w:lang w:val="de-DE" w:eastAsia="zh-CN"/>
        </w:rPr>
      </w:pPr>
    </w:p>
    <w:p w:rsidR="00DC6BB1" w:rsidRPr="00DC6BB1" w:rsidRDefault="00DC6BB1" w:rsidP="00DC6BB1">
      <w:pPr>
        <w:suppressAutoHyphens/>
        <w:overflowPunct w:val="0"/>
        <w:autoSpaceDE w:val="0"/>
        <w:spacing w:after="0" w:line="240" w:lineRule="auto"/>
        <w:textAlignment w:val="baseline"/>
        <w:rPr>
          <w:rFonts w:ascii="Arial" w:eastAsia="Times New Roman" w:hAnsi="Arial" w:cs="Arial"/>
          <w:sz w:val="24"/>
          <w:szCs w:val="24"/>
          <w:lang w:val="de-DE" w:eastAsia="zh-CN"/>
        </w:rPr>
      </w:pPr>
    </w:p>
    <w:p w:rsidR="00DC6BB1" w:rsidRPr="00DC6BB1" w:rsidRDefault="00DC6BB1" w:rsidP="00DC6BB1">
      <w:pPr>
        <w:suppressAutoHyphens/>
        <w:overflowPunct w:val="0"/>
        <w:autoSpaceDE w:val="0"/>
        <w:spacing w:after="0" w:line="240" w:lineRule="auto"/>
        <w:textAlignment w:val="baseline"/>
        <w:rPr>
          <w:rFonts w:ascii="Arial" w:eastAsia="Times New Roman" w:hAnsi="Arial" w:cs="Arial"/>
          <w:sz w:val="24"/>
          <w:szCs w:val="24"/>
          <w:lang w:val="de-DE" w:eastAsia="zh-CN"/>
        </w:rPr>
      </w:pPr>
    </w:p>
    <w:p w:rsidR="00DC6BB1" w:rsidRPr="00DC6BB1" w:rsidRDefault="00DC6BB1" w:rsidP="00DC6BB1">
      <w:pPr>
        <w:suppressAutoHyphens/>
        <w:overflowPunct w:val="0"/>
        <w:autoSpaceDE w:val="0"/>
        <w:spacing w:after="0" w:line="240" w:lineRule="auto"/>
        <w:textAlignment w:val="baseline"/>
        <w:rPr>
          <w:rFonts w:ascii="Arial" w:eastAsia="Times New Roman" w:hAnsi="Arial" w:cs="Arial"/>
          <w:sz w:val="24"/>
          <w:szCs w:val="24"/>
          <w:lang w:val="de-DE" w:eastAsia="zh-CN"/>
        </w:rPr>
      </w:pPr>
    </w:p>
    <w:p w:rsidR="00DC6BB1" w:rsidRPr="00DC6BB1" w:rsidRDefault="00DC6BB1" w:rsidP="00DC6BB1">
      <w:pPr>
        <w:suppressAutoHyphens/>
        <w:overflowPunct w:val="0"/>
        <w:autoSpaceDE w:val="0"/>
        <w:spacing w:after="0" w:line="240" w:lineRule="auto"/>
        <w:textAlignment w:val="baseline"/>
        <w:rPr>
          <w:rFonts w:ascii="Arial" w:eastAsia="Times New Roman" w:hAnsi="Arial" w:cs="Arial"/>
          <w:sz w:val="24"/>
          <w:szCs w:val="24"/>
          <w:lang w:val="de-DE" w:eastAsia="zh-CN"/>
        </w:rPr>
      </w:pPr>
    </w:p>
    <w:p w:rsidR="00DC6BB1" w:rsidRPr="00DC6BB1" w:rsidRDefault="00DC6BB1" w:rsidP="00DC6BB1">
      <w:pPr>
        <w:suppressAutoHyphens/>
        <w:overflowPunct w:val="0"/>
        <w:autoSpaceDE w:val="0"/>
        <w:spacing w:after="0" w:line="240" w:lineRule="auto"/>
        <w:textAlignment w:val="baseline"/>
        <w:rPr>
          <w:rFonts w:ascii="Arial" w:eastAsia="Times New Roman" w:hAnsi="Arial" w:cs="Arial"/>
          <w:sz w:val="24"/>
          <w:szCs w:val="24"/>
          <w:lang w:val="de-DE" w:eastAsia="zh-CN"/>
        </w:rPr>
      </w:pPr>
    </w:p>
    <w:p w:rsidR="00DC6BB1" w:rsidRPr="00DC6BB1" w:rsidRDefault="00DC6BB1" w:rsidP="00DC6BB1">
      <w:pPr>
        <w:suppressAutoHyphens/>
        <w:overflowPunct w:val="0"/>
        <w:autoSpaceDE w:val="0"/>
        <w:spacing w:after="0" w:line="240" w:lineRule="auto"/>
        <w:textAlignment w:val="baseline"/>
        <w:rPr>
          <w:rFonts w:ascii="Arial" w:eastAsia="Times New Roman" w:hAnsi="Arial" w:cs="Arial"/>
          <w:sz w:val="24"/>
          <w:szCs w:val="24"/>
          <w:lang w:val="de-DE" w:eastAsia="zh-CN"/>
        </w:rPr>
      </w:pPr>
    </w:p>
    <w:p w:rsidR="00DC6BB1" w:rsidRPr="00DC6BB1" w:rsidRDefault="00DC6BB1" w:rsidP="00DC6BB1">
      <w:pPr>
        <w:suppressAutoHyphens/>
        <w:overflowPunct w:val="0"/>
        <w:autoSpaceDE w:val="0"/>
        <w:spacing w:after="0" w:line="240" w:lineRule="auto"/>
        <w:textAlignment w:val="baseline"/>
        <w:rPr>
          <w:rFonts w:ascii="Arial" w:eastAsia="Times New Roman" w:hAnsi="Arial" w:cs="Arial"/>
          <w:sz w:val="24"/>
          <w:szCs w:val="24"/>
          <w:lang w:val="de-DE" w:eastAsia="zh-CN"/>
        </w:rPr>
      </w:pPr>
    </w:p>
    <w:p w:rsidR="00961888" w:rsidRDefault="00961888" w:rsidP="00DC6BB1">
      <w:pPr>
        <w:suppressAutoHyphens/>
        <w:overflowPunct w:val="0"/>
        <w:autoSpaceDE w:val="0"/>
        <w:spacing w:after="0" w:line="240" w:lineRule="auto"/>
        <w:textAlignment w:val="baseline"/>
        <w:rPr>
          <w:rFonts w:ascii="Arial" w:eastAsia="Times New Roman" w:hAnsi="Arial" w:cs="Arial"/>
          <w:sz w:val="24"/>
          <w:szCs w:val="24"/>
          <w:lang w:val="de-DE" w:eastAsia="zh-CN"/>
        </w:rPr>
      </w:pPr>
    </w:p>
    <w:p w:rsidR="00961888" w:rsidRDefault="00961888" w:rsidP="00DC6BB1">
      <w:pPr>
        <w:suppressAutoHyphens/>
        <w:overflowPunct w:val="0"/>
        <w:autoSpaceDE w:val="0"/>
        <w:spacing w:after="0" w:line="240" w:lineRule="auto"/>
        <w:textAlignment w:val="baseline"/>
        <w:rPr>
          <w:rFonts w:ascii="Arial" w:eastAsia="Times New Roman" w:hAnsi="Arial" w:cs="Arial"/>
          <w:sz w:val="24"/>
          <w:szCs w:val="24"/>
          <w:lang w:val="de-DE" w:eastAsia="zh-CN"/>
        </w:rPr>
      </w:pPr>
    </w:p>
    <w:p w:rsidR="00961888" w:rsidRDefault="00961888" w:rsidP="00DC6BB1">
      <w:pPr>
        <w:suppressAutoHyphens/>
        <w:overflowPunct w:val="0"/>
        <w:autoSpaceDE w:val="0"/>
        <w:spacing w:after="0" w:line="240" w:lineRule="auto"/>
        <w:textAlignment w:val="baseline"/>
        <w:rPr>
          <w:rFonts w:ascii="Arial" w:eastAsia="Times New Roman" w:hAnsi="Arial" w:cs="Arial"/>
          <w:sz w:val="24"/>
          <w:szCs w:val="24"/>
          <w:lang w:val="de-DE" w:eastAsia="zh-CN"/>
        </w:rPr>
      </w:pPr>
    </w:p>
    <w:p w:rsidR="00961888" w:rsidRDefault="00961888" w:rsidP="00DC6BB1">
      <w:pPr>
        <w:suppressAutoHyphens/>
        <w:overflowPunct w:val="0"/>
        <w:autoSpaceDE w:val="0"/>
        <w:spacing w:after="0" w:line="240" w:lineRule="auto"/>
        <w:textAlignment w:val="baseline"/>
        <w:rPr>
          <w:rFonts w:ascii="Arial" w:eastAsia="Times New Roman" w:hAnsi="Arial" w:cs="Arial"/>
          <w:sz w:val="24"/>
          <w:szCs w:val="24"/>
          <w:lang w:val="de-DE" w:eastAsia="zh-CN"/>
        </w:rPr>
      </w:pPr>
    </w:p>
    <w:p w:rsidR="00961888" w:rsidRDefault="00961888" w:rsidP="00DC6BB1">
      <w:pPr>
        <w:suppressAutoHyphens/>
        <w:overflowPunct w:val="0"/>
        <w:autoSpaceDE w:val="0"/>
        <w:spacing w:after="0" w:line="240" w:lineRule="auto"/>
        <w:textAlignment w:val="baseline"/>
        <w:rPr>
          <w:rFonts w:ascii="Arial" w:eastAsia="Times New Roman" w:hAnsi="Arial" w:cs="Arial"/>
          <w:sz w:val="24"/>
          <w:szCs w:val="24"/>
          <w:lang w:val="de-DE" w:eastAsia="zh-CN"/>
        </w:rPr>
      </w:pPr>
    </w:p>
    <w:p w:rsidR="00961888" w:rsidRDefault="00961888" w:rsidP="00DC6BB1">
      <w:pPr>
        <w:suppressAutoHyphens/>
        <w:overflowPunct w:val="0"/>
        <w:autoSpaceDE w:val="0"/>
        <w:spacing w:after="0" w:line="240" w:lineRule="auto"/>
        <w:textAlignment w:val="baseline"/>
        <w:rPr>
          <w:rFonts w:ascii="Arial" w:eastAsia="Times New Roman" w:hAnsi="Arial" w:cs="Arial"/>
          <w:sz w:val="24"/>
          <w:szCs w:val="24"/>
          <w:lang w:val="de-DE" w:eastAsia="zh-CN"/>
        </w:rPr>
      </w:pPr>
    </w:p>
    <w:p w:rsidR="00961888" w:rsidRDefault="00961888" w:rsidP="00DC6BB1">
      <w:pPr>
        <w:suppressAutoHyphens/>
        <w:overflowPunct w:val="0"/>
        <w:autoSpaceDE w:val="0"/>
        <w:spacing w:after="0" w:line="240" w:lineRule="auto"/>
        <w:textAlignment w:val="baseline"/>
        <w:rPr>
          <w:rFonts w:ascii="Arial" w:eastAsia="Times New Roman" w:hAnsi="Arial" w:cs="Arial"/>
          <w:sz w:val="24"/>
          <w:szCs w:val="24"/>
          <w:lang w:val="de-DE" w:eastAsia="zh-CN"/>
        </w:rPr>
      </w:pPr>
    </w:p>
    <w:p w:rsidR="00DC6BB1" w:rsidRPr="00DC6BB1" w:rsidRDefault="00DC6BB1" w:rsidP="00735C25">
      <w:pPr>
        <w:suppressAutoHyphens/>
        <w:overflowPunct w:val="0"/>
        <w:autoSpaceDE w:val="0"/>
        <w:spacing w:after="0"/>
        <w:textAlignment w:val="baseline"/>
        <w:rPr>
          <w:rFonts w:ascii="Arial" w:eastAsia="Times New Roman" w:hAnsi="Arial" w:cs="Arial"/>
          <w:sz w:val="24"/>
          <w:szCs w:val="24"/>
          <w:lang w:val="de-DE" w:eastAsia="zh-CN"/>
        </w:rPr>
      </w:pPr>
      <w:r w:rsidRPr="00DC6BB1">
        <w:rPr>
          <w:rFonts w:ascii="Arial" w:eastAsia="Times New Roman" w:hAnsi="Arial" w:cs="Arial"/>
          <w:sz w:val="24"/>
          <w:szCs w:val="24"/>
          <w:lang w:val="de-DE" w:eastAsia="zh-CN"/>
        </w:rPr>
        <w:t>Gedruckt mit der Genehmigung der</w:t>
      </w:r>
      <w:r w:rsidRPr="00DC6BB1">
        <w:rPr>
          <w:rFonts w:ascii="Arial" w:eastAsia="Times New Roman" w:hAnsi="Arial" w:cs="Arial"/>
          <w:sz w:val="24"/>
          <w:szCs w:val="24"/>
          <w:lang w:val="de-DE" w:eastAsia="zh-CN"/>
        </w:rPr>
        <w:br/>
        <w:t>Mathematisch-Naturwissenschaftlichen Fakultät der</w:t>
      </w:r>
    </w:p>
    <w:p w:rsidR="00DC6BB1" w:rsidRPr="00DC6BB1" w:rsidRDefault="00DC6BB1" w:rsidP="00735C25">
      <w:pPr>
        <w:suppressAutoHyphens/>
        <w:overflowPunct w:val="0"/>
        <w:autoSpaceDE w:val="0"/>
        <w:spacing w:after="0"/>
        <w:textAlignment w:val="baseline"/>
        <w:rPr>
          <w:rFonts w:ascii="Arial" w:eastAsia="Times New Roman" w:hAnsi="Arial" w:cs="Arial"/>
          <w:sz w:val="24"/>
          <w:szCs w:val="24"/>
          <w:lang w:val="de-DE" w:eastAsia="zh-CN"/>
        </w:rPr>
      </w:pPr>
      <w:r w:rsidRPr="00DC6BB1">
        <w:rPr>
          <w:rFonts w:ascii="Arial" w:eastAsia="Times New Roman" w:hAnsi="Arial" w:cs="Arial"/>
          <w:sz w:val="24"/>
          <w:szCs w:val="24"/>
          <w:lang w:val="de-DE" w:eastAsia="zh-CN"/>
        </w:rPr>
        <w:t>Heinrich-Heine-Universität Düsseldorf</w:t>
      </w:r>
    </w:p>
    <w:p w:rsidR="00DC6BB1" w:rsidRPr="00DC6BB1" w:rsidRDefault="00DC6BB1" w:rsidP="00DC6BB1">
      <w:pPr>
        <w:suppressAutoHyphens/>
        <w:overflowPunct w:val="0"/>
        <w:autoSpaceDE w:val="0"/>
        <w:spacing w:after="0" w:line="240" w:lineRule="auto"/>
        <w:textAlignment w:val="baseline"/>
        <w:rPr>
          <w:rFonts w:ascii="Arial" w:eastAsia="Times New Roman" w:hAnsi="Arial" w:cs="Arial"/>
          <w:sz w:val="24"/>
          <w:szCs w:val="24"/>
          <w:lang w:val="de-DE" w:eastAsia="zh-CN"/>
        </w:rPr>
      </w:pPr>
    </w:p>
    <w:p w:rsidR="00DC6BB1" w:rsidRPr="00DC6BB1" w:rsidRDefault="00DC6BB1" w:rsidP="00DC6BB1">
      <w:pPr>
        <w:suppressAutoHyphens/>
        <w:overflowPunct w:val="0"/>
        <w:autoSpaceDE w:val="0"/>
        <w:spacing w:after="0" w:line="240" w:lineRule="auto"/>
        <w:textAlignment w:val="baseline"/>
        <w:rPr>
          <w:rFonts w:ascii="Arial" w:eastAsia="Times New Roman" w:hAnsi="Arial" w:cs="Arial"/>
          <w:sz w:val="24"/>
          <w:szCs w:val="24"/>
          <w:lang w:val="de-DE" w:eastAsia="zh-CN"/>
        </w:rPr>
      </w:pPr>
    </w:p>
    <w:p w:rsidR="00DC6BB1" w:rsidRPr="00DC6BB1" w:rsidRDefault="00DC6BB1" w:rsidP="00DC6BB1">
      <w:pPr>
        <w:suppressAutoHyphens/>
        <w:overflowPunct w:val="0"/>
        <w:autoSpaceDE w:val="0"/>
        <w:spacing w:after="0" w:line="240" w:lineRule="auto"/>
        <w:textAlignment w:val="baseline"/>
        <w:rPr>
          <w:rFonts w:ascii="Arial" w:eastAsia="Times New Roman" w:hAnsi="Arial" w:cs="Arial"/>
          <w:sz w:val="24"/>
          <w:szCs w:val="24"/>
          <w:lang w:val="de-DE" w:eastAsia="zh-CN"/>
        </w:rPr>
      </w:pPr>
    </w:p>
    <w:p w:rsidR="00DC6BB1" w:rsidRPr="00DC6BB1" w:rsidRDefault="00DC6BB1" w:rsidP="00DC6BB1">
      <w:pPr>
        <w:suppressAutoHyphens/>
        <w:overflowPunct w:val="0"/>
        <w:autoSpaceDE w:val="0"/>
        <w:spacing w:after="0" w:line="240" w:lineRule="auto"/>
        <w:textAlignment w:val="baseline"/>
        <w:rPr>
          <w:rFonts w:ascii="Arial" w:eastAsia="Times New Roman" w:hAnsi="Arial" w:cs="Arial"/>
          <w:sz w:val="24"/>
          <w:szCs w:val="24"/>
          <w:lang w:val="de-DE" w:eastAsia="zh-CN"/>
        </w:rPr>
      </w:pPr>
    </w:p>
    <w:p w:rsidR="00DC6BB1" w:rsidRPr="00DC6BB1" w:rsidRDefault="00DC6BB1" w:rsidP="00DC6BB1">
      <w:pPr>
        <w:suppressAutoHyphens/>
        <w:overflowPunct w:val="0"/>
        <w:autoSpaceDE w:val="0"/>
        <w:spacing w:after="0" w:line="240" w:lineRule="auto"/>
        <w:textAlignment w:val="baseline"/>
        <w:rPr>
          <w:rFonts w:ascii="Arial" w:eastAsia="Times New Roman" w:hAnsi="Arial" w:cs="Arial"/>
          <w:sz w:val="24"/>
          <w:szCs w:val="24"/>
          <w:lang w:val="de-DE" w:eastAsia="zh-CN"/>
        </w:rPr>
      </w:pPr>
      <w:r w:rsidRPr="00DC6BB1">
        <w:rPr>
          <w:rFonts w:ascii="Arial" w:eastAsia="Times New Roman" w:hAnsi="Arial" w:cs="Arial"/>
          <w:sz w:val="24"/>
          <w:szCs w:val="24"/>
          <w:lang w:val="de-DE" w:eastAsia="zh-CN"/>
        </w:rPr>
        <w:t>Referent:</w:t>
      </w:r>
      <w:r>
        <w:rPr>
          <w:rFonts w:ascii="Arial" w:eastAsia="Times New Roman" w:hAnsi="Arial" w:cs="Arial"/>
          <w:sz w:val="24"/>
          <w:szCs w:val="24"/>
          <w:lang w:val="de-DE" w:eastAsia="zh-CN"/>
        </w:rPr>
        <w:t xml:space="preserve"> Prof. Dr. Jürgen Zeier</w:t>
      </w:r>
    </w:p>
    <w:p w:rsidR="00DC6BB1" w:rsidRPr="00DC6BB1" w:rsidRDefault="00DC6BB1" w:rsidP="00DC6BB1">
      <w:pPr>
        <w:suppressAutoHyphens/>
        <w:overflowPunct w:val="0"/>
        <w:autoSpaceDE w:val="0"/>
        <w:spacing w:after="0" w:line="240" w:lineRule="auto"/>
        <w:textAlignment w:val="baseline"/>
        <w:rPr>
          <w:rFonts w:ascii="Arial" w:eastAsia="Times New Roman" w:hAnsi="Arial" w:cs="Arial"/>
          <w:sz w:val="24"/>
          <w:szCs w:val="24"/>
          <w:lang w:val="de-DE" w:eastAsia="zh-CN"/>
        </w:rPr>
      </w:pPr>
    </w:p>
    <w:p w:rsidR="00DC6BB1" w:rsidRPr="00DC6BB1" w:rsidRDefault="00DC6BB1" w:rsidP="00DC6BB1">
      <w:pPr>
        <w:suppressAutoHyphens/>
        <w:overflowPunct w:val="0"/>
        <w:autoSpaceDE w:val="0"/>
        <w:spacing w:after="0" w:line="240" w:lineRule="auto"/>
        <w:textAlignment w:val="baseline"/>
        <w:rPr>
          <w:rFonts w:ascii="Arial" w:eastAsia="Times New Roman" w:hAnsi="Arial" w:cs="Arial"/>
          <w:sz w:val="24"/>
          <w:szCs w:val="24"/>
          <w:lang w:val="de-DE" w:eastAsia="zh-CN"/>
        </w:rPr>
      </w:pPr>
      <w:r w:rsidRPr="00DC6BB1">
        <w:rPr>
          <w:rFonts w:ascii="Arial" w:eastAsia="Times New Roman" w:hAnsi="Arial" w:cs="Arial"/>
          <w:sz w:val="24"/>
          <w:szCs w:val="24"/>
          <w:lang w:val="de-DE" w:eastAsia="zh-CN"/>
        </w:rPr>
        <w:t>Korreferent:</w:t>
      </w:r>
      <w:r>
        <w:rPr>
          <w:rFonts w:ascii="Arial" w:eastAsia="Times New Roman" w:hAnsi="Arial" w:cs="Arial"/>
          <w:sz w:val="24"/>
          <w:szCs w:val="24"/>
          <w:lang w:val="de-DE" w:eastAsia="zh-CN"/>
        </w:rPr>
        <w:t xml:space="preserve"> Prof. Dr. Michael Feldbrügge</w:t>
      </w:r>
    </w:p>
    <w:p w:rsidR="00DC6BB1" w:rsidRPr="00DC6BB1" w:rsidRDefault="00DC6BB1" w:rsidP="00DC6BB1">
      <w:pPr>
        <w:suppressAutoHyphens/>
        <w:overflowPunct w:val="0"/>
        <w:autoSpaceDE w:val="0"/>
        <w:spacing w:after="0" w:line="240" w:lineRule="auto"/>
        <w:textAlignment w:val="baseline"/>
        <w:rPr>
          <w:rFonts w:ascii="Arial" w:eastAsia="Times New Roman" w:hAnsi="Arial" w:cs="Arial"/>
          <w:sz w:val="24"/>
          <w:szCs w:val="24"/>
          <w:lang w:val="de-DE" w:eastAsia="zh-CN"/>
        </w:rPr>
      </w:pPr>
    </w:p>
    <w:p w:rsidR="009608E1" w:rsidRDefault="00DC6BB1" w:rsidP="00961888">
      <w:pPr>
        <w:suppressAutoHyphens/>
        <w:overflowPunct w:val="0"/>
        <w:autoSpaceDE w:val="0"/>
        <w:spacing w:after="0" w:line="240" w:lineRule="auto"/>
        <w:textAlignment w:val="baseline"/>
        <w:rPr>
          <w:rFonts w:ascii="Arial" w:eastAsia="Times New Roman" w:hAnsi="Arial" w:cs="Arial"/>
          <w:sz w:val="24"/>
          <w:szCs w:val="24"/>
          <w:lang w:val="de-DE" w:eastAsia="zh-CN"/>
        </w:rPr>
        <w:sectPr w:rsidR="009608E1" w:rsidSect="00DA7C61">
          <w:footerReference w:type="first" r:id="rId9"/>
          <w:pgSz w:w="11906" w:h="16838"/>
          <w:pgMar w:top="1417" w:right="1417" w:bottom="1134" w:left="1417" w:header="708" w:footer="708" w:gutter="0"/>
          <w:cols w:space="708"/>
          <w:titlePg/>
          <w:docGrid w:linePitch="360"/>
        </w:sectPr>
      </w:pPr>
      <w:r w:rsidRPr="00F22501">
        <w:rPr>
          <w:rFonts w:ascii="Arial" w:eastAsia="Times New Roman" w:hAnsi="Arial" w:cs="Arial"/>
          <w:sz w:val="24"/>
          <w:szCs w:val="24"/>
          <w:lang w:val="de-DE" w:eastAsia="zh-CN"/>
        </w:rPr>
        <w:t>Tag der mündlichen Prüfung:</w:t>
      </w:r>
      <w:r w:rsidR="00E0008D">
        <w:rPr>
          <w:rFonts w:ascii="Arial" w:eastAsia="Times New Roman" w:hAnsi="Arial" w:cs="Arial"/>
          <w:sz w:val="24"/>
          <w:szCs w:val="24"/>
          <w:lang w:val="de-DE" w:eastAsia="zh-CN"/>
        </w:rPr>
        <w:t xml:space="preserve"> 4. September 2015</w:t>
      </w:r>
      <w:bookmarkStart w:id="0" w:name="_GoBack"/>
      <w:bookmarkEnd w:id="0"/>
      <w:r w:rsidRPr="00F22501">
        <w:rPr>
          <w:rFonts w:ascii="Arial" w:eastAsia="Times New Roman" w:hAnsi="Arial" w:cs="Arial"/>
          <w:sz w:val="24"/>
          <w:szCs w:val="24"/>
          <w:lang w:val="de-DE" w:eastAsia="zh-CN"/>
        </w:rPr>
        <w:br/>
      </w:r>
    </w:p>
    <w:p w:rsidR="00961888" w:rsidRDefault="00961888" w:rsidP="00961888">
      <w:pPr>
        <w:suppressAutoHyphens/>
        <w:overflowPunct w:val="0"/>
        <w:autoSpaceDE w:val="0"/>
        <w:spacing w:after="0" w:line="240" w:lineRule="auto"/>
        <w:textAlignment w:val="baseline"/>
        <w:rPr>
          <w:rFonts w:ascii="Arial" w:eastAsia="Times New Roman" w:hAnsi="Arial" w:cs="Arial"/>
          <w:sz w:val="24"/>
          <w:szCs w:val="24"/>
          <w:lang w:val="de-DE" w:eastAsia="zh-CN"/>
        </w:rPr>
      </w:pPr>
    </w:p>
    <w:p w:rsidR="009608E1" w:rsidRPr="00F22501" w:rsidRDefault="009608E1" w:rsidP="00961888">
      <w:pPr>
        <w:suppressAutoHyphens/>
        <w:overflowPunct w:val="0"/>
        <w:autoSpaceDE w:val="0"/>
        <w:spacing w:after="0" w:line="240" w:lineRule="auto"/>
        <w:textAlignment w:val="baseline"/>
        <w:rPr>
          <w:rFonts w:ascii="Arial" w:eastAsia="Times New Roman" w:hAnsi="Arial" w:cs="Arial"/>
          <w:sz w:val="24"/>
          <w:szCs w:val="24"/>
          <w:lang w:val="de-DE" w:eastAsia="zh-CN"/>
        </w:rPr>
      </w:pPr>
    </w:p>
    <w:p w:rsidR="00C37652" w:rsidRPr="00563EC1" w:rsidRDefault="00F6264B" w:rsidP="00B2023F">
      <w:pPr>
        <w:rPr>
          <w:rFonts w:asciiTheme="majorHAnsi" w:hAnsiTheme="majorHAnsi" w:cstheme="majorHAnsi"/>
          <w:b/>
          <w:bCs/>
          <w:caps/>
          <w:sz w:val="24"/>
          <w:szCs w:val="24"/>
          <w:lang w:val="de-DE"/>
        </w:rPr>
      </w:pPr>
      <w:r w:rsidRPr="00B2023F">
        <w:rPr>
          <w:b/>
          <w:sz w:val="28"/>
          <w:szCs w:val="28"/>
          <w:lang w:val="de-DE"/>
        </w:rPr>
        <w:lastRenderedPageBreak/>
        <w:t>Table of contents</w:t>
      </w:r>
    </w:p>
    <w:p w:rsidR="000471F8" w:rsidRDefault="00F051AC">
      <w:pPr>
        <w:pStyle w:val="Verzeichnis1"/>
        <w:tabs>
          <w:tab w:val="right" w:leader="dot" w:pos="9062"/>
        </w:tabs>
        <w:rPr>
          <w:rFonts w:asciiTheme="minorHAnsi" w:eastAsiaTheme="minorEastAsia" w:hAnsiTheme="minorHAnsi" w:cstheme="minorBidi"/>
          <w:b w:val="0"/>
          <w:bCs w:val="0"/>
          <w:caps w:val="0"/>
          <w:noProof/>
          <w:sz w:val="22"/>
          <w:szCs w:val="22"/>
          <w:lang w:val="de-DE" w:eastAsia="de-DE"/>
        </w:rPr>
      </w:pPr>
      <w:r>
        <w:rPr>
          <w:rFonts w:ascii="Arial" w:eastAsia="Times New Roman" w:hAnsi="Arial" w:cs="Arial"/>
          <w:b w:val="0"/>
          <w:sz w:val="28"/>
          <w:szCs w:val="28"/>
          <w:lang w:val="de-DE" w:eastAsia="zh-CN"/>
        </w:rPr>
        <w:fldChar w:fldCharType="begin"/>
      </w:r>
      <w:r>
        <w:rPr>
          <w:rFonts w:ascii="Arial" w:eastAsia="Times New Roman" w:hAnsi="Arial" w:cs="Arial"/>
          <w:b w:val="0"/>
          <w:sz w:val="28"/>
          <w:szCs w:val="28"/>
          <w:lang w:val="de-DE" w:eastAsia="zh-CN"/>
        </w:rPr>
        <w:instrText xml:space="preserve"> TOC \o "1-3" \h \z \u </w:instrText>
      </w:r>
      <w:r>
        <w:rPr>
          <w:rFonts w:ascii="Arial" w:eastAsia="Times New Roman" w:hAnsi="Arial" w:cs="Arial"/>
          <w:b w:val="0"/>
          <w:sz w:val="28"/>
          <w:szCs w:val="28"/>
          <w:lang w:val="de-DE" w:eastAsia="zh-CN"/>
        </w:rPr>
        <w:fldChar w:fldCharType="separate"/>
      </w:r>
      <w:hyperlink w:anchor="_Toc435621196" w:history="1">
        <w:r w:rsidR="000471F8" w:rsidRPr="00B44FCE">
          <w:rPr>
            <w:rStyle w:val="Hyperlink"/>
            <w:rFonts w:eastAsia="Times New Roman"/>
            <w:noProof/>
            <w:lang w:val="de-DE" w:eastAsia="zh-CN"/>
          </w:rPr>
          <w:t>List of figures</w:t>
        </w:r>
        <w:r w:rsidR="000471F8">
          <w:rPr>
            <w:noProof/>
            <w:webHidden/>
          </w:rPr>
          <w:tab/>
        </w:r>
        <w:r w:rsidR="000471F8">
          <w:rPr>
            <w:noProof/>
            <w:webHidden/>
          </w:rPr>
          <w:fldChar w:fldCharType="begin"/>
        </w:r>
        <w:r w:rsidR="000471F8">
          <w:rPr>
            <w:noProof/>
            <w:webHidden/>
          </w:rPr>
          <w:instrText xml:space="preserve"> PAGEREF _Toc435621196 \h </w:instrText>
        </w:r>
        <w:r w:rsidR="000471F8">
          <w:rPr>
            <w:noProof/>
            <w:webHidden/>
          </w:rPr>
        </w:r>
        <w:r w:rsidR="000471F8">
          <w:rPr>
            <w:noProof/>
            <w:webHidden/>
          </w:rPr>
          <w:fldChar w:fldCharType="separate"/>
        </w:r>
        <w:r w:rsidR="000471F8">
          <w:rPr>
            <w:noProof/>
            <w:webHidden/>
          </w:rPr>
          <w:t>VI</w:t>
        </w:r>
        <w:r w:rsidR="000471F8">
          <w:rPr>
            <w:noProof/>
            <w:webHidden/>
          </w:rPr>
          <w:fldChar w:fldCharType="end"/>
        </w:r>
      </w:hyperlink>
    </w:p>
    <w:p w:rsidR="000471F8" w:rsidRDefault="000471F8">
      <w:pPr>
        <w:pStyle w:val="Verzeichnis1"/>
        <w:tabs>
          <w:tab w:val="right" w:leader="dot" w:pos="9062"/>
        </w:tabs>
        <w:rPr>
          <w:rFonts w:asciiTheme="minorHAnsi" w:eastAsiaTheme="minorEastAsia" w:hAnsiTheme="minorHAnsi" w:cstheme="minorBidi"/>
          <w:b w:val="0"/>
          <w:bCs w:val="0"/>
          <w:caps w:val="0"/>
          <w:noProof/>
          <w:sz w:val="22"/>
          <w:szCs w:val="22"/>
          <w:lang w:val="de-DE" w:eastAsia="de-DE"/>
        </w:rPr>
      </w:pPr>
      <w:hyperlink w:anchor="_Toc435621197" w:history="1">
        <w:r w:rsidRPr="00B44FCE">
          <w:rPr>
            <w:rStyle w:val="Hyperlink"/>
            <w:noProof/>
            <w:lang w:val="de-DE"/>
          </w:rPr>
          <w:t>List of tables</w:t>
        </w:r>
        <w:r>
          <w:rPr>
            <w:noProof/>
            <w:webHidden/>
          </w:rPr>
          <w:tab/>
        </w:r>
        <w:r>
          <w:rPr>
            <w:noProof/>
            <w:webHidden/>
          </w:rPr>
          <w:fldChar w:fldCharType="begin"/>
        </w:r>
        <w:r>
          <w:rPr>
            <w:noProof/>
            <w:webHidden/>
          </w:rPr>
          <w:instrText xml:space="preserve"> PAGEREF _Toc435621197 \h </w:instrText>
        </w:r>
        <w:r>
          <w:rPr>
            <w:noProof/>
            <w:webHidden/>
          </w:rPr>
        </w:r>
        <w:r>
          <w:rPr>
            <w:noProof/>
            <w:webHidden/>
          </w:rPr>
          <w:fldChar w:fldCharType="separate"/>
        </w:r>
        <w:r>
          <w:rPr>
            <w:noProof/>
            <w:webHidden/>
          </w:rPr>
          <w:t>VII</w:t>
        </w:r>
        <w:r>
          <w:rPr>
            <w:noProof/>
            <w:webHidden/>
          </w:rPr>
          <w:fldChar w:fldCharType="end"/>
        </w:r>
      </w:hyperlink>
    </w:p>
    <w:p w:rsidR="000471F8" w:rsidRDefault="000471F8">
      <w:pPr>
        <w:pStyle w:val="Verzeichnis1"/>
        <w:tabs>
          <w:tab w:val="right" w:leader="dot" w:pos="9062"/>
        </w:tabs>
        <w:rPr>
          <w:rFonts w:asciiTheme="minorHAnsi" w:eastAsiaTheme="minorEastAsia" w:hAnsiTheme="minorHAnsi" w:cstheme="minorBidi"/>
          <w:b w:val="0"/>
          <w:bCs w:val="0"/>
          <w:caps w:val="0"/>
          <w:noProof/>
          <w:sz w:val="22"/>
          <w:szCs w:val="22"/>
          <w:lang w:val="de-DE" w:eastAsia="de-DE"/>
        </w:rPr>
      </w:pPr>
      <w:hyperlink w:anchor="_Toc435621198" w:history="1">
        <w:r w:rsidRPr="00B44FCE">
          <w:rPr>
            <w:rStyle w:val="Hyperlink"/>
            <w:noProof/>
            <w:lang w:val="de-DE"/>
          </w:rPr>
          <w:t>Supplemental figures</w:t>
        </w:r>
        <w:r>
          <w:rPr>
            <w:noProof/>
            <w:webHidden/>
          </w:rPr>
          <w:tab/>
        </w:r>
        <w:r>
          <w:rPr>
            <w:noProof/>
            <w:webHidden/>
          </w:rPr>
          <w:fldChar w:fldCharType="begin"/>
        </w:r>
        <w:r>
          <w:rPr>
            <w:noProof/>
            <w:webHidden/>
          </w:rPr>
          <w:instrText xml:space="preserve"> PAGEREF _Toc435621198 \h </w:instrText>
        </w:r>
        <w:r>
          <w:rPr>
            <w:noProof/>
            <w:webHidden/>
          </w:rPr>
        </w:r>
        <w:r>
          <w:rPr>
            <w:noProof/>
            <w:webHidden/>
          </w:rPr>
          <w:fldChar w:fldCharType="separate"/>
        </w:r>
        <w:r>
          <w:rPr>
            <w:noProof/>
            <w:webHidden/>
          </w:rPr>
          <w:t>VIII</w:t>
        </w:r>
        <w:r>
          <w:rPr>
            <w:noProof/>
            <w:webHidden/>
          </w:rPr>
          <w:fldChar w:fldCharType="end"/>
        </w:r>
      </w:hyperlink>
    </w:p>
    <w:p w:rsidR="000471F8" w:rsidRDefault="000471F8">
      <w:pPr>
        <w:pStyle w:val="Verzeichnis1"/>
        <w:tabs>
          <w:tab w:val="right" w:leader="dot" w:pos="9062"/>
        </w:tabs>
        <w:rPr>
          <w:rFonts w:asciiTheme="minorHAnsi" w:eastAsiaTheme="minorEastAsia" w:hAnsiTheme="minorHAnsi" w:cstheme="minorBidi"/>
          <w:b w:val="0"/>
          <w:bCs w:val="0"/>
          <w:caps w:val="0"/>
          <w:noProof/>
          <w:sz w:val="22"/>
          <w:szCs w:val="22"/>
          <w:lang w:val="de-DE" w:eastAsia="de-DE"/>
        </w:rPr>
      </w:pPr>
      <w:hyperlink w:anchor="_Toc435621199" w:history="1">
        <w:r w:rsidRPr="00B44FCE">
          <w:rPr>
            <w:rStyle w:val="Hyperlink"/>
            <w:noProof/>
            <w:lang w:val="en-US"/>
          </w:rPr>
          <w:t>Abbrevations</w:t>
        </w:r>
        <w:r>
          <w:rPr>
            <w:noProof/>
            <w:webHidden/>
          </w:rPr>
          <w:tab/>
        </w:r>
        <w:r>
          <w:rPr>
            <w:noProof/>
            <w:webHidden/>
          </w:rPr>
          <w:fldChar w:fldCharType="begin"/>
        </w:r>
        <w:r>
          <w:rPr>
            <w:noProof/>
            <w:webHidden/>
          </w:rPr>
          <w:instrText xml:space="preserve"> PAGEREF _Toc435621199 \h </w:instrText>
        </w:r>
        <w:r>
          <w:rPr>
            <w:noProof/>
            <w:webHidden/>
          </w:rPr>
        </w:r>
        <w:r>
          <w:rPr>
            <w:noProof/>
            <w:webHidden/>
          </w:rPr>
          <w:fldChar w:fldCharType="separate"/>
        </w:r>
        <w:r>
          <w:rPr>
            <w:noProof/>
            <w:webHidden/>
          </w:rPr>
          <w:t>IX</w:t>
        </w:r>
        <w:r>
          <w:rPr>
            <w:noProof/>
            <w:webHidden/>
          </w:rPr>
          <w:fldChar w:fldCharType="end"/>
        </w:r>
      </w:hyperlink>
    </w:p>
    <w:p w:rsidR="000471F8" w:rsidRDefault="000471F8">
      <w:pPr>
        <w:pStyle w:val="Verzeichnis1"/>
        <w:tabs>
          <w:tab w:val="right" w:leader="dot" w:pos="9062"/>
        </w:tabs>
        <w:rPr>
          <w:rFonts w:asciiTheme="minorHAnsi" w:eastAsiaTheme="minorEastAsia" w:hAnsiTheme="minorHAnsi" w:cstheme="minorBidi"/>
          <w:b w:val="0"/>
          <w:bCs w:val="0"/>
          <w:caps w:val="0"/>
          <w:noProof/>
          <w:sz w:val="22"/>
          <w:szCs w:val="22"/>
          <w:lang w:val="de-DE" w:eastAsia="de-DE"/>
        </w:rPr>
      </w:pPr>
      <w:hyperlink w:anchor="_Toc435621200" w:history="1">
        <w:r w:rsidRPr="00B44FCE">
          <w:rPr>
            <w:rStyle w:val="Hyperlink"/>
            <w:noProof/>
          </w:rPr>
          <w:t>1 Summary</w:t>
        </w:r>
        <w:r>
          <w:rPr>
            <w:noProof/>
            <w:webHidden/>
          </w:rPr>
          <w:tab/>
        </w:r>
        <w:r>
          <w:rPr>
            <w:noProof/>
            <w:webHidden/>
          </w:rPr>
          <w:fldChar w:fldCharType="begin"/>
        </w:r>
        <w:r>
          <w:rPr>
            <w:noProof/>
            <w:webHidden/>
          </w:rPr>
          <w:instrText xml:space="preserve"> PAGEREF _Toc435621200 \h </w:instrText>
        </w:r>
        <w:r>
          <w:rPr>
            <w:noProof/>
            <w:webHidden/>
          </w:rPr>
        </w:r>
        <w:r>
          <w:rPr>
            <w:noProof/>
            <w:webHidden/>
          </w:rPr>
          <w:fldChar w:fldCharType="separate"/>
        </w:r>
        <w:r>
          <w:rPr>
            <w:noProof/>
            <w:webHidden/>
          </w:rPr>
          <w:t>13</w:t>
        </w:r>
        <w:r>
          <w:rPr>
            <w:noProof/>
            <w:webHidden/>
          </w:rPr>
          <w:fldChar w:fldCharType="end"/>
        </w:r>
      </w:hyperlink>
    </w:p>
    <w:p w:rsidR="000471F8" w:rsidRDefault="000471F8">
      <w:pPr>
        <w:pStyle w:val="Verzeichnis1"/>
        <w:tabs>
          <w:tab w:val="right" w:leader="dot" w:pos="9062"/>
        </w:tabs>
        <w:rPr>
          <w:rFonts w:asciiTheme="minorHAnsi" w:eastAsiaTheme="minorEastAsia" w:hAnsiTheme="minorHAnsi" w:cstheme="minorBidi"/>
          <w:b w:val="0"/>
          <w:bCs w:val="0"/>
          <w:caps w:val="0"/>
          <w:noProof/>
          <w:sz w:val="22"/>
          <w:szCs w:val="22"/>
          <w:lang w:val="de-DE" w:eastAsia="de-DE"/>
        </w:rPr>
      </w:pPr>
      <w:hyperlink w:anchor="_Toc435621201" w:history="1">
        <w:r w:rsidRPr="00B44FCE">
          <w:rPr>
            <w:rStyle w:val="Hyperlink"/>
            <w:noProof/>
            <w:lang w:val="de-DE"/>
          </w:rPr>
          <w:t>2 Zusammenfassung</w:t>
        </w:r>
        <w:r>
          <w:rPr>
            <w:noProof/>
            <w:webHidden/>
          </w:rPr>
          <w:tab/>
        </w:r>
        <w:r>
          <w:rPr>
            <w:noProof/>
            <w:webHidden/>
          </w:rPr>
          <w:fldChar w:fldCharType="begin"/>
        </w:r>
        <w:r>
          <w:rPr>
            <w:noProof/>
            <w:webHidden/>
          </w:rPr>
          <w:instrText xml:space="preserve"> PAGEREF _Toc435621201 \h </w:instrText>
        </w:r>
        <w:r>
          <w:rPr>
            <w:noProof/>
            <w:webHidden/>
          </w:rPr>
        </w:r>
        <w:r>
          <w:rPr>
            <w:noProof/>
            <w:webHidden/>
          </w:rPr>
          <w:fldChar w:fldCharType="separate"/>
        </w:r>
        <w:r>
          <w:rPr>
            <w:noProof/>
            <w:webHidden/>
          </w:rPr>
          <w:t>14</w:t>
        </w:r>
        <w:r>
          <w:rPr>
            <w:noProof/>
            <w:webHidden/>
          </w:rPr>
          <w:fldChar w:fldCharType="end"/>
        </w:r>
      </w:hyperlink>
    </w:p>
    <w:p w:rsidR="000471F8" w:rsidRDefault="000471F8">
      <w:pPr>
        <w:pStyle w:val="Verzeichnis1"/>
        <w:tabs>
          <w:tab w:val="right" w:leader="dot" w:pos="9062"/>
        </w:tabs>
        <w:rPr>
          <w:rFonts w:asciiTheme="minorHAnsi" w:eastAsiaTheme="minorEastAsia" w:hAnsiTheme="minorHAnsi" w:cstheme="minorBidi"/>
          <w:b w:val="0"/>
          <w:bCs w:val="0"/>
          <w:caps w:val="0"/>
          <w:noProof/>
          <w:sz w:val="22"/>
          <w:szCs w:val="22"/>
          <w:lang w:val="de-DE" w:eastAsia="de-DE"/>
        </w:rPr>
      </w:pPr>
      <w:hyperlink w:anchor="_Toc435621202" w:history="1">
        <w:r w:rsidRPr="00B44FCE">
          <w:rPr>
            <w:rStyle w:val="Hyperlink"/>
            <w:noProof/>
          </w:rPr>
          <w:t>3 Introduction</w:t>
        </w:r>
        <w:r>
          <w:rPr>
            <w:noProof/>
            <w:webHidden/>
          </w:rPr>
          <w:tab/>
        </w:r>
        <w:r>
          <w:rPr>
            <w:noProof/>
            <w:webHidden/>
          </w:rPr>
          <w:fldChar w:fldCharType="begin"/>
        </w:r>
        <w:r>
          <w:rPr>
            <w:noProof/>
            <w:webHidden/>
          </w:rPr>
          <w:instrText xml:space="preserve"> PAGEREF _Toc435621202 \h </w:instrText>
        </w:r>
        <w:r>
          <w:rPr>
            <w:noProof/>
            <w:webHidden/>
          </w:rPr>
        </w:r>
        <w:r>
          <w:rPr>
            <w:noProof/>
            <w:webHidden/>
          </w:rPr>
          <w:fldChar w:fldCharType="separate"/>
        </w:r>
        <w:r>
          <w:rPr>
            <w:noProof/>
            <w:webHidden/>
          </w:rPr>
          <w:t>15</w:t>
        </w:r>
        <w:r>
          <w:rPr>
            <w:noProof/>
            <w:webHidden/>
          </w:rPr>
          <w:fldChar w:fldCharType="end"/>
        </w:r>
      </w:hyperlink>
    </w:p>
    <w:p w:rsidR="000471F8" w:rsidRDefault="000471F8">
      <w:pPr>
        <w:pStyle w:val="Verzeichnis2"/>
        <w:tabs>
          <w:tab w:val="right" w:leader="dot" w:pos="9062"/>
        </w:tabs>
        <w:rPr>
          <w:rFonts w:eastAsiaTheme="minorEastAsia" w:cstheme="minorBidi"/>
          <w:b w:val="0"/>
          <w:bCs w:val="0"/>
          <w:noProof/>
          <w:sz w:val="22"/>
          <w:szCs w:val="22"/>
          <w:lang w:val="de-DE" w:eastAsia="de-DE"/>
        </w:rPr>
      </w:pPr>
      <w:hyperlink w:anchor="_Toc435621203" w:history="1">
        <w:r w:rsidRPr="00B44FCE">
          <w:rPr>
            <w:rStyle w:val="Hyperlink"/>
            <w:noProof/>
          </w:rPr>
          <w:t>3.1 Plant life –surviving in an adverse environment</w:t>
        </w:r>
        <w:r>
          <w:rPr>
            <w:noProof/>
            <w:webHidden/>
          </w:rPr>
          <w:tab/>
        </w:r>
        <w:r>
          <w:rPr>
            <w:noProof/>
            <w:webHidden/>
          </w:rPr>
          <w:fldChar w:fldCharType="begin"/>
        </w:r>
        <w:r>
          <w:rPr>
            <w:noProof/>
            <w:webHidden/>
          </w:rPr>
          <w:instrText xml:space="preserve"> PAGEREF _Toc435621203 \h </w:instrText>
        </w:r>
        <w:r>
          <w:rPr>
            <w:noProof/>
            <w:webHidden/>
          </w:rPr>
        </w:r>
        <w:r>
          <w:rPr>
            <w:noProof/>
            <w:webHidden/>
          </w:rPr>
          <w:fldChar w:fldCharType="separate"/>
        </w:r>
        <w:r>
          <w:rPr>
            <w:noProof/>
            <w:webHidden/>
          </w:rPr>
          <w:t>15</w:t>
        </w:r>
        <w:r>
          <w:rPr>
            <w:noProof/>
            <w:webHidden/>
          </w:rPr>
          <w:fldChar w:fldCharType="end"/>
        </w:r>
      </w:hyperlink>
    </w:p>
    <w:p w:rsidR="000471F8" w:rsidRDefault="000471F8">
      <w:pPr>
        <w:pStyle w:val="Verzeichnis2"/>
        <w:tabs>
          <w:tab w:val="right" w:leader="dot" w:pos="9062"/>
        </w:tabs>
        <w:rPr>
          <w:rFonts w:eastAsiaTheme="minorEastAsia" w:cstheme="minorBidi"/>
          <w:b w:val="0"/>
          <w:bCs w:val="0"/>
          <w:noProof/>
          <w:sz w:val="22"/>
          <w:szCs w:val="22"/>
          <w:lang w:val="de-DE" w:eastAsia="de-DE"/>
        </w:rPr>
      </w:pPr>
      <w:hyperlink w:anchor="_Toc435621204" w:history="1">
        <w:r w:rsidRPr="00B44FCE">
          <w:rPr>
            <w:rStyle w:val="Hyperlink"/>
            <w:noProof/>
          </w:rPr>
          <w:t>3.2 Molecular principles of innate immunity</w:t>
        </w:r>
        <w:r>
          <w:rPr>
            <w:noProof/>
            <w:webHidden/>
          </w:rPr>
          <w:tab/>
        </w:r>
        <w:r>
          <w:rPr>
            <w:noProof/>
            <w:webHidden/>
          </w:rPr>
          <w:fldChar w:fldCharType="begin"/>
        </w:r>
        <w:r>
          <w:rPr>
            <w:noProof/>
            <w:webHidden/>
          </w:rPr>
          <w:instrText xml:space="preserve"> PAGEREF _Toc435621204 \h </w:instrText>
        </w:r>
        <w:r>
          <w:rPr>
            <w:noProof/>
            <w:webHidden/>
          </w:rPr>
        </w:r>
        <w:r>
          <w:rPr>
            <w:noProof/>
            <w:webHidden/>
          </w:rPr>
          <w:fldChar w:fldCharType="separate"/>
        </w:r>
        <w:r>
          <w:rPr>
            <w:noProof/>
            <w:webHidden/>
          </w:rPr>
          <w:t>16</w:t>
        </w:r>
        <w:r>
          <w:rPr>
            <w:noProof/>
            <w:webHidden/>
          </w:rPr>
          <w:fldChar w:fldCharType="end"/>
        </w:r>
      </w:hyperlink>
    </w:p>
    <w:p w:rsidR="000471F8" w:rsidRDefault="000471F8">
      <w:pPr>
        <w:pStyle w:val="Verzeichnis2"/>
        <w:tabs>
          <w:tab w:val="right" w:leader="dot" w:pos="9062"/>
        </w:tabs>
        <w:rPr>
          <w:rFonts w:eastAsiaTheme="minorEastAsia" w:cstheme="minorBidi"/>
          <w:b w:val="0"/>
          <w:bCs w:val="0"/>
          <w:noProof/>
          <w:sz w:val="22"/>
          <w:szCs w:val="22"/>
          <w:lang w:val="de-DE" w:eastAsia="de-DE"/>
        </w:rPr>
      </w:pPr>
      <w:hyperlink w:anchor="_Toc435621205" w:history="1">
        <w:r w:rsidRPr="00B44FCE">
          <w:rPr>
            <w:rStyle w:val="Hyperlink"/>
            <w:noProof/>
          </w:rPr>
          <w:t>3.3 Systemic acquired resistance and defence signalling</w:t>
        </w:r>
        <w:r>
          <w:rPr>
            <w:noProof/>
            <w:webHidden/>
          </w:rPr>
          <w:tab/>
        </w:r>
        <w:r>
          <w:rPr>
            <w:noProof/>
            <w:webHidden/>
          </w:rPr>
          <w:fldChar w:fldCharType="begin"/>
        </w:r>
        <w:r>
          <w:rPr>
            <w:noProof/>
            <w:webHidden/>
          </w:rPr>
          <w:instrText xml:space="preserve"> PAGEREF _Toc435621205 \h </w:instrText>
        </w:r>
        <w:r>
          <w:rPr>
            <w:noProof/>
            <w:webHidden/>
          </w:rPr>
        </w:r>
        <w:r>
          <w:rPr>
            <w:noProof/>
            <w:webHidden/>
          </w:rPr>
          <w:fldChar w:fldCharType="separate"/>
        </w:r>
        <w:r>
          <w:rPr>
            <w:noProof/>
            <w:webHidden/>
          </w:rPr>
          <w:t>20</w:t>
        </w:r>
        <w:r>
          <w:rPr>
            <w:noProof/>
            <w:webHidden/>
          </w:rPr>
          <w:fldChar w:fldCharType="end"/>
        </w:r>
      </w:hyperlink>
    </w:p>
    <w:p w:rsidR="000471F8" w:rsidRDefault="000471F8">
      <w:pPr>
        <w:pStyle w:val="Verzeichnis2"/>
        <w:tabs>
          <w:tab w:val="right" w:leader="dot" w:pos="9062"/>
        </w:tabs>
        <w:rPr>
          <w:rFonts w:eastAsiaTheme="minorEastAsia" w:cstheme="minorBidi"/>
          <w:b w:val="0"/>
          <w:bCs w:val="0"/>
          <w:noProof/>
          <w:sz w:val="22"/>
          <w:szCs w:val="22"/>
          <w:lang w:val="de-DE" w:eastAsia="de-DE"/>
        </w:rPr>
      </w:pPr>
      <w:hyperlink w:anchor="_Toc435621206" w:history="1">
        <w:r w:rsidRPr="00B44FCE">
          <w:rPr>
            <w:rStyle w:val="Hyperlink"/>
            <w:noProof/>
          </w:rPr>
          <w:t>3.4 Mitogen-activated protein kinase signalling in plants</w:t>
        </w:r>
        <w:r>
          <w:rPr>
            <w:noProof/>
            <w:webHidden/>
          </w:rPr>
          <w:tab/>
        </w:r>
        <w:r>
          <w:rPr>
            <w:noProof/>
            <w:webHidden/>
          </w:rPr>
          <w:fldChar w:fldCharType="begin"/>
        </w:r>
        <w:r>
          <w:rPr>
            <w:noProof/>
            <w:webHidden/>
          </w:rPr>
          <w:instrText xml:space="preserve"> PAGEREF _Toc435621206 \h </w:instrText>
        </w:r>
        <w:r>
          <w:rPr>
            <w:noProof/>
            <w:webHidden/>
          </w:rPr>
        </w:r>
        <w:r>
          <w:rPr>
            <w:noProof/>
            <w:webHidden/>
          </w:rPr>
          <w:fldChar w:fldCharType="separate"/>
        </w:r>
        <w:r>
          <w:rPr>
            <w:noProof/>
            <w:webHidden/>
          </w:rPr>
          <w:t>28</w:t>
        </w:r>
        <w:r>
          <w:rPr>
            <w:noProof/>
            <w:webHidden/>
          </w:rPr>
          <w:fldChar w:fldCharType="end"/>
        </w:r>
      </w:hyperlink>
    </w:p>
    <w:p w:rsidR="000471F8" w:rsidRDefault="000471F8">
      <w:pPr>
        <w:pStyle w:val="Verzeichnis2"/>
        <w:tabs>
          <w:tab w:val="right" w:leader="dot" w:pos="9062"/>
        </w:tabs>
        <w:rPr>
          <w:rFonts w:eastAsiaTheme="minorEastAsia" w:cstheme="minorBidi"/>
          <w:b w:val="0"/>
          <w:bCs w:val="0"/>
          <w:noProof/>
          <w:sz w:val="22"/>
          <w:szCs w:val="22"/>
          <w:lang w:val="de-DE" w:eastAsia="de-DE"/>
        </w:rPr>
      </w:pPr>
      <w:hyperlink w:anchor="_Toc435621207" w:history="1">
        <w:r w:rsidRPr="00B44FCE">
          <w:rPr>
            <w:rStyle w:val="Hyperlink"/>
            <w:noProof/>
          </w:rPr>
          <w:t>3.5 Chemical inducers of plant pathogen resistance</w:t>
        </w:r>
        <w:r>
          <w:rPr>
            <w:noProof/>
            <w:webHidden/>
          </w:rPr>
          <w:tab/>
        </w:r>
        <w:r>
          <w:rPr>
            <w:noProof/>
            <w:webHidden/>
          </w:rPr>
          <w:fldChar w:fldCharType="begin"/>
        </w:r>
        <w:r>
          <w:rPr>
            <w:noProof/>
            <w:webHidden/>
          </w:rPr>
          <w:instrText xml:space="preserve"> PAGEREF _Toc435621207 \h </w:instrText>
        </w:r>
        <w:r>
          <w:rPr>
            <w:noProof/>
            <w:webHidden/>
          </w:rPr>
        </w:r>
        <w:r>
          <w:rPr>
            <w:noProof/>
            <w:webHidden/>
          </w:rPr>
          <w:fldChar w:fldCharType="separate"/>
        </w:r>
        <w:r>
          <w:rPr>
            <w:noProof/>
            <w:webHidden/>
          </w:rPr>
          <w:t>29</w:t>
        </w:r>
        <w:r>
          <w:rPr>
            <w:noProof/>
            <w:webHidden/>
          </w:rPr>
          <w:fldChar w:fldCharType="end"/>
        </w:r>
      </w:hyperlink>
    </w:p>
    <w:p w:rsidR="000471F8" w:rsidRDefault="000471F8">
      <w:pPr>
        <w:pStyle w:val="Verzeichnis2"/>
        <w:tabs>
          <w:tab w:val="right" w:leader="dot" w:pos="9062"/>
        </w:tabs>
        <w:rPr>
          <w:rFonts w:eastAsiaTheme="minorEastAsia" w:cstheme="minorBidi"/>
          <w:b w:val="0"/>
          <w:bCs w:val="0"/>
          <w:noProof/>
          <w:sz w:val="22"/>
          <w:szCs w:val="22"/>
          <w:lang w:val="de-DE" w:eastAsia="de-DE"/>
        </w:rPr>
      </w:pPr>
      <w:hyperlink w:anchor="_Toc435621208" w:history="1">
        <w:r w:rsidRPr="00B44FCE">
          <w:rPr>
            <w:rStyle w:val="Hyperlink"/>
            <w:noProof/>
          </w:rPr>
          <w:t>3.6 Mechanisms of priming in systemic acquired and chemical-induced resistance</w:t>
        </w:r>
        <w:r>
          <w:rPr>
            <w:noProof/>
            <w:webHidden/>
          </w:rPr>
          <w:tab/>
        </w:r>
        <w:r>
          <w:rPr>
            <w:noProof/>
            <w:webHidden/>
          </w:rPr>
          <w:fldChar w:fldCharType="begin"/>
        </w:r>
        <w:r>
          <w:rPr>
            <w:noProof/>
            <w:webHidden/>
          </w:rPr>
          <w:instrText xml:space="preserve"> PAGEREF _Toc435621208 \h </w:instrText>
        </w:r>
        <w:r>
          <w:rPr>
            <w:noProof/>
            <w:webHidden/>
          </w:rPr>
        </w:r>
        <w:r>
          <w:rPr>
            <w:noProof/>
            <w:webHidden/>
          </w:rPr>
          <w:fldChar w:fldCharType="separate"/>
        </w:r>
        <w:r>
          <w:rPr>
            <w:noProof/>
            <w:webHidden/>
          </w:rPr>
          <w:t>30</w:t>
        </w:r>
        <w:r>
          <w:rPr>
            <w:noProof/>
            <w:webHidden/>
          </w:rPr>
          <w:fldChar w:fldCharType="end"/>
        </w:r>
      </w:hyperlink>
    </w:p>
    <w:p w:rsidR="000471F8" w:rsidRDefault="000471F8">
      <w:pPr>
        <w:pStyle w:val="Verzeichnis2"/>
        <w:tabs>
          <w:tab w:val="right" w:leader="dot" w:pos="9062"/>
        </w:tabs>
        <w:rPr>
          <w:rFonts w:eastAsiaTheme="minorEastAsia" w:cstheme="minorBidi"/>
          <w:b w:val="0"/>
          <w:bCs w:val="0"/>
          <w:noProof/>
          <w:sz w:val="22"/>
          <w:szCs w:val="22"/>
          <w:lang w:val="de-DE" w:eastAsia="de-DE"/>
        </w:rPr>
      </w:pPr>
      <w:hyperlink w:anchor="_Toc435621209" w:history="1">
        <w:r w:rsidRPr="00B44FCE">
          <w:rPr>
            <w:rStyle w:val="Hyperlink"/>
            <w:noProof/>
          </w:rPr>
          <w:t xml:space="preserve">3.7 The grey mould disease agent </w:t>
        </w:r>
        <w:r w:rsidRPr="00B44FCE">
          <w:rPr>
            <w:rStyle w:val="Hyperlink"/>
            <w:i/>
            <w:noProof/>
          </w:rPr>
          <w:t>Botrytis cinerea</w:t>
        </w:r>
        <w:r>
          <w:rPr>
            <w:noProof/>
            <w:webHidden/>
          </w:rPr>
          <w:tab/>
        </w:r>
        <w:r>
          <w:rPr>
            <w:noProof/>
            <w:webHidden/>
          </w:rPr>
          <w:fldChar w:fldCharType="begin"/>
        </w:r>
        <w:r>
          <w:rPr>
            <w:noProof/>
            <w:webHidden/>
          </w:rPr>
          <w:instrText xml:space="preserve"> PAGEREF _Toc435621209 \h </w:instrText>
        </w:r>
        <w:r>
          <w:rPr>
            <w:noProof/>
            <w:webHidden/>
          </w:rPr>
        </w:r>
        <w:r>
          <w:rPr>
            <w:noProof/>
            <w:webHidden/>
          </w:rPr>
          <w:fldChar w:fldCharType="separate"/>
        </w:r>
        <w:r>
          <w:rPr>
            <w:noProof/>
            <w:webHidden/>
          </w:rPr>
          <w:t>34</w:t>
        </w:r>
        <w:r>
          <w:rPr>
            <w:noProof/>
            <w:webHidden/>
          </w:rPr>
          <w:fldChar w:fldCharType="end"/>
        </w:r>
      </w:hyperlink>
    </w:p>
    <w:p w:rsidR="000471F8" w:rsidRDefault="000471F8">
      <w:pPr>
        <w:pStyle w:val="Verzeichnis2"/>
        <w:tabs>
          <w:tab w:val="right" w:leader="dot" w:pos="9062"/>
        </w:tabs>
        <w:rPr>
          <w:rFonts w:eastAsiaTheme="minorEastAsia" w:cstheme="minorBidi"/>
          <w:b w:val="0"/>
          <w:bCs w:val="0"/>
          <w:noProof/>
          <w:sz w:val="22"/>
          <w:szCs w:val="22"/>
          <w:lang w:val="de-DE" w:eastAsia="de-DE"/>
        </w:rPr>
      </w:pPr>
      <w:hyperlink w:anchor="_Toc435621210" w:history="1">
        <w:r w:rsidRPr="00B44FCE">
          <w:rPr>
            <w:rStyle w:val="Hyperlink"/>
            <w:noProof/>
          </w:rPr>
          <w:t xml:space="preserve">3.8 Resistance against the powdery mildew fungus </w:t>
        </w:r>
        <w:r w:rsidRPr="00B44FCE">
          <w:rPr>
            <w:rStyle w:val="Hyperlink"/>
            <w:i/>
            <w:noProof/>
          </w:rPr>
          <w:t>Golovinomyces orontii</w:t>
        </w:r>
        <w:r>
          <w:rPr>
            <w:noProof/>
            <w:webHidden/>
          </w:rPr>
          <w:tab/>
        </w:r>
        <w:r>
          <w:rPr>
            <w:noProof/>
            <w:webHidden/>
          </w:rPr>
          <w:fldChar w:fldCharType="begin"/>
        </w:r>
        <w:r>
          <w:rPr>
            <w:noProof/>
            <w:webHidden/>
          </w:rPr>
          <w:instrText xml:space="preserve"> PAGEREF _Toc435621210 \h </w:instrText>
        </w:r>
        <w:r>
          <w:rPr>
            <w:noProof/>
            <w:webHidden/>
          </w:rPr>
        </w:r>
        <w:r>
          <w:rPr>
            <w:noProof/>
            <w:webHidden/>
          </w:rPr>
          <w:fldChar w:fldCharType="separate"/>
        </w:r>
        <w:r>
          <w:rPr>
            <w:noProof/>
            <w:webHidden/>
          </w:rPr>
          <w:t>36</w:t>
        </w:r>
        <w:r>
          <w:rPr>
            <w:noProof/>
            <w:webHidden/>
          </w:rPr>
          <w:fldChar w:fldCharType="end"/>
        </w:r>
      </w:hyperlink>
    </w:p>
    <w:p w:rsidR="000471F8" w:rsidRDefault="000471F8">
      <w:pPr>
        <w:pStyle w:val="Verzeichnis2"/>
        <w:tabs>
          <w:tab w:val="right" w:leader="dot" w:pos="9062"/>
        </w:tabs>
        <w:rPr>
          <w:rFonts w:eastAsiaTheme="minorEastAsia" w:cstheme="minorBidi"/>
          <w:b w:val="0"/>
          <w:bCs w:val="0"/>
          <w:noProof/>
          <w:sz w:val="22"/>
          <w:szCs w:val="22"/>
          <w:lang w:val="de-DE" w:eastAsia="de-DE"/>
        </w:rPr>
      </w:pPr>
      <w:hyperlink w:anchor="_Toc435621211" w:history="1">
        <w:r w:rsidRPr="00B44FCE">
          <w:rPr>
            <w:rStyle w:val="Hyperlink"/>
            <w:noProof/>
          </w:rPr>
          <w:t xml:space="preserve">3.9 The biotrophic oomycete </w:t>
        </w:r>
        <w:r w:rsidRPr="00B44FCE">
          <w:rPr>
            <w:rStyle w:val="Hyperlink"/>
            <w:i/>
            <w:noProof/>
          </w:rPr>
          <w:t>Hyaloperonospora arabidopsidis</w:t>
        </w:r>
        <w:r w:rsidRPr="00B44FCE">
          <w:rPr>
            <w:rStyle w:val="Hyperlink"/>
            <w:noProof/>
          </w:rPr>
          <w:t xml:space="preserve"> specialised on </w:t>
        </w:r>
        <w:r w:rsidRPr="00B44FCE">
          <w:rPr>
            <w:rStyle w:val="Hyperlink"/>
            <w:i/>
            <w:noProof/>
          </w:rPr>
          <w:t>Arabidopsis thaliana</w:t>
        </w:r>
        <w:r>
          <w:rPr>
            <w:noProof/>
            <w:webHidden/>
          </w:rPr>
          <w:tab/>
        </w:r>
        <w:r>
          <w:rPr>
            <w:noProof/>
            <w:webHidden/>
          </w:rPr>
          <w:fldChar w:fldCharType="begin"/>
        </w:r>
        <w:r>
          <w:rPr>
            <w:noProof/>
            <w:webHidden/>
          </w:rPr>
          <w:instrText xml:space="preserve"> PAGEREF _Toc435621211 \h </w:instrText>
        </w:r>
        <w:r>
          <w:rPr>
            <w:noProof/>
            <w:webHidden/>
          </w:rPr>
        </w:r>
        <w:r>
          <w:rPr>
            <w:noProof/>
            <w:webHidden/>
          </w:rPr>
          <w:fldChar w:fldCharType="separate"/>
        </w:r>
        <w:r>
          <w:rPr>
            <w:noProof/>
            <w:webHidden/>
          </w:rPr>
          <w:t>38</w:t>
        </w:r>
        <w:r>
          <w:rPr>
            <w:noProof/>
            <w:webHidden/>
          </w:rPr>
          <w:fldChar w:fldCharType="end"/>
        </w:r>
      </w:hyperlink>
    </w:p>
    <w:p w:rsidR="000471F8" w:rsidRDefault="000471F8">
      <w:pPr>
        <w:pStyle w:val="Verzeichnis1"/>
        <w:tabs>
          <w:tab w:val="right" w:leader="dot" w:pos="9062"/>
        </w:tabs>
        <w:rPr>
          <w:rFonts w:asciiTheme="minorHAnsi" w:eastAsiaTheme="minorEastAsia" w:hAnsiTheme="minorHAnsi" w:cstheme="minorBidi"/>
          <w:b w:val="0"/>
          <w:bCs w:val="0"/>
          <w:caps w:val="0"/>
          <w:noProof/>
          <w:sz w:val="22"/>
          <w:szCs w:val="22"/>
          <w:lang w:val="de-DE" w:eastAsia="de-DE"/>
        </w:rPr>
      </w:pPr>
      <w:hyperlink w:anchor="_Toc435621212" w:history="1">
        <w:r w:rsidRPr="00B44FCE">
          <w:rPr>
            <w:rStyle w:val="Hyperlink"/>
            <w:noProof/>
          </w:rPr>
          <w:t>4 Aim of the thesis</w:t>
        </w:r>
        <w:r>
          <w:rPr>
            <w:noProof/>
            <w:webHidden/>
          </w:rPr>
          <w:tab/>
        </w:r>
        <w:r>
          <w:rPr>
            <w:noProof/>
            <w:webHidden/>
          </w:rPr>
          <w:fldChar w:fldCharType="begin"/>
        </w:r>
        <w:r>
          <w:rPr>
            <w:noProof/>
            <w:webHidden/>
          </w:rPr>
          <w:instrText xml:space="preserve"> PAGEREF _Toc435621212 \h </w:instrText>
        </w:r>
        <w:r>
          <w:rPr>
            <w:noProof/>
            <w:webHidden/>
          </w:rPr>
        </w:r>
        <w:r>
          <w:rPr>
            <w:noProof/>
            <w:webHidden/>
          </w:rPr>
          <w:fldChar w:fldCharType="separate"/>
        </w:r>
        <w:r>
          <w:rPr>
            <w:noProof/>
            <w:webHidden/>
          </w:rPr>
          <w:t>42</w:t>
        </w:r>
        <w:r>
          <w:rPr>
            <w:noProof/>
            <w:webHidden/>
          </w:rPr>
          <w:fldChar w:fldCharType="end"/>
        </w:r>
      </w:hyperlink>
    </w:p>
    <w:p w:rsidR="000471F8" w:rsidRDefault="000471F8">
      <w:pPr>
        <w:pStyle w:val="Verzeichnis1"/>
        <w:tabs>
          <w:tab w:val="right" w:leader="dot" w:pos="9062"/>
        </w:tabs>
        <w:rPr>
          <w:rFonts w:asciiTheme="minorHAnsi" w:eastAsiaTheme="minorEastAsia" w:hAnsiTheme="minorHAnsi" w:cstheme="minorBidi"/>
          <w:b w:val="0"/>
          <w:bCs w:val="0"/>
          <w:caps w:val="0"/>
          <w:noProof/>
          <w:sz w:val="22"/>
          <w:szCs w:val="22"/>
          <w:lang w:val="de-DE" w:eastAsia="de-DE"/>
        </w:rPr>
      </w:pPr>
      <w:hyperlink w:anchor="_Toc435621213" w:history="1">
        <w:r w:rsidRPr="00B44FCE">
          <w:rPr>
            <w:rStyle w:val="Hyperlink"/>
            <w:noProof/>
          </w:rPr>
          <w:t>5 Materials and methods</w:t>
        </w:r>
        <w:r>
          <w:rPr>
            <w:noProof/>
            <w:webHidden/>
          </w:rPr>
          <w:tab/>
        </w:r>
        <w:r>
          <w:rPr>
            <w:noProof/>
            <w:webHidden/>
          </w:rPr>
          <w:fldChar w:fldCharType="begin"/>
        </w:r>
        <w:r>
          <w:rPr>
            <w:noProof/>
            <w:webHidden/>
          </w:rPr>
          <w:instrText xml:space="preserve"> PAGEREF _Toc435621213 \h </w:instrText>
        </w:r>
        <w:r>
          <w:rPr>
            <w:noProof/>
            <w:webHidden/>
          </w:rPr>
        </w:r>
        <w:r>
          <w:rPr>
            <w:noProof/>
            <w:webHidden/>
          </w:rPr>
          <w:fldChar w:fldCharType="separate"/>
        </w:r>
        <w:r>
          <w:rPr>
            <w:noProof/>
            <w:webHidden/>
          </w:rPr>
          <w:t>43</w:t>
        </w:r>
        <w:r>
          <w:rPr>
            <w:noProof/>
            <w:webHidden/>
          </w:rPr>
          <w:fldChar w:fldCharType="end"/>
        </w:r>
      </w:hyperlink>
    </w:p>
    <w:p w:rsidR="000471F8" w:rsidRDefault="000471F8">
      <w:pPr>
        <w:pStyle w:val="Verzeichnis2"/>
        <w:tabs>
          <w:tab w:val="right" w:leader="dot" w:pos="9062"/>
        </w:tabs>
        <w:rPr>
          <w:rFonts w:eastAsiaTheme="minorEastAsia" w:cstheme="minorBidi"/>
          <w:b w:val="0"/>
          <w:bCs w:val="0"/>
          <w:noProof/>
          <w:sz w:val="22"/>
          <w:szCs w:val="22"/>
          <w:lang w:val="de-DE" w:eastAsia="de-DE"/>
        </w:rPr>
      </w:pPr>
      <w:hyperlink w:anchor="_Toc435621214" w:history="1">
        <w:r w:rsidRPr="00B44FCE">
          <w:rPr>
            <w:rStyle w:val="Hyperlink"/>
            <w:noProof/>
          </w:rPr>
          <w:t>5.1 Plant material</w:t>
        </w:r>
        <w:r>
          <w:rPr>
            <w:noProof/>
            <w:webHidden/>
          </w:rPr>
          <w:tab/>
        </w:r>
        <w:r>
          <w:rPr>
            <w:noProof/>
            <w:webHidden/>
          </w:rPr>
          <w:fldChar w:fldCharType="begin"/>
        </w:r>
        <w:r>
          <w:rPr>
            <w:noProof/>
            <w:webHidden/>
          </w:rPr>
          <w:instrText xml:space="preserve"> PAGEREF _Toc435621214 \h </w:instrText>
        </w:r>
        <w:r>
          <w:rPr>
            <w:noProof/>
            <w:webHidden/>
          </w:rPr>
        </w:r>
        <w:r>
          <w:rPr>
            <w:noProof/>
            <w:webHidden/>
          </w:rPr>
          <w:fldChar w:fldCharType="separate"/>
        </w:r>
        <w:r>
          <w:rPr>
            <w:noProof/>
            <w:webHidden/>
          </w:rPr>
          <w:t>43</w:t>
        </w:r>
        <w:r>
          <w:rPr>
            <w:noProof/>
            <w:webHidden/>
          </w:rPr>
          <w:fldChar w:fldCharType="end"/>
        </w:r>
      </w:hyperlink>
    </w:p>
    <w:p w:rsidR="000471F8" w:rsidRDefault="000471F8">
      <w:pPr>
        <w:pStyle w:val="Verzeichnis2"/>
        <w:tabs>
          <w:tab w:val="right" w:leader="dot" w:pos="9062"/>
        </w:tabs>
        <w:rPr>
          <w:rFonts w:eastAsiaTheme="minorEastAsia" w:cstheme="minorBidi"/>
          <w:b w:val="0"/>
          <w:bCs w:val="0"/>
          <w:noProof/>
          <w:sz w:val="22"/>
          <w:szCs w:val="22"/>
          <w:lang w:val="de-DE" w:eastAsia="de-DE"/>
        </w:rPr>
      </w:pPr>
      <w:hyperlink w:anchor="_Toc435621215" w:history="1">
        <w:r w:rsidRPr="00B44FCE">
          <w:rPr>
            <w:rStyle w:val="Hyperlink"/>
            <w:noProof/>
          </w:rPr>
          <w:t>5.2 Primer used for quantitative real-time PCR</w:t>
        </w:r>
        <w:r>
          <w:rPr>
            <w:noProof/>
            <w:webHidden/>
          </w:rPr>
          <w:tab/>
        </w:r>
        <w:r>
          <w:rPr>
            <w:noProof/>
            <w:webHidden/>
          </w:rPr>
          <w:fldChar w:fldCharType="begin"/>
        </w:r>
        <w:r>
          <w:rPr>
            <w:noProof/>
            <w:webHidden/>
          </w:rPr>
          <w:instrText xml:space="preserve"> PAGEREF _Toc435621215 \h </w:instrText>
        </w:r>
        <w:r>
          <w:rPr>
            <w:noProof/>
            <w:webHidden/>
          </w:rPr>
        </w:r>
        <w:r>
          <w:rPr>
            <w:noProof/>
            <w:webHidden/>
          </w:rPr>
          <w:fldChar w:fldCharType="separate"/>
        </w:r>
        <w:r>
          <w:rPr>
            <w:noProof/>
            <w:webHidden/>
          </w:rPr>
          <w:t>43</w:t>
        </w:r>
        <w:r>
          <w:rPr>
            <w:noProof/>
            <w:webHidden/>
          </w:rPr>
          <w:fldChar w:fldCharType="end"/>
        </w:r>
      </w:hyperlink>
    </w:p>
    <w:p w:rsidR="000471F8" w:rsidRDefault="000471F8">
      <w:pPr>
        <w:pStyle w:val="Verzeichnis2"/>
        <w:tabs>
          <w:tab w:val="right" w:leader="dot" w:pos="9062"/>
        </w:tabs>
        <w:rPr>
          <w:rFonts w:eastAsiaTheme="minorEastAsia" w:cstheme="minorBidi"/>
          <w:b w:val="0"/>
          <w:bCs w:val="0"/>
          <w:noProof/>
          <w:sz w:val="22"/>
          <w:szCs w:val="22"/>
          <w:lang w:val="de-DE" w:eastAsia="de-DE"/>
        </w:rPr>
      </w:pPr>
      <w:hyperlink w:anchor="_Toc435621216" w:history="1">
        <w:r w:rsidRPr="00B44FCE">
          <w:rPr>
            <w:rStyle w:val="Hyperlink"/>
            <w:noProof/>
          </w:rPr>
          <w:t>5.3 Plant cultivation</w:t>
        </w:r>
        <w:r>
          <w:rPr>
            <w:noProof/>
            <w:webHidden/>
          </w:rPr>
          <w:tab/>
        </w:r>
        <w:r>
          <w:rPr>
            <w:noProof/>
            <w:webHidden/>
          </w:rPr>
          <w:fldChar w:fldCharType="begin"/>
        </w:r>
        <w:r>
          <w:rPr>
            <w:noProof/>
            <w:webHidden/>
          </w:rPr>
          <w:instrText xml:space="preserve"> PAGEREF _Toc435621216 \h </w:instrText>
        </w:r>
        <w:r>
          <w:rPr>
            <w:noProof/>
            <w:webHidden/>
          </w:rPr>
        </w:r>
        <w:r>
          <w:rPr>
            <w:noProof/>
            <w:webHidden/>
          </w:rPr>
          <w:fldChar w:fldCharType="separate"/>
        </w:r>
        <w:r>
          <w:rPr>
            <w:noProof/>
            <w:webHidden/>
          </w:rPr>
          <w:t>46</w:t>
        </w:r>
        <w:r>
          <w:rPr>
            <w:noProof/>
            <w:webHidden/>
          </w:rPr>
          <w:fldChar w:fldCharType="end"/>
        </w:r>
      </w:hyperlink>
    </w:p>
    <w:p w:rsidR="000471F8" w:rsidRDefault="000471F8">
      <w:pPr>
        <w:pStyle w:val="Verzeichnis2"/>
        <w:tabs>
          <w:tab w:val="right" w:leader="dot" w:pos="9062"/>
        </w:tabs>
        <w:rPr>
          <w:rFonts w:eastAsiaTheme="minorEastAsia" w:cstheme="minorBidi"/>
          <w:b w:val="0"/>
          <w:bCs w:val="0"/>
          <w:noProof/>
          <w:sz w:val="22"/>
          <w:szCs w:val="22"/>
          <w:lang w:val="de-DE" w:eastAsia="de-DE"/>
        </w:rPr>
      </w:pPr>
      <w:hyperlink w:anchor="_Toc435621217" w:history="1">
        <w:r w:rsidRPr="00B44FCE">
          <w:rPr>
            <w:rStyle w:val="Hyperlink"/>
            <w:noProof/>
          </w:rPr>
          <w:t>5.4 Cultivation of pathogens and inoculation of plants</w:t>
        </w:r>
        <w:r>
          <w:rPr>
            <w:noProof/>
            <w:webHidden/>
          </w:rPr>
          <w:tab/>
        </w:r>
        <w:r>
          <w:rPr>
            <w:noProof/>
            <w:webHidden/>
          </w:rPr>
          <w:fldChar w:fldCharType="begin"/>
        </w:r>
        <w:r>
          <w:rPr>
            <w:noProof/>
            <w:webHidden/>
          </w:rPr>
          <w:instrText xml:space="preserve"> PAGEREF _Toc435621217 \h </w:instrText>
        </w:r>
        <w:r>
          <w:rPr>
            <w:noProof/>
            <w:webHidden/>
          </w:rPr>
        </w:r>
        <w:r>
          <w:rPr>
            <w:noProof/>
            <w:webHidden/>
          </w:rPr>
          <w:fldChar w:fldCharType="separate"/>
        </w:r>
        <w:r>
          <w:rPr>
            <w:noProof/>
            <w:webHidden/>
          </w:rPr>
          <w:t>47</w:t>
        </w:r>
        <w:r>
          <w:rPr>
            <w:noProof/>
            <w:webHidden/>
          </w:rPr>
          <w:fldChar w:fldCharType="end"/>
        </w:r>
      </w:hyperlink>
    </w:p>
    <w:p w:rsidR="000471F8" w:rsidRDefault="000471F8">
      <w:pPr>
        <w:pStyle w:val="Verzeichnis3"/>
        <w:tabs>
          <w:tab w:val="right" w:leader="dot" w:pos="9062"/>
        </w:tabs>
        <w:rPr>
          <w:rFonts w:eastAsiaTheme="minorEastAsia" w:cstheme="minorBidi"/>
          <w:noProof/>
          <w:sz w:val="22"/>
          <w:szCs w:val="22"/>
          <w:lang w:val="de-DE" w:eastAsia="de-DE"/>
        </w:rPr>
      </w:pPr>
      <w:hyperlink w:anchor="_Toc435621218" w:history="1">
        <w:r w:rsidRPr="00B44FCE">
          <w:rPr>
            <w:rStyle w:val="Hyperlink"/>
            <w:noProof/>
          </w:rPr>
          <w:t xml:space="preserve">5.4.1 Cultivation of </w:t>
        </w:r>
        <w:r w:rsidRPr="00B44FCE">
          <w:rPr>
            <w:rStyle w:val="Hyperlink"/>
            <w:i/>
            <w:noProof/>
          </w:rPr>
          <w:t>Pseudomonas syringae</w:t>
        </w:r>
        <w:r w:rsidRPr="00B44FCE">
          <w:rPr>
            <w:rStyle w:val="Hyperlink"/>
            <w:noProof/>
          </w:rPr>
          <w:t xml:space="preserve"> pv. </w:t>
        </w:r>
        <w:r w:rsidRPr="00B44FCE">
          <w:rPr>
            <w:rStyle w:val="Hyperlink"/>
            <w:i/>
            <w:noProof/>
          </w:rPr>
          <w:t>maculicola</w:t>
        </w:r>
        <w:r>
          <w:rPr>
            <w:noProof/>
            <w:webHidden/>
          </w:rPr>
          <w:tab/>
        </w:r>
        <w:r>
          <w:rPr>
            <w:noProof/>
            <w:webHidden/>
          </w:rPr>
          <w:fldChar w:fldCharType="begin"/>
        </w:r>
        <w:r>
          <w:rPr>
            <w:noProof/>
            <w:webHidden/>
          </w:rPr>
          <w:instrText xml:space="preserve"> PAGEREF _Toc435621218 \h </w:instrText>
        </w:r>
        <w:r>
          <w:rPr>
            <w:noProof/>
            <w:webHidden/>
          </w:rPr>
        </w:r>
        <w:r>
          <w:rPr>
            <w:noProof/>
            <w:webHidden/>
          </w:rPr>
          <w:fldChar w:fldCharType="separate"/>
        </w:r>
        <w:r>
          <w:rPr>
            <w:noProof/>
            <w:webHidden/>
          </w:rPr>
          <w:t>47</w:t>
        </w:r>
        <w:r>
          <w:rPr>
            <w:noProof/>
            <w:webHidden/>
          </w:rPr>
          <w:fldChar w:fldCharType="end"/>
        </w:r>
      </w:hyperlink>
    </w:p>
    <w:p w:rsidR="000471F8" w:rsidRDefault="000471F8">
      <w:pPr>
        <w:pStyle w:val="Verzeichnis3"/>
        <w:tabs>
          <w:tab w:val="right" w:leader="dot" w:pos="9062"/>
        </w:tabs>
        <w:rPr>
          <w:rFonts w:eastAsiaTheme="minorEastAsia" w:cstheme="minorBidi"/>
          <w:noProof/>
          <w:sz w:val="22"/>
          <w:szCs w:val="22"/>
          <w:lang w:val="de-DE" w:eastAsia="de-DE"/>
        </w:rPr>
      </w:pPr>
      <w:hyperlink w:anchor="_Toc435621219" w:history="1">
        <w:r w:rsidRPr="00B44FCE">
          <w:rPr>
            <w:rStyle w:val="Hyperlink"/>
            <w:noProof/>
          </w:rPr>
          <w:t xml:space="preserve">5.4.2 Inoculation of </w:t>
        </w:r>
        <w:r w:rsidRPr="00B44FCE">
          <w:rPr>
            <w:rStyle w:val="Hyperlink"/>
            <w:i/>
            <w:noProof/>
          </w:rPr>
          <w:t>A. thaliana</w:t>
        </w:r>
        <w:r w:rsidRPr="00B44FCE">
          <w:rPr>
            <w:rStyle w:val="Hyperlink"/>
            <w:noProof/>
          </w:rPr>
          <w:t xml:space="preserve"> plants with </w:t>
        </w:r>
        <w:r w:rsidRPr="00B44FCE">
          <w:rPr>
            <w:rStyle w:val="Hyperlink"/>
            <w:i/>
            <w:noProof/>
          </w:rPr>
          <w:t xml:space="preserve">P. syringae </w:t>
        </w:r>
        <w:r w:rsidRPr="00B44FCE">
          <w:rPr>
            <w:rStyle w:val="Hyperlink"/>
            <w:noProof/>
          </w:rPr>
          <w:t>pv</w:t>
        </w:r>
        <w:r w:rsidRPr="00B44FCE">
          <w:rPr>
            <w:rStyle w:val="Hyperlink"/>
            <w:i/>
            <w:noProof/>
          </w:rPr>
          <w:t>. maculicola</w:t>
        </w:r>
        <w:r>
          <w:rPr>
            <w:noProof/>
            <w:webHidden/>
          </w:rPr>
          <w:tab/>
        </w:r>
        <w:r>
          <w:rPr>
            <w:noProof/>
            <w:webHidden/>
          </w:rPr>
          <w:fldChar w:fldCharType="begin"/>
        </w:r>
        <w:r>
          <w:rPr>
            <w:noProof/>
            <w:webHidden/>
          </w:rPr>
          <w:instrText xml:space="preserve"> PAGEREF _Toc435621219 \h </w:instrText>
        </w:r>
        <w:r>
          <w:rPr>
            <w:noProof/>
            <w:webHidden/>
          </w:rPr>
        </w:r>
        <w:r>
          <w:rPr>
            <w:noProof/>
            <w:webHidden/>
          </w:rPr>
          <w:fldChar w:fldCharType="separate"/>
        </w:r>
        <w:r>
          <w:rPr>
            <w:noProof/>
            <w:webHidden/>
          </w:rPr>
          <w:t>47</w:t>
        </w:r>
        <w:r>
          <w:rPr>
            <w:noProof/>
            <w:webHidden/>
          </w:rPr>
          <w:fldChar w:fldCharType="end"/>
        </w:r>
      </w:hyperlink>
    </w:p>
    <w:p w:rsidR="000471F8" w:rsidRDefault="000471F8">
      <w:pPr>
        <w:pStyle w:val="Verzeichnis3"/>
        <w:tabs>
          <w:tab w:val="right" w:leader="dot" w:pos="9062"/>
        </w:tabs>
        <w:rPr>
          <w:rFonts w:eastAsiaTheme="minorEastAsia" w:cstheme="minorBidi"/>
          <w:noProof/>
          <w:sz w:val="22"/>
          <w:szCs w:val="22"/>
          <w:lang w:val="de-DE" w:eastAsia="de-DE"/>
        </w:rPr>
      </w:pPr>
      <w:hyperlink w:anchor="_Toc435621220" w:history="1">
        <w:r w:rsidRPr="00B44FCE">
          <w:rPr>
            <w:rStyle w:val="Hyperlink"/>
            <w:noProof/>
          </w:rPr>
          <w:t xml:space="preserve">5.4.3 Cultivation of </w:t>
        </w:r>
        <w:r w:rsidRPr="00B44FCE">
          <w:rPr>
            <w:rStyle w:val="Hyperlink"/>
            <w:i/>
            <w:noProof/>
          </w:rPr>
          <w:t>Botrytis cinerea</w:t>
        </w:r>
        <w:r>
          <w:rPr>
            <w:noProof/>
            <w:webHidden/>
          </w:rPr>
          <w:tab/>
        </w:r>
        <w:r>
          <w:rPr>
            <w:noProof/>
            <w:webHidden/>
          </w:rPr>
          <w:fldChar w:fldCharType="begin"/>
        </w:r>
        <w:r>
          <w:rPr>
            <w:noProof/>
            <w:webHidden/>
          </w:rPr>
          <w:instrText xml:space="preserve"> PAGEREF _Toc435621220 \h </w:instrText>
        </w:r>
        <w:r>
          <w:rPr>
            <w:noProof/>
            <w:webHidden/>
          </w:rPr>
        </w:r>
        <w:r>
          <w:rPr>
            <w:noProof/>
            <w:webHidden/>
          </w:rPr>
          <w:fldChar w:fldCharType="separate"/>
        </w:r>
        <w:r>
          <w:rPr>
            <w:noProof/>
            <w:webHidden/>
          </w:rPr>
          <w:t>47</w:t>
        </w:r>
        <w:r>
          <w:rPr>
            <w:noProof/>
            <w:webHidden/>
          </w:rPr>
          <w:fldChar w:fldCharType="end"/>
        </w:r>
      </w:hyperlink>
    </w:p>
    <w:p w:rsidR="000471F8" w:rsidRDefault="000471F8">
      <w:pPr>
        <w:pStyle w:val="Verzeichnis3"/>
        <w:tabs>
          <w:tab w:val="right" w:leader="dot" w:pos="9062"/>
        </w:tabs>
        <w:rPr>
          <w:rFonts w:eastAsiaTheme="minorEastAsia" w:cstheme="minorBidi"/>
          <w:noProof/>
          <w:sz w:val="22"/>
          <w:szCs w:val="22"/>
          <w:lang w:val="de-DE" w:eastAsia="de-DE"/>
        </w:rPr>
      </w:pPr>
      <w:hyperlink w:anchor="_Toc435621221" w:history="1">
        <w:r w:rsidRPr="00B44FCE">
          <w:rPr>
            <w:rStyle w:val="Hyperlink"/>
            <w:noProof/>
          </w:rPr>
          <w:t xml:space="preserve">5.4.4 Inoculation of </w:t>
        </w:r>
        <w:r w:rsidRPr="00B44FCE">
          <w:rPr>
            <w:rStyle w:val="Hyperlink"/>
            <w:i/>
            <w:noProof/>
          </w:rPr>
          <w:t>A. thaliana</w:t>
        </w:r>
        <w:r w:rsidRPr="00B44FCE">
          <w:rPr>
            <w:rStyle w:val="Hyperlink"/>
            <w:noProof/>
          </w:rPr>
          <w:t xml:space="preserve"> plants with </w:t>
        </w:r>
        <w:r w:rsidRPr="00B44FCE">
          <w:rPr>
            <w:rStyle w:val="Hyperlink"/>
            <w:i/>
            <w:noProof/>
          </w:rPr>
          <w:t>B. cinerea</w:t>
        </w:r>
        <w:r>
          <w:rPr>
            <w:noProof/>
            <w:webHidden/>
          </w:rPr>
          <w:tab/>
        </w:r>
        <w:r>
          <w:rPr>
            <w:noProof/>
            <w:webHidden/>
          </w:rPr>
          <w:fldChar w:fldCharType="begin"/>
        </w:r>
        <w:r>
          <w:rPr>
            <w:noProof/>
            <w:webHidden/>
          </w:rPr>
          <w:instrText xml:space="preserve"> PAGEREF _Toc435621221 \h </w:instrText>
        </w:r>
        <w:r>
          <w:rPr>
            <w:noProof/>
            <w:webHidden/>
          </w:rPr>
        </w:r>
        <w:r>
          <w:rPr>
            <w:noProof/>
            <w:webHidden/>
          </w:rPr>
          <w:fldChar w:fldCharType="separate"/>
        </w:r>
        <w:r>
          <w:rPr>
            <w:noProof/>
            <w:webHidden/>
          </w:rPr>
          <w:t>47</w:t>
        </w:r>
        <w:r>
          <w:rPr>
            <w:noProof/>
            <w:webHidden/>
          </w:rPr>
          <w:fldChar w:fldCharType="end"/>
        </w:r>
      </w:hyperlink>
    </w:p>
    <w:p w:rsidR="000471F8" w:rsidRDefault="000471F8">
      <w:pPr>
        <w:pStyle w:val="Verzeichnis3"/>
        <w:tabs>
          <w:tab w:val="right" w:leader="dot" w:pos="9062"/>
        </w:tabs>
        <w:rPr>
          <w:rFonts w:eastAsiaTheme="minorEastAsia" w:cstheme="minorBidi"/>
          <w:noProof/>
          <w:sz w:val="22"/>
          <w:szCs w:val="22"/>
          <w:lang w:val="de-DE" w:eastAsia="de-DE"/>
        </w:rPr>
      </w:pPr>
      <w:hyperlink w:anchor="_Toc435621222" w:history="1">
        <w:r w:rsidRPr="00B44FCE">
          <w:rPr>
            <w:rStyle w:val="Hyperlink"/>
            <w:noProof/>
          </w:rPr>
          <w:t xml:space="preserve">5.4.5 Cultivation of </w:t>
        </w:r>
        <w:r w:rsidRPr="00B44FCE">
          <w:rPr>
            <w:rStyle w:val="Hyperlink"/>
            <w:i/>
            <w:noProof/>
          </w:rPr>
          <w:t>Hyaloperonospora arabidopsidis</w:t>
        </w:r>
        <w:r>
          <w:rPr>
            <w:noProof/>
            <w:webHidden/>
          </w:rPr>
          <w:tab/>
        </w:r>
        <w:r>
          <w:rPr>
            <w:noProof/>
            <w:webHidden/>
          </w:rPr>
          <w:fldChar w:fldCharType="begin"/>
        </w:r>
        <w:r>
          <w:rPr>
            <w:noProof/>
            <w:webHidden/>
          </w:rPr>
          <w:instrText xml:space="preserve"> PAGEREF _Toc435621222 \h </w:instrText>
        </w:r>
        <w:r>
          <w:rPr>
            <w:noProof/>
            <w:webHidden/>
          </w:rPr>
        </w:r>
        <w:r>
          <w:rPr>
            <w:noProof/>
            <w:webHidden/>
          </w:rPr>
          <w:fldChar w:fldCharType="separate"/>
        </w:r>
        <w:r>
          <w:rPr>
            <w:noProof/>
            <w:webHidden/>
          </w:rPr>
          <w:t>48</w:t>
        </w:r>
        <w:r>
          <w:rPr>
            <w:noProof/>
            <w:webHidden/>
          </w:rPr>
          <w:fldChar w:fldCharType="end"/>
        </w:r>
      </w:hyperlink>
    </w:p>
    <w:p w:rsidR="000471F8" w:rsidRDefault="000471F8">
      <w:pPr>
        <w:pStyle w:val="Verzeichnis3"/>
        <w:tabs>
          <w:tab w:val="right" w:leader="dot" w:pos="9062"/>
        </w:tabs>
        <w:rPr>
          <w:rFonts w:eastAsiaTheme="minorEastAsia" w:cstheme="minorBidi"/>
          <w:noProof/>
          <w:sz w:val="22"/>
          <w:szCs w:val="22"/>
          <w:lang w:val="de-DE" w:eastAsia="de-DE"/>
        </w:rPr>
      </w:pPr>
      <w:hyperlink w:anchor="_Toc435621223" w:history="1">
        <w:r w:rsidRPr="00B44FCE">
          <w:rPr>
            <w:rStyle w:val="Hyperlink"/>
            <w:noProof/>
          </w:rPr>
          <w:t xml:space="preserve">5.4.6 Inoculation of </w:t>
        </w:r>
        <w:r w:rsidRPr="00B44FCE">
          <w:rPr>
            <w:rStyle w:val="Hyperlink"/>
            <w:i/>
            <w:noProof/>
          </w:rPr>
          <w:t>A. thaliana</w:t>
        </w:r>
        <w:r w:rsidRPr="00B44FCE">
          <w:rPr>
            <w:rStyle w:val="Hyperlink"/>
            <w:noProof/>
          </w:rPr>
          <w:t xml:space="preserve"> plants with </w:t>
        </w:r>
        <w:r w:rsidRPr="00B44FCE">
          <w:rPr>
            <w:rStyle w:val="Hyperlink"/>
            <w:i/>
            <w:noProof/>
          </w:rPr>
          <w:t>H. arabidopsidis</w:t>
        </w:r>
        <w:r>
          <w:rPr>
            <w:noProof/>
            <w:webHidden/>
          </w:rPr>
          <w:tab/>
        </w:r>
        <w:r>
          <w:rPr>
            <w:noProof/>
            <w:webHidden/>
          </w:rPr>
          <w:fldChar w:fldCharType="begin"/>
        </w:r>
        <w:r>
          <w:rPr>
            <w:noProof/>
            <w:webHidden/>
          </w:rPr>
          <w:instrText xml:space="preserve"> PAGEREF _Toc435621223 \h </w:instrText>
        </w:r>
        <w:r>
          <w:rPr>
            <w:noProof/>
            <w:webHidden/>
          </w:rPr>
        </w:r>
        <w:r>
          <w:rPr>
            <w:noProof/>
            <w:webHidden/>
          </w:rPr>
          <w:fldChar w:fldCharType="separate"/>
        </w:r>
        <w:r>
          <w:rPr>
            <w:noProof/>
            <w:webHidden/>
          </w:rPr>
          <w:t>48</w:t>
        </w:r>
        <w:r>
          <w:rPr>
            <w:noProof/>
            <w:webHidden/>
          </w:rPr>
          <w:fldChar w:fldCharType="end"/>
        </w:r>
      </w:hyperlink>
    </w:p>
    <w:p w:rsidR="000471F8" w:rsidRDefault="000471F8">
      <w:pPr>
        <w:pStyle w:val="Verzeichnis3"/>
        <w:tabs>
          <w:tab w:val="right" w:leader="dot" w:pos="9062"/>
        </w:tabs>
        <w:rPr>
          <w:rFonts w:eastAsiaTheme="minorEastAsia" w:cstheme="minorBidi"/>
          <w:noProof/>
          <w:sz w:val="22"/>
          <w:szCs w:val="22"/>
          <w:lang w:val="de-DE" w:eastAsia="de-DE"/>
        </w:rPr>
      </w:pPr>
      <w:hyperlink w:anchor="_Toc435621224" w:history="1">
        <w:r w:rsidRPr="00B44FCE">
          <w:rPr>
            <w:rStyle w:val="Hyperlink"/>
            <w:noProof/>
          </w:rPr>
          <w:t xml:space="preserve">5.4.7 Cultivation and inoculation of </w:t>
        </w:r>
        <w:r w:rsidRPr="00B44FCE">
          <w:rPr>
            <w:rStyle w:val="Hyperlink"/>
            <w:i/>
            <w:noProof/>
          </w:rPr>
          <w:t>Golovinomyces orontii</w:t>
        </w:r>
        <w:r>
          <w:rPr>
            <w:noProof/>
            <w:webHidden/>
          </w:rPr>
          <w:tab/>
        </w:r>
        <w:r>
          <w:rPr>
            <w:noProof/>
            <w:webHidden/>
          </w:rPr>
          <w:fldChar w:fldCharType="begin"/>
        </w:r>
        <w:r>
          <w:rPr>
            <w:noProof/>
            <w:webHidden/>
          </w:rPr>
          <w:instrText xml:space="preserve"> PAGEREF _Toc435621224 \h </w:instrText>
        </w:r>
        <w:r>
          <w:rPr>
            <w:noProof/>
            <w:webHidden/>
          </w:rPr>
        </w:r>
        <w:r>
          <w:rPr>
            <w:noProof/>
            <w:webHidden/>
          </w:rPr>
          <w:fldChar w:fldCharType="separate"/>
        </w:r>
        <w:r>
          <w:rPr>
            <w:noProof/>
            <w:webHidden/>
          </w:rPr>
          <w:t>48</w:t>
        </w:r>
        <w:r>
          <w:rPr>
            <w:noProof/>
            <w:webHidden/>
          </w:rPr>
          <w:fldChar w:fldCharType="end"/>
        </w:r>
      </w:hyperlink>
    </w:p>
    <w:p w:rsidR="000471F8" w:rsidRDefault="000471F8">
      <w:pPr>
        <w:pStyle w:val="Verzeichnis2"/>
        <w:tabs>
          <w:tab w:val="right" w:leader="dot" w:pos="9062"/>
        </w:tabs>
        <w:rPr>
          <w:rFonts w:eastAsiaTheme="minorEastAsia" w:cstheme="minorBidi"/>
          <w:b w:val="0"/>
          <w:bCs w:val="0"/>
          <w:noProof/>
          <w:sz w:val="22"/>
          <w:szCs w:val="22"/>
          <w:lang w:val="de-DE" w:eastAsia="de-DE"/>
        </w:rPr>
      </w:pPr>
      <w:hyperlink w:anchor="_Toc435621225" w:history="1">
        <w:r w:rsidRPr="00B44FCE">
          <w:rPr>
            <w:rStyle w:val="Hyperlink"/>
            <w:noProof/>
          </w:rPr>
          <w:t>5.5 Assessment of systemic acquired resistance</w:t>
        </w:r>
        <w:r>
          <w:rPr>
            <w:noProof/>
            <w:webHidden/>
          </w:rPr>
          <w:tab/>
        </w:r>
        <w:r>
          <w:rPr>
            <w:noProof/>
            <w:webHidden/>
          </w:rPr>
          <w:fldChar w:fldCharType="begin"/>
        </w:r>
        <w:r>
          <w:rPr>
            <w:noProof/>
            <w:webHidden/>
          </w:rPr>
          <w:instrText xml:space="preserve"> PAGEREF _Toc435621225 \h </w:instrText>
        </w:r>
        <w:r>
          <w:rPr>
            <w:noProof/>
            <w:webHidden/>
          </w:rPr>
        </w:r>
        <w:r>
          <w:rPr>
            <w:noProof/>
            <w:webHidden/>
          </w:rPr>
          <w:fldChar w:fldCharType="separate"/>
        </w:r>
        <w:r>
          <w:rPr>
            <w:noProof/>
            <w:webHidden/>
          </w:rPr>
          <w:t>48</w:t>
        </w:r>
        <w:r>
          <w:rPr>
            <w:noProof/>
            <w:webHidden/>
          </w:rPr>
          <w:fldChar w:fldCharType="end"/>
        </w:r>
      </w:hyperlink>
    </w:p>
    <w:p w:rsidR="000471F8" w:rsidRDefault="000471F8">
      <w:pPr>
        <w:pStyle w:val="Verzeichnis2"/>
        <w:tabs>
          <w:tab w:val="right" w:leader="dot" w:pos="9062"/>
        </w:tabs>
        <w:rPr>
          <w:rFonts w:eastAsiaTheme="minorEastAsia" w:cstheme="minorBidi"/>
          <w:b w:val="0"/>
          <w:bCs w:val="0"/>
          <w:noProof/>
          <w:sz w:val="22"/>
          <w:szCs w:val="22"/>
          <w:lang w:val="de-DE" w:eastAsia="de-DE"/>
        </w:rPr>
      </w:pPr>
      <w:hyperlink w:anchor="_Toc435621226" w:history="1">
        <w:r w:rsidRPr="00B44FCE">
          <w:rPr>
            <w:rStyle w:val="Hyperlink"/>
            <w:noProof/>
          </w:rPr>
          <w:t>5.6 Analysis of defence priming and Pip-induced priming</w:t>
        </w:r>
        <w:r>
          <w:rPr>
            <w:noProof/>
            <w:webHidden/>
          </w:rPr>
          <w:tab/>
        </w:r>
        <w:r>
          <w:rPr>
            <w:noProof/>
            <w:webHidden/>
          </w:rPr>
          <w:fldChar w:fldCharType="begin"/>
        </w:r>
        <w:r>
          <w:rPr>
            <w:noProof/>
            <w:webHidden/>
          </w:rPr>
          <w:instrText xml:space="preserve"> PAGEREF _Toc435621226 \h </w:instrText>
        </w:r>
        <w:r>
          <w:rPr>
            <w:noProof/>
            <w:webHidden/>
          </w:rPr>
        </w:r>
        <w:r>
          <w:rPr>
            <w:noProof/>
            <w:webHidden/>
          </w:rPr>
          <w:fldChar w:fldCharType="separate"/>
        </w:r>
        <w:r>
          <w:rPr>
            <w:noProof/>
            <w:webHidden/>
          </w:rPr>
          <w:t>49</w:t>
        </w:r>
        <w:r>
          <w:rPr>
            <w:noProof/>
            <w:webHidden/>
          </w:rPr>
          <w:fldChar w:fldCharType="end"/>
        </w:r>
      </w:hyperlink>
    </w:p>
    <w:p w:rsidR="000471F8" w:rsidRDefault="000471F8">
      <w:pPr>
        <w:pStyle w:val="Verzeichnis2"/>
        <w:tabs>
          <w:tab w:val="right" w:leader="dot" w:pos="9062"/>
        </w:tabs>
        <w:rPr>
          <w:rFonts w:eastAsiaTheme="minorEastAsia" w:cstheme="minorBidi"/>
          <w:b w:val="0"/>
          <w:bCs w:val="0"/>
          <w:noProof/>
          <w:sz w:val="22"/>
          <w:szCs w:val="22"/>
          <w:lang w:val="de-DE" w:eastAsia="de-DE"/>
        </w:rPr>
      </w:pPr>
      <w:hyperlink w:anchor="_Toc435621227" w:history="1">
        <w:r w:rsidRPr="00B44FCE">
          <w:rPr>
            <w:rStyle w:val="Hyperlink"/>
            <w:noProof/>
          </w:rPr>
          <w:t>5.7 Pipecolic acid-induced resistance</w:t>
        </w:r>
        <w:r>
          <w:rPr>
            <w:noProof/>
            <w:webHidden/>
          </w:rPr>
          <w:tab/>
        </w:r>
        <w:r>
          <w:rPr>
            <w:noProof/>
            <w:webHidden/>
          </w:rPr>
          <w:fldChar w:fldCharType="begin"/>
        </w:r>
        <w:r>
          <w:rPr>
            <w:noProof/>
            <w:webHidden/>
          </w:rPr>
          <w:instrText xml:space="preserve"> PAGEREF _Toc435621227 \h </w:instrText>
        </w:r>
        <w:r>
          <w:rPr>
            <w:noProof/>
            <w:webHidden/>
          </w:rPr>
        </w:r>
        <w:r>
          <w:rPr>
            <w:noProof/>
            <w:webHidden/>
          </w:rPr>
          <w:fldChar w:fldCharType="separate"/>
        </w:r>
        <w:r>
          <w:rPr>
            <w:noProof/>
            <w:webHidden/>
          </w:rPr>
          <w:t>49</w:t>
        </w:r>
        <w:r>
          <w:rPr>
            <w:noProof/>
            <w:webHidden/>
          </w:rPr>
          <w:fldChar w:fldCharType="end"/>
        </w:r>
      </w:hyperlink>
    </w:p>
    <w:p w:rsidR="000471F8" w:rsidRDefault="000471F8">
      <w:pPr>
        <w:pStyle w:val="Verzeichnis2"/>
        <w:tabs>
          <w:tab w:val="right" w:leader="dot" w:pos="9062"/>
        </w:tabs>
        <w:rPr>
          <w:rFonts w:eastAsiaTheme="minorEastAsia" w:cstheme="minorBidi"/>
          <w:b w:val="0"/>
          <w:bCs w:val="0"/>
          <w:noProof/>
          <w:sz w:val="22"/>
          <w:szCs w:val="22"/>
          <w:lang w:val="de-DE" w:eastAsia="de-DE"/>
        </w:rPr>
      </w:pPr>
      <w:hyperlink w:anchor="_Toc435621228" w:history="1">
        <w:r w:rsidRPr="00B44FCE">
          <w:rPr>
            <w:rStyle w:val="Hyperlink"/>
            <w:noProof/>
          </w:rPr>
          <w:t>5.8 Analysis of gene expression by quantitative real-time PCR analysis</w:t>
        </w:r>
        <w:r>
          <w:rPr>
            <w:noProof/>
            <w:webHidden/>
          </w:rPr>
          <w:tab/>
        </w:r>
        <w:r>
          <w:rPr>
            <w:noProof/>
            <w:webHidden/>
          </w:rPr>
          <w:fldChar w:fldCharType="begin"/>
        </w:r>
        <w:r>
          <w:rPr>
            <w:noProof/>
            <w:webHidden/>
          </w:rPr>
          <w:instrText xml:space="preserve"> PAGEREF _Toc435621228 \h </w:instrText>
        </w:r>
        <w:r>
          <w:rPr>
            <w:noProof/>
            <w:webHidden/>
          </w:rPr>
        </w:r>
        <w:r>
          <w:rPr>
            <w:noProof/>
            <w:webHidden/>
          </w:rPr>
          <w:fldChar w:fldCharType="separate"/>
        </w:r>
        <w:r>
          <w:rPr>
            <w:noProof/>
            <w:webHidden/>
          </w:rPr>
          <w:t>49</w:t>
        </w:r>
        <w:r>
          <w:rPr>
            <w:noProof/>
            <w:webHidden/>
          </w:rPr>
          <w:fldChar w:fldCharType="end"/>
        </w:r>
      </w:hyperlink>
    </w:p>
    <w:p w:rsidR="000471F8" w:rsidRDefault="000471F8">
      <w:pPr>
        <w:pStyle w:val="Verzeichnis3"/>
        <w:tabs>
          <w:tab w:val="right" w:leader="dot" w:pos="9062"/>
        </w:tabs>
        <w:rPr>
          <w:rFonts w:eastAsiaTheme="minorEastAsia" w:cstheme="minorBidi"/>
          <w:noProof/>
          <w:sz w:val="22"/>
          <w:szCs w:val="22"/>
          <w:lang w:val="de-DE" w:eastAsia="de-DE"/>
        </w:rPr>
      </w:pPr>
      <w:hyperlink w:anchor="_Toc435621229" w:history="1">
        <w:r w:rsidRPr="00B44FCE">
          <w:rPr>
            <w:rStyle w:val="Hyperlink"/>
            <w:noProof/>
          </w:rPr>
          <w:t>5.8.1 Extraction of plant RNA</w:t>
        </w:r>
        <w:r>
          <w:rPr>
            <w:noProof/>
            <w:webHidden/>
          </w:rPr>
          <w:tab/>
        </w:r>
        <w:r>
          <w:rPr>
            <w:noProof/>
            <w:webHidden/>
          </w:rPr>
          <w:fldChar w:fldCharType="begin"/>
        </w:r>
        <w:r>
          <w:rPr>
            <w:noProof/>
            <w:webHidden/>
          </w:rPr>
          <w:instrText xml:space="preserve"> PAGEREF _Toc435621229 \h </w:instrText>
        </w:r>
        <w:r>
          <w:rPr>
            <w:noProof/>
            <w:webHidden/>
          </w:rPr>
        </w:r>
        <w:r>
          <w:rPr>
            <w:noProof/>
            <w:webHidden/>
          </w:rPr>
          <w:fldChar w:fldCharType="separate"/>
        </w:r>
        <w:r>
          <w:rPr>
            <w:noProof/>
            <w:webHidden/>
          </w:rPr>
          <w:t>49</w:t>
        </w:r>
        <w:r>
          <w:rPr>
            <w:noProof/>
            <w:webHidden/>
          </w:rPr>
          <w:fldChar w:fldCharType="end"/>
        </w:r>
      </w:hyperlink>
    </w:p>
    <w:p w:rsidR="000471F8" w:rsidRDefault="000471F8">
      <w:pPr>
        <w:pStyle w:val="Verzeichnis3"/>
        <w:tabs>
          <w:tab w:val="right" w:leader="dot" w:pos="9062"/>
        </w:tabs>
        <w:rPr>
          <w:rFonts w:eastAsiaTheme="minorEastAsia" w:cstheme="minorBidi"/>
          <w:noProof/>
          <w:sz w:val="22"/>
          <w:szCs w:val="22"/>
          <w:lang w:val="de-DE" w:eastAsia="de-DE"/>
        </w:rPr>
      </w:pPr>
      <w:hyperlink w:anchor="_Toc435621230" w:history="1">
        <w:r w:rsidRPr="00B44FCE">
          <w:rPr>
            <w:rStyle w:val="Hyperlink"/>
            <w:noProof/>
          </w:rPr>
          <w:t>5.8.2 Quantitative real-time PCR analysis</w:t>
        </w:r>
        <w:r>
          <w:rPr>
            <w:noProof/>
            <w:webHidden/>
          </w:rPr>
          <w:tab/>
        </w:r>
        <w:r>
          <w:rPr>
            <w:noProof/>
            <w:webHidden/>
          </w:rPr>
          <w:fldChar w:fldCharType="begin"/>
        </w:r>
        <w:r>
          <w:rPr>
            <w:noProof/>
            <w:webHidden/>
          </w:rPr>
          <w:instrText xml:space="preserve"> PAGEREF _Toc435621230 \h </w:instrText>
        </w:r>
        <w:r>
          <w:rPr>
            <w:noProof/>
            <w:webHidden/>
          </w:rPr>
        </w:r>
        <w:r>
          <w:rPr>
            <w:noProof/>
            <w:webHidden/>
          </w:rPr>
          <w:fldChar w:fldCharType="separate"/>
        </w:r>
        <w:r>
          <w:rPr>
            <w:noProof/>
            <w:webHidden/>
          </w:rPr>
          <w:t>50</w:t>
        </w:r>
        <w:r>
          <w:rPr>
            <w:noProof/>
            <w:webHidden/>
          </w:rPr>
          <w:fldChar w:fldCharType="end"/>
        </w:r>
      </w:hyperlink>
    </w:p>
    <w:p w:rsidR="000471F8" w:rsidRDefault="000471F8">
      <w:pPr>
        <w:pStyle w:val="Verzeichnis2"/>
        <w:tabs>
          <w:tab w:val="right" w:leader="dot" w:pos="9062"/>
        </w:tabs>
        <w:rPr>
          <w:rFonts w:eastAsiaTheme="minorEastAsia" w:cstheme="minorBidi"/>
          <w:b w:val="0"/>
          <w:bCs w:val="0"/>
          <w:noProof/>
          <w:sz w:val="22"/>
          <w:szCs w:val="22"/>
          <w:lang w:val="de-DE" w:eastAsia="de-DE"/>
        </w:rPr>
      </w:pPr>
      <w:hyperlink w:anchor="_Toc435621231" w:history="1">
        <w:r w:rsidRPr="00B44FCE">
          <w:rPr>
            <w:rStyle w:val="Hyperlink"/>
            <w:noProof/>
          </w:rPr>
          <w:t>5.9 Lactophenol/trypanblue-staining</w:t>
        </w:r>
        <w:r>
          <w:rPr>
            <w:noProof/>
            <w:webHidden/>
          </w:rPr>
          <w:tab/>
        </w:r>
        <w:r>
          <w:rPr>
            <w:noProof/>
            <w:webHidden/>
          </w:rPr>
          <w:fldChar w:fldCharType="begin"/>
        </w:r>
        <w:r>
          <w:rPr>
            <w:noProof/>
            <w:webHidden/>
          </w:rPr>
          <w:instrText xml:space="preserve"> PAGEREF _Toc435621231 \h </w:instrText>
        </w:r>
        <w:r>
          <w:rPr>
            <w:noProof/>
            <w:webHidden/>
          </w:rPr>
        </w:r>
        <w:r>
          <w:rPr>
            <w:noProof/>
            <w:webHidden/>
          </w:rPr>
          <w:fldChar w:fldCharType="separate"/>
        </w:r>
        <w:r>
          <w:rPr>
            <w:noProof/>
            <w:webHidden/>
          </w:rPr>
          <w:t>50</w:t>
        </w:r>
        <w:r>
          <w:rPr>
            <w:noProof/>
            <w:webHidden/>
          </w:rPr>
          <w:fldChar w:fldCharType="end"/>
        </w:r>
      </w:hyperlink>
    </w:p>
    <w:p w:rsidR="000471F8" w:rsidRDefault="000471F8">
      <w:pPr>
        <w:pStyle w:val="Verzeichnis2"/>
        <w:tabs>
          <w:tab w:val="right" w:leader="dot" w:pos="9062"/>
        </w:tabs>
        <w:rPr>
          <w:rFonts w:eastAsiaTheme="minorEastAsia" w:cstheme="minorBidi"/>
          <w:b w:val="0"/>
          <w:bCs w:val="0"/>
          <w:noProof/>
          <w:sz w:val="22"/>
          <w:szCs w:val="22"/>
          <w:lang w:val="de-DE" w:eastAsia="de-DE"/>
        </w:rPr>
      </w:pPr>
      <w:hyperlink w:anchor="_Toc435621232" w:history="1">
        <w:r w:rsidRPr="00B44FCE">
          <w:rPr>
            <w:rStyle w:val="Hyperlink"/>
            <w:noProof/>
          </w:rPr>
          <w:t>5.10 Analyses of plant metabolites</w:t>
        </w:r>
        <w:r>
          <w:rPr>
            <w:noProof/>
            <w:webHidden/>
          </w:rPr>
          <w:tab/>
        </w:r>
        <w:r>
          <w:rPr>
            <w:noProof/>
            <w:webHidden/>
          </w:rPr>
          <w:fldChar w:fldCharType="begin"/>
        </w:r>
        <w:r>
          <w:rPr>
            <w:noProof/>
            <w:webHidden/>
          </w:rPr>
          <w:instrText xml:space="preserve"> PAGEREF _Toc435621232 \h </w:instrText>
        </w:r>
        <w:r>
          <w:rPr>
            <w:noProof/>
            <w:webHidden/>
          </w:rPr>
        </w:r>
        <w:r>
          <w:rPr>
            <w:noProof/>
            <w:webHidden/>
          </w:rPr>
          <w:fldChar w:fldCharType="separate"/>
        </w:r>
        <w:r>
          <w:rPr>
            <w:noProof/>
            <w:webHidden/>
          </w:rPr>
          <w:t>50</w:t>
        </w:r>
        <w:r>
          <w:rPr>
            <w:noProof/>
            <w:webHidden/>
          </w:rPr>
          <w:fldChar w:fldCharType="end"/>
        </w:r>
      </w:hyperlink>
    </w:p>
    <w:p w:rsidR="000471F8" w:rsidRDefault="000471F8">
      <w:pPr>
        <w:pStyle w:val="Verzeichnis2"/>
        <w:tabs>
          <w:tab w:val="right" w:leader="dot" w:pos="9062"/>
        </w:tabs>
        <w:rPr>
          <w:rFonts w:eastAsiaTheme="minorEastAsia" w:cstheme="minorBidi"/>
          <w:b w:val="0"/>
          <w:bCs w:val="0"/>
          <w:noProof/>
          <w:sz w:val="22"/>
          <w:szCs w:val="22"/>
          <w:lang w:val="de-DE" w:eastAsia="de-DE"/>
        </w:rPr>
      </w:pPr>
      <w:hyperlink w:anchor="_Toc435621233" w:history="1">
        <w:r w:rsidRPr="00B44FCE">
          <w:rPr>
            <w:rStyle w:val="Hyperlink"/>
            <w:noProof/>
          </w:rPr>
          <w:t>5.11 Extraction of free amino acids</w:t>
        </w:r>
        <w:r>
          <w:rPr>
            <w:noProof/>
            <w:webHidden/>
          </w:rPr>
          <w:tab/>
        </w:r>
        <w:r>
          <w:rPr>
            <w:noProof/>
            <w:webHidden/>
          </w:rPr>
          <w:fldChar w:fldCharType="begin"/>
        </w:r>
        <w:r>
          <w:rPr>
            <w:noProof/>
            <w:webHidden/>
          </w:rPr>
          <w:instrText xml:space="preserve"> PAGEREF _Toc435621233 \h </w:instrText>
        </w:r>
        <w:r>
          <w:rPr>
            <w:noProof/>
            <w:webHidden/>
          </w:rPr>
        </w:r>
        <w:r>
          <w:rPr>
            <w:noProof/>
            <w:webHidden/>
          </w:rPr>
          <w:fldChar w:fldCharType="separate"/>
        </w:r>
        <w:r>
          <w:rPr>
            <w:noProof/>
            <w:webHidden/>
          </w:rPr>
          <w:t>52</w:t>
        </w:r>
        <w:r>
          <w:rPr>
            <w:noProof/>
            <w:webHidden/>
          </w:rPr>
          <w:fldChar w:fldCharType="end"/>
        </w:r>
      </w:hyperlink>
    </w:p>
    <w:p w:rsidR="000471F8" w:rsidRDefault="000471F8">
      <w:pPr>
        <w:pStyle w:val="Verzeichnis2"/>
        <w:tabs>
          <w:tab w:val="right" w:leader="dot" w:pos="9062"/>
        </w:tabs>
        <w:rPr>
          <w:rFonts w:eastAsiaTheme="minorEastAsia" w:cstheme="minorBidi"/>
          <w:b w:val="0"/>
          <w:bCs w:val="0"/>
          <w:noProof/>
          <w:sz w:val="22"/>
          <w:szCs w:val="22"/>
          <w:lang w:val="de-DE" w:eastAsia="de-DE"/>
        </w:rPr>
      </w:pPr>
      <w:hyperlink w:anchor="_Toc435621234" w:history="1">
        <w:r w:rsidRPr="00B44FCE">
          <w:rPr>
            <w:rStyle w:val="Hyperlink"/>
            <w:noProof/>
          </w:rPr>
          <w:t>5.12 MAP kinase activity assay</w:t>
        </w:r>
        <w:r>
          <w:rPr>
            <w:noProof/>
            <w:webHidden/>
          </w:rPr>
          <w:tab/>
        </w:r>
        <w:r>
          <w:rPr>
            <w:noProof/>
            <w:webHidden/>
          </w:rPr>
          <w:fldChar w:fldCharType="begin"/>
        </w:r>
        <w:r>
          <w:rPr>
            <w:noProof/>
            <w:webHidden/>
          </w:rPr>
          <w:instrText xml:space="preserve"> PAGEREF _Toc435621234 \h </w:instrText>
        </w:r>
        <w:r>
          <w:rPr>
            <w:noProof/>
            <w:webHidden/>
          </w:rPr>
        </w:r>
        <w:r>
          <w:rPr>
            <w:noProof/>
            <w:webHidden/>
          </w:rPr>
          <w:fldChar w:fldCharType="separate"/>
        </w:r>
        <w:r>
          <w:rPr>
            <w:noProof/>
            <w:webHidden/>
          </w:rPr>
          <w:t>52</w:t>
        </w:r>
        <w:r>
          <w:rPr>
            <w:noProof/>
            <w:webHidden/>
          </w:rPr>
          <w:fldChar w:fldCharType="end"/>
        </w:r>
      </w:hyperlink>
    </w:p>
    <w:p w:rsidR="000471F8" w:rsidRDefault="000471F8">
      <w:pPr>
        <w:pStyle w:val="Verzeichnis2"/>
        <w:tabs>
          <w:tab w:val="right" w:leader="dot" w:pos="9062"/>
        </w:tabs>
        <w:rPr>
          <w:rFonts w:eastAsiaTheme="minorEastAsia" w:cstheme="minorBidi"/>
          <w:b w:val="0"/>
          <w:bCs w:val="0"/>
          <w:noProof/>
          <w:sz w:val="22"/>
          <w:szCs w:val="22"/>
          <w:lang w:val="de-DE" w:eastAsia="de-DE"/>
        </w:rPr>
      </w:pPr>
      <w:hyperlink w:anchor="_Toc435621235" w:history="1">
        <w:r w:rsidRPr="00B44FCE">
          <w:rPr>
            <w:rStyle w:val="Hyperlink"/>
            <w:noProof/>
          </w:rPr>
          <w:t>5.13 Reproducibility of experiments and statistical analyses</w:t>
        </w:r>
        <w:r>
          <w:rPr>
            <w:noProof/>
            <w:webHidden/>
          </w:rPr>
          <w:tab/>
        </w:r>
        <w:r>
          <w:rPr>
            <w:noProof/>
            <w:webHidden/>
          </w:rPr>
          <w:fldChar w:fldCharType="begin"/>
        </w:r>
        <w:r>
          <w:rPr>
            <w:noProof/>
            <w:webHidden/>
          </w:rPr>
          <w:instrText xml:space="preserve"> PAGEREF _Toc435621235 \h </w:instrText>
        </w:r>
        <w:r>
          <w:rPr>
            <w:noProof/>
            <w:webHidden/>
          </w:rPr>
        </w:r>
        <w:r>
          <w:rPr>
            <w:noProof/>
            <w:webHidden/>
          </w:rPr>
          <w:fldChar w:fldCharType="separate"/>
        </w:r>
        <w:r>
          <w:rPr>
            <w:noProof/>
            <w:webHidden/>
          </w:rPr>
          <w:t>53</w:t>
        </w:r>
        <w:r>
          <w:rPr>
            <w:noProof/>
            <w:webHidden/>
          </w:rPr>
          <w:fldChar w:fldCharType="end"/>
        </w:r>
      </w:hyperlink>
    </w:p>
    <w:p w:rsidR="000471F8" w:rsidRDefault="000471F8">
      <w:pPr>
        <w:pStyle w:val="Verzeichnis1"/>
        <w:tabs>
          <w:tab w:val="right" w:leader="dot" w:pos="9062"/>
        </w:tabs>
        <w:rPr>
          <w:rFonts w:asciiTheme="minorHAnsi" w:eastAsiaTheme="minorEastAsia" w:hAnsiTheme="minorHAnsi" w:cstheme="minorBidi"/>
          <w:b w:val="0"/>
          <w:bCs w:val="0"/>
          <w:caps w:val="0"/>
          <w:noProof/>
          <w:sz w:val="22"/>
          <w:szCs w:val="22"/>
          <w:lang w:val="de-DE" w:eastAsia="de-DE"/>
        </w:rPr>
      </w:pPr>
      <w:hyperlink w:anchor="_Toc435621236" w:history="1">
        <w:r w:rsidRPr="00B44FCE">
          <w:rPr>
            <w:rStyle w:val="Hyperlink"/>
            <w:noProof/>
          </w:rPr>
          <w:t>6 Results</w:t>
        </w:r>
        <w:r>
          <w:rPr>
            <w:noProof/>
            <w:webHidden/>
          </w:rPr>
          <w:tab/>
        </w:r>
        <w:r>
          <w:rPr>
            <w:noProof/>
            <w:webHidden/>
          </w:rPr>
          <w:fldChar w:fldCharType="begin"/>
        </w:r>
        <w:r>
          <w:rPr>
            <w:noProof/>
            <w:webHidden/>
          </w:rPr>
          <w:instrText xml:space="preserve"> PAGEREF _Toc435621236 \h </w:instrText>
        </w:r>
        <w:r>
          <w:rPr>
            <w:noProof/>
            <w:webHidden/>
          </w:rPr>
        </w:r>
        <w:r>
          <w:rPr>
            <w:noProof/>
            <w:webHidden/>
          </w:rPr>
          <w:fldChar w:fldCharType="separate"/>
        </w:r>
        <w:r>
          <w:rPr>
            <w:noProof/>
            <w:webHidden/>
          </w:rPr>
          <w:t>54</w:t>
        </w:r>
        <w:r>
          <w:rPr>
            <w:noProof/>
            <w:webHidden/>
          </w:rPr>
          <w:fldChar w:fldCharType="end"/>
        </w:r>
      </w:hyperlink>
    </w:p>
    <w:p w:rsidR="000471F8" w:rsidRDefault="000471F8">
      <w:pPr>
        <w:pStyle w:val="Verzeichnis2"/>
        <w:tabs>
          <w:tab w:val="right" w:leader="dot" w:pos="9062"/>
        </w:tabs>
        <w:rPr>
          <w:rFonts w:eastAsiaTheme="minorEastAsia" w:cstheme="minorBidi"/>
          <w:b w:val="0"/>
          <w:bCs w:val="0"/>
          <w:noProof/>
          <w:sz w:val="22"/>
          <w:szCs w:val="22"/>
          <w:lang w:val="de-DE" w:eastAsia="de-DE"/>
        </w:rPr>
      </w:pPr>
      <w:hyperlink w:anchor="_Toc435621237" w:history="1">
        <w:r w:rsidRPr="00B44FCE">
          <w:rPr>
            <w:rStyle w:val="Hyperlink"/>
            <w:noProof/>
          </w:rPr>
          <w:t xml:space="preserve">6.1 </w:t>
        </w:r>
        <w:r w:rsidRPr="00B44FCE">
          <w:rPr>
            <w:rStyle w:val="Hyperlink"/>
            <w:i/>
            <w:noProof/>
          </w:rPr>
          <w:t>ALD1</w:t>
        </w:r>
        <w:r w:rsidRPr="00B44FCE">
          <w:rPr>
            <w:rStyle w:val="Hyperlink"/>
            <w:noProof/>
          </w:rPr>
          <w:t xml:space="preserve"> and </w:t>
        </w:r>
        <w:r w:rsidRPr="00B44FCE">
          <w:rPr>
            <w:rStyle w:val="Hyperlink"/>
            <w:i/>
            <w:noProof/>
          </w:rPr>
          <w:t>FMO1</w:t>
        </w:r>
        <w:r w:rsidRPr="00B44FCE">
          <w:rPr>
            <w:rStyle w:val="Hyperlink"/>
            <w:noProof/>
          </w:rPr>
          <w:t xml:space="preserve"> are necessary regulators of defence priming in </w:t>
        </w:r>
        <w:r w:rsidRPr="00B44FCE">
          <w:rPr>
            <w:rStyle w:val="Hyperlink"/>
            <w:i/>
            <w:noProof/>
          </w:rPr>
          <w:t>Arabidopsis thaliana</w:t>
        </w:r>
        <w:r>
          <w:rPr>
            <w:noProof/>
            <w:webHidden/>
          </w:rPr>
          <w:tab/>
        </w:r>
        <w:r>
          <w:rPr>
            <w:noProof/>
            <w:webHidden/>
          </w:rPr>
          <w:fldChar w:fldCharType="begin"/>
        </w:r>
        <w:r>
          <w:rPr>
            <w:noProof/>
            <w:webHidden/>
          </w:rPr>
          <w:instrText xml:space="preserve"> PAGEREF _Toc435621237 \h </w:instrText>
        </w:r>
        <w:r>
          <w:rPr>
            <w:noProof/>
            <w:webHidden/>
          </w:rPr>
        </w:r>
        <w:r>
          <w:rPr>
            <w:noProof/>
            <w:webHidden/>
          </w:rPr>
          <w:fldChar w:fldCharType="separate"/>
        </w:r>
        <w:r>
          <w:rPr>
            <w:noProof/>
            <w:webHidden/>
          </w:rPr>
          <w:t>54</w:t>
        </w:r>
        <w:r>
          <w:rPr>
            <w:noProof/>
            <w:webHidden/>
          </w:rPr>
          <w:fldChar w:fldCharType="end"/>
        </w:r>
      </w:hyperlink>
    </w:p>
    <w:p w:rsidR="000471F8" w:rsidRDefault="000471F8">
      <w:pPr>
        <w:pStyle w:val="Verzeichnis2"/>
        <w:tabs>
          <w:tab w:val="right" w:leader="dot" w:pos="9062"/>
        </w:tabs>
        <w:rPr>
          <w:rFonts w:eastAsiaTheme="minorEastAsia" w:cstheme="minorBidi"/>
          <w:b w:val="0"/>
          <w:bCs w:val="0"/>
          <w:noProof/>
          <w:sz w:val="22"/>
          <w:szCs w:val="22"/>
          <w:lang w:val="de-DE" w:eastAsia="de-DE"/>
        </w:rPr>
      </w:pPr>
      <w:hyperlink w:anchor="_Toc435621238" w:history="1">
        <w:r w:rsidRPr="00B44FCE">
          <w:rPr>
            <w:rStyle w:val="Hyperlink"/>
            <w:noProof/>
          </w:rPr>
          <w:t>6.2 Regulation of Pip-induced priming of gene expression</w:t>
        </w:r>
        <w:r>
          <w:rPr>
            <w:noProof/>
            <w:webHidden/>
          </w:rPr>
          <w:tab/>
        </w:r>
        <w:r>
          <w:rPr>
            <w:noProof/>
            <w:webHidden/>
          </w:rPr>
          <w:fldChar w:fldCharType="begin"/>
        </w:r>
        <w:r>
          <w:rPr>
            <w:noProof/>
            <w:webHidden/>
          </w:rPr>
          <w:instrText xml:space="preserve"> PAGEREF _Toc435621238 \h </w:instrText>
        </w:r>
        <w:r>
          <w:rPr>
            <w:noProof/>
            <w:webHidden/>
          </w:rPr>
        </w:r>
        <w:r>
          <w:rPr>
            <w:noProof/>
            <w:webHidden/>
          </w:rPr>
          <w:fldChar w:fldCharType="separate"/>
        </w:r>
        <w:r>
          <w:rPr>
            <w:noProof/>
            <w:webHidden/>
          </w:rPr>
          <w:t>72</w:t>
        </w:r>
        <w:r>
          <w:rPr>
            <w:noProof/>
            <w:webHidden/>
          </w:rPr>
          <w:fldChar w:fldCharType="end"/>
        </w:r>
      </w:hyperlink>
    </w:p>
    <w:p w:rsidR="000471F8" w:rsidRDefault="000471F8">
      <w:pPr>
        <w:pStyle w:val="Verzeichnis2"/>
        <w:tabs>
          <w:tab w:val="right" w:leader="dot" w:pos="9062"/>
        </w:tabs>
        <w:rPr>
          <w:rFonts w:eastAsiaTheme="minorEastAsia" w:cstheme="minorBidi"/>
          <w:b w:val="0"/>
          <w:bCs w:val="0"/>
          <w:noProof/>
          <w:sz w:val="22"/>
          <w:szCs w:val="22"/>
          <w:lang w:val="de-DE" w:eastAsia="de-DE"/>
        </w:rPr>
      </w:pPr>
      <w:hyperlink w:anchor="_Toc435621239" w:history="1">
        <w:r w:rsidRPr="00B44FCE">
          <w:rPr>
            <w:rStyle w:val="Hyperlink"/>
            <w:noProof/>
          </w:rPr>
          <w:t>6.3 A role for MAP kinase signalling cascades in defence priming?</w:t>
        </w:r>
        <w:r>
          <w:rPr>
            <w:noProof/>
            <w:webHidden/>
          </w:rPr>
          <w:tab/>
        </w:r>
        <w:r>
          <w:rPr>
            <w:noProof/>
            <w:webHidden/>
          </w:rPr>
          <w:fldChar w:fldCharType="begin"/>
        </w:r>
        <w:r>
          <w:rPr>
            <w:noProof/>
            <w:webHidden/>
          </w:rPr>
          <w:instrText xml:space="preserve"> PAGEREF _Toc435621239 \h </w:instrText>
        </w:r>
        <w:r>
          <w:rPr>
            <w:noProof/>
            <w:webHidden/>
          </w:rPr>
        </w:r>
        <w:r>
          <w:rPr>
            <w:noProof/>
            <w:webHidden/>
          </w:rPr>
          <w:fldChar w:fldCharType="separate"/>
        </w:r>
        <w:r>
          <w:rPr>
            <w:noProof/>
            <w:webHidden/>
          </w:rPr>
          <w:t>73</w:t>
        </w:r>
        <w:r>
          <w:rPr>
            <w:noProof/>
            <w:webHidden/>
          </w:rPr>
          <w:fldChar w:fldCharType="end"/>
        </w:r>
      </w:hyperlink>
    </w:p>
    <w:p w:rsidR="000471F8" w:rsidRDefault="000471F8">
      <w:pPr>
        <w:pStyle w:val="Verzeichnis2"/>
        <w:tabs>
          <w:tab w:val="right" w:leader="dot" w:pos="9062"/>
        </w:tabs>
        <w:rPr>
          <w:rFonts w:eastAsiaTheme="minorEastAsia" w:cstheme="minorBidi"/>
          <w:b w:val="0"/>
          <w:bCs w:val="0"/>
          <w:noProof/>
          <w:sz w:val="22"/>
          <w:szCs w:val="22"/>
          <w:lang w:val="de-DE" w:eastAsia="de-DE"/>
        </w:rPr>
      </w:pPr>
      <w:hyperlink w:anchor="_Toc435621240" w:history="1">
        <w:r w:rsidRPr="00B44FCE">
          <w:rPr>
            <w:rStyle w:val="Hyperlink"/>
            <w:noProof/>
          </w:rPr>
          <w:t xml:space="preserve">6.4 Establishment of different pathosystems to study inducible immunity and Pip-induced resistance in </w:t>
        </w:r>
        <w:r w:rsidRPr="00B44FCE">
          <w:rPr>
            <w:rStyle w:val="Hyperlink"/>
            <w:i/>
            <w:noProof/>
          </w:rPr>
          <w:t>A. thaliana</w:t>
        </w:r>
        <w:r>
          <w:rPr>
            <w:noProof/>
            <w:webHidden/>
          </w:rPr>
          <w:tab/>
        </w:r>
        <w:r>
          <w:rPr>
            <w:noProof/>
            <w:webHidden/>
          </w:rPr>
          <w:fldChar w:fldCharType="begin"/>
        </w:r>
        <w:r>
          <w:rPr>
            <w:noProof/>
            <w:webHidden/>
          </w:rPr>
          <w:instrText xml:space="preserve"> PAGEREF _Toc435621240 \h </w:instrText>
        </w:r>
        <w:r>
          <w:rPr>
            <w:noProof/>
            <w:webHidden/>
          </w:rPr>
        </w:r>
        <w:r>
          <w:rPr>
            <w:noProof/>
            <w:webHidden/>
          </w:rPr>
          <w:fldChar w:fldCharType="separate"/>
        </w:r>
        <w:r>
          <w:rPr>
            <w:noProof/>
            <w:webHidden/>
          </w:rPr>
          <w:t>77</w:t>
        </w:r>
        <w:r>
          <w:rPr>
            <w:noProof/>
            <w:webHidden/>
          </w:rPr>
          <w:fldChar w:fldCharType="end"/>
        </w:r>
      </w:hyperlink>
    </w:p>
    <w:p w:rsidR="000471F8" w:rsidRDefault="000471F8">
      <w:pPr>
        <w:pStyle w:val="Verzeichnis2"/>
        <w:tabs>
          <w:tab w:val="right" w:leader="dot" w:pos="9062"/>
        </w:tabs>
        <w:rPr>
          <w:rFonts w:eastAsiaTheme="minorEastAsia" w:cstheme="minorBidi"/>
          <w:b w:val="0"/>
          <w:bCs w:val="0"/>
          <w:noProof/>
          <w:sz w:val="22"/>
          <w:szCs w:val="22"/>
          <w:lang w:val="de-DE" w:eastAsia="de-DE"/>
        </w:rPr>
      </w:pPr>
      <w:hyperlink w:anchor="_Toc435621241" w:history="1">
        <w:r w:rsidRPr="00B44FCE">
          <w:rPr>
            <w:rStyle w:val="Hyperlink"/>
            <w:noProof/>
          </w:rPr>
          <w:t xml:space="preserve">6.5 Changes in the metabolic profile of </w:t>
        </w:r>
        <w:r w:rsidRPr="00B44FCE">
          <w:rPr>
            <w:rStyle w:val="Hyperlink"/>
            <w:i/>
            <w:noProof/>
          </w:rPr>
          <w:t>A. thaliana</w:t>
        </w:r>
        <w:r w:rsidRPr="00B44FCE">
          <w:rPr>
            <w:rStyle w:val="Hyperlink"/>
            <w:noProof/>
          </w:rPr>
          <w:t xml:space="preserve"> after infection with </w:t>
        </w:r>
        <w:r w:rsidRPr="00B44FCE">
          <w:rPr>
            <w:rStyle w:val="Hyperlink"/>
            <w:i/>
            <w:noProof/>
          </w:rPr>
          <w:t>B. cinerea,</w:t>
        </w:r>
        <w:r w:rsidRPr="00B44FCE">
          <w:rPr>
            <w:rStyle w:val="Hyperlink"/>
            <w:noProof/>
          </w:rPr>
          <w:t xml:space="preserve"> a fungus of necrotrophic lifestyle</w:t>
        </w:r>
        <w:r>
          <w:rPr>
            <w:noProof/>
            <w:webHidden/>
          </w:rPr>
          <w:tab/>
        </w:r>
        <w:r>
          <w:rPr>
            <w:noProof/>
            <w:webHidden/>
          </w:rPr>
          <w:fldChar w:fldCharType="begin"/>
        </w:r>
        <w:r>
          <w:rPr>
            <w:noProof/>
            <w:webHidden/>
          </w:rPr>
          <w:instrText xml:space="preserve"> PAGEREF _Toc435621241 \h </w:instrText>
        </w:r>
        <w:r>
          <w:rPr>
            <w:noProof/>
            <w:webHidden/>
          </w:rPr>
        </w:r>
        <w:r>
          <w:rPr>
            <w:noProof/>
            <w:webHidden/>
          </w:rPr>
          <w:fldChar w:fldCharType="separate"/>
        </w:r>
        <w:r>
          <w:rPr>
            <w:noProof/>
            <w:webHidden/>
          </w:rPr>
          <w:t>78</w:t>
        </w:r>
        <w:r>
          <w:rPr>
            <w:noProof/>
            <w:webHidden/>
          </w:rPr>
          <w:fldChar w:fldCharType="end"/>
        </w:r>
      </w:hyperlink>
    </w:p>
    <w:p w:rsidR="000471F8" w:rsidRDefault="000471F8">
      <w:pPr>
        <w:pStyle w:val="Verzeichnis2"/>
        <w:tabs>
          <w:tab w:val="right" w:leader="dot" w:pos="9062"/>
        </w:tabs>
        <w:rPr>
          <w:rFonts w:eastAsiaTheme="minorEastAsia" w:cstheme="minorBidi"/>
          <w:b w:val="0"/>
          <w:bCs w:val="0"/>
          <w:noProof/>
          <w:sz w:val="22"/>
          <w:szCs w:val="22"/>
          <w:lang w:val="de-DE" w:eastAsia="de-DE"/>
        </w:rPr>
      </w:pPr>
      <w:hyperlink w:anchor="_Toc435621242" w:history="1">
        <w:r w:rsidRPr="00B44FCE">
          <w:rPr>
            <w:rStyle w:val="Hyperlink"/>
            <w:noProof/>
          </w:rPr>
          <w:t xml:space="preserve">6.6 Reduction of </w:t>
        </w:r>
        <w:r w:rsidRPr="00B44FCE">
          <w:rPr>
            <w:rStyle w:val="Hyperlink"/>
            <w:i/>
            <w:noProof/>
          </w:rPr>
          <w:t>B. cinerea-</w:t>
        </w:r>
        <w:r w:rsidRPr="00B44FCE">
          <w:rPr>
            <w:rStyle w:val="Hyperlink"/>
            <w:noProof/>
          </w:rPr>
          <w:t>caused disease symptoms by exogenous Pip-treatment</w:t>
        </w:r>
        <w:r>
          <w:rPr>
            <w:noProof/>
            <w:webHidden/>
          </w:rPr>
          <w:tab/>
        </w:r>
        <w:r>
          <w:rPr>
            <w:noProof/>
            <w:webHidden/>
          </w:rPr>
          <w:fldChar w:fldCharType="begin"/>
        </w:r>
        <w:r>
          <w:rPr>
            <w:noProof/>
            <w:webHidden/>
          </w:rPr>
          <w:instrText xml:space="preserve"> PAGEREF _Toc435621242 \h </w:instrText>
        </w:r>
        <w:r>
          <w:rPr>
            <w:noProof/>
            <w:webHidden/>
          </w:rPr>
        </w:r>
        <w:r>
          <w:rPr>
            <w:noProof/>
            <w:webHidden/>
          </w:rPr>
          <w:fldChar w:fldCharType="separate"/>
        </w:r>
        <w:r>
          <w:rPr>
            <w:noProof/>
            <w:webHidden/>
          </w:rPr>
          <w:t>83</w:t>
        </w:r>
        <w:r>
          <w:rPr>
            <w:noProof/>
            <w:webHidden/>
          </w:rPr>
          <w:fldChar w:fldCharType="end"/>
        </w:r>
      </w:hyperlink>
    </w:p>
    <w:p w:rsidR="000471F8" w:rsidRDefault="000471F8">
      <w:pPr>
        <w:pStyle w:val="Verzeichnis2"/>
        <w:tabs>
          <w:tab w:val="right" w:leader="dot" w:pos="9062"/>
        </w:tabs>
        <w:rPr>
          <w:rFonts w:eastAsiaTheme="minorEastAsia" w:cstheme="minorBidi"/>
          <w:b w:val="0"/>
          <w:bCs w:val="0"/>
          <w:noProof/>
          <w:sz w:val="22"/>
          <w:szCs w:val="22"/>
          <w:lang w:val="de-DE" w:eastAsia="de-DE"/>
        </w:rPr>
      </w:pPr>
      <w:hyperlink w:anchor="_Toc435621243" w:history="1">
        <w:r w:rsidRPr="00B44FCE">
          <w:rPr>
            <w:rStyle w:val="Hyperlink"/>
            <w:noProof/>
          </w:rPr>
          <w:t xml:space="preserve">6.7 Metabolic profile of </w:t>
        </w:r>
        <w:r w:rsidRPr="00B44FCE">
          <w:rPr>
            <w:rStyle w:val="Hyperlink"/>
            <w:i/>
            <w:noProof/>
          </w:rPr>
          <w:t>A. thaliana</w:t>
        </w:r>
        <w:r w:rsidRPr="00B44FCE">
          <w:rPr>
            <w:rStyle w:val="Hyperlink"/>
            <w:noProof/>
          </w:rPr>
          <w:t xml:space="preserve"> after infection with a biotrophic oomycete</w:t>
        </w:r>
        <w:r>
          <w:rPr>
            <w:noProof/>
            <w:webHidden/>
          </w:rPr>
          <w:tab/>
        </w:r>
        <w:r>
          <w:rPr>
            <w:noProof/>
            <w:webHidden/>
          </w:rPr>
          <w:fldChar w:fldCharType="begin"/>
        </w:r>
        <w:r>
          <w:rPr>
            <w:noProof/>
            <w:webHidden/>
          </w:rPr>
          <w:instrText xml:space="preserve"> PAGEREF _Toc435621243 \h </w:instrText>
        </w:r>
        <w:r>
          <w:rPr>
            <w:noProof/>
            <w:webHidden/>
          </w:rPr>
        </w:r>
        <w:r>
          <w:rPr>
            <w:noProof/>
            <w:webHidden/>
          </w:rPr>
          <w:fldChar w:fldCharType="separate"/>
        </w:r>
        <w:r>
          <w:rPr>
            <w:noProof/>
            <w:webHidden/>
          </w:rPr>
          <w:t>85</w:t>
        </w:r>
        <w:r>
          <w:rPr>
            <w:noProof/>
            <w:webHidden/>
          </w:rPr>
          <w:fldChar w:fldCharType="end"/>
        </w:r>
      </w:hyperlink>
    </w:p>
    <w:p w:rsidR="000471F8" w:rsidRDefault="000471F8">
      <w:pPr>
        <w:pStyle w:val="Verzeichnis2"/>
        <w:tabs>
          <w:tab w:val="right" w:leader="dot" w:pos="9062"/>
        </w:tabs>
        <w:rPr>
          <w:rFonts w:eastAsiaTheme="minorEastAsia" w:cstheme="minorBidi"/>
          <w:b w:val="0"/>
          <w:bCs w:val="0"/>
          <w:noProof/>
          <w:sz w:val="22"/>
          <w:szCs w:val="22"/>
          <w:lang w:val="de-DE" w:eastAsia="de-DE"/>
        </w:rPr>
      </w:pPr>
      <w:hyperlink w:anchor="_Toc435621244" w:history="1">
        <w:r w:rsidRPr="00B44FCE">
          <w:rPr>
            <w:rStyle w:val="Hyperlink"/>
            <w:noProof/>
          </w:rPr>
          <w:t xml:space="preserve">6.8 Pip-induced resistance against the virulent </w:t>
        </w:r>
        <w:r w:rsidRPr="00B44FCE">
          <w:rPr>
            <w:rStyle w:val="Hyperlink"/>
            <w:i/>
            <w:noProof/>
          </w:rPr>
          <w:t>Hpa</w:t>
        </w:r>
        <w:r w:rsidRPr="00B44FCE">
          <w:rPr>
            <w:rStyle w:val="Hyperlink"/>
            <w:noProof/>
          </w:rPr>
          <w:t xml:space="preserve"> isolate Noco2</w:t>
        </w:r>
        <w:r>
          <w:rPr>
            <w:noProof/>
            <w:webHidden/>
          </w:rPr>
          <w:tab/>
        </w:r>
        <w:r>
          <w:rPr>
            <w:noProof/>
            <w:webHidden/>
          </w:rPr>
          <w:fldChar w:fldCharType="begin"/>
        </w:r>
        <w:r>
          <w:rPr>
            <w:noProof/>
            <w:webHidden/>
          </w:rPr>
          <w:instrText xml:space="preserve"> PAGEREF _Toc435621244 \h </w:instrText>
        </w:r>
        <w:r>
          <w:rPr>
            <w:noProof/>
            <w:webHidden/>
          </w:rPr>
        </w:r>
        <w:r>
          <w:rPr>
            <w:noProof/>
            <w:webHidden/>
          </w:rPr>
          <w:fldChar w:fldCharType="separate"/>
        </w:r>
        <w:r>
          <w:rPr>
            <w:noProof/>
            <w:webHidden/>
          </w:rPr>
          <w:t>88</w:t>
        </w:r>
        <w:r>
          <w:rPr>
            <w:noProof/>
            <w:webHidden/>
          </w:rPr>
          <w:fldChar w:fldCharType="end"/>
        </w:r>
      </w:hyperlink>
    </w:p>
    <w:p w:rsidR="000471F8" w:rsidRDefault="000471F8">
      <w:pPr>
        <w:pStyle w:val="Verzeichnis2"/>
        <w:tabs>
          <w:tab w:val="right" w:leader="dot" w:pos="9062"/>
        </w:tabs>
        <w:rPr>
          <w:rFonts w:eastAsiaTheme="minorEastAsia" w:cstheme="minorBidi"/>
          <w:b w:val="0"/>
          <w:bCs w:val="0"/>
          <w:noProof/>
          <w:sz w:val="22"/>
          <w:szCs w:val="22"/>
          <w:lang w:val="de-DE" w:eastAsia="de-DE"/>
        </w:rPr>
      </w:pPr>
      <w:hyperlink w:anchor="_Toc435621245" w:history="1">
        <w:r w:rsidRPr="00B44FCE">
          <w:rPr>
            <w:rStyle w:val="Hyperlink"/>
            <w:noProof/>
          </w:rPr>
          <w:t xml:space="preserve">6.9 Resistance to </w:t>
        </w:r>
        <w:r w:rsidRPr="00B44FCE">
          <w:rPr>
            <w:rStyle w:val="Hyperlink"/>
            <w:i/>
            <w:noProof/>
          </w:rPr>
          <w:t>Hpa</w:t>
        </w:r>
        <w:r w:rsidRPr="00B44FCE">
          <w:rPr>
            <w:rStyle w:val="Hyperlink"/>
            <w:noProof/>
          </w:rPr>
          <w:t xml:space="preserve"> Noco2 mediated by </w:t>
        </w:r>
        <w:r w:rsidRPr="00B44FCE">
          <w:rPr>
            <w:rStyle w:val="Hyperlink"/>
            <w:i/>
            <w:noProof/>
          </w:rPr>
          <w:t>Psm</w:t>
        </w:r>
        <w:r w:rsidRPr="00B44FCE">
          <w:rPr>
            <w:rStyle w:val="Hyperlink"/>
            <w:noProof/>
          </w:rPr>
          <w:t>-induced SAR</w:t>
        </w:r>
        <w:r>
          <w:rPr>
            <w:noProof/>
            <w:webHidden/>
          </w:rPr>
          <w:tab/>
        </w:r>
        <w:r>
          <w:rPr>
            <w:noProof/>
            <w:webHidden/>
          </w:rPr>
          <w:fldChar w:fldCharType="begin"/>
        </w:r>
        <w:r>
          <w:rPr>
            <w:noProof/>
            <w:webHidden/>
          </w:rPr>
          <w:instrText xml:space="preserve"> PAGEREF _Toc435621245 \h </w:instrText>
        </w:r>
        <w:r>
          <w:rPr>
            <w:noProof/>
            <w:webHidden/>
          </w:rPr>
        </w:r>
        <w:r>
          <w:rPr>
            <w:noProof/>
            <w:webHidden/>
          </w:rPr>
          <w:fldChar w:fldCharType="separate"/>
        </w:r>
        <w:r>
          <w:rPr>
            <w:noProof/>
            <w:webHidden/>
          </w:rPr>
          <w:t>92</w:t>
        </w:r>
        <w:r>
          <w:rPr>
            <w:noProof/>
            <w:webHidden/>
          </w:rPr>
          <w:fldChar w:fldCharType="end"/>
        </w:r>
      </w:hyperlink>
    </w:p>
    <w:p w:rsidR="000471F8" w:rsidRDefault="000471F8">
      <w:pPr>
        <w:pStyle w:val="Verzeichnis2"/>
        <w:tabs>
          <w:tab w:val="right" w:leader="dot" w:pos="9062"/>
        </w:tabs>
        <w:rPr>
          <w:rFonts w:eastAsiaTheme="minorEastAsia" w:cstheme="minorBidi"/>
          <w:b w:val="0"/>
          <w:bCs w:val="0"/>
          <w:noProof/>
          <w:sz w:val="22"/>
          <w:szCs w:val="22"/>
          <w:lang w:val="de-DE" w:eastAsia="de-DE"/>
        </w:rPr>
      </w:pPr>
      <w:hyperlink w:anchor="_Toc435621246" w:history="1">
        <w:r w:rsidRPr="00B44FCE">
          <w:rPr>
            <w:rStyle w:val="Hyperlink"/>
            <w:noProof/>
          </w:rPr>
          <w:t xml:space="preserve">6.10 The metabolic profile of </w:t>
        </w:r>
        <w:r w:rsidRPr="00B44FCE">
          <w:rPr>
            <w:rStyle w:val="Hyperlink"/>
            <w:i/>
            <w:noProof/>
          </w:rPr>
          <w:t>Arabidopsis</w:t>
        </w:r>
        <w:r w:rsidRPr="00B44FCE">
          <w:rPr>
            <w:rStyle w:val="Hyperlink"/>
            <w:noProof/>
          </w:rPr>
          <w:t xml:space="preserve"> plants infected with the avirulent </w:t>
        </w:r>
        <w:r w:rsidRPr="00B44FCE">
          <w:rPr>
            <w:rStyle w:val="Hyperlink"/>
            <w:i/>
            <w:noProof/>
          </w:rPr>
          <w:t>Hpa</w:t>
        </w:r>
        <w:r w:rsidRPr="00B44FCE">
          <w:rPr>
            <w:rStyle w:val="Hyperlink"/>
            <w:noProof/>
          </w:rPr>
          <w:t xml:space="preserve"> isolate Cala2 differs from plants infected with the virulent </w:t>
        </w:r>
        <w:r w:rsidRPr="00B44FCE">
          <w:rPr>
            <w:rStyle w:val="Hyperlink"/>
            <w:i/>
            <w:noProof/>
          </w:rPr>
          <w:t>Hpa</w:t>
        </w:r>
        <w:r w:rsidRPr="00B44FCE">
          <w:rPr>
            <w:rStyle w:val="Hyperlink"/>
            <w:noProof/>
          </w:rPr>
          <w:t xml:space="preserve"> isolate Noco2</w:t>
        </w:r>
        <w:r>
          <w:rPr>
            <w:noProof/>
            <w:webHidden/>
          </w:rPr>
          <w:tab/>
        </w:r>
        <w:r>
          <w:rPr>
            <w:noProof/>
            <w:webHidden/>
          </w:rPr>
          <w:fldChar w:fldCharType="begin"/>
        </w:r>
        <w:r>
          <w:rPr>
            <w:noProof/>
            <w:webHidden/>
          </w:rPr>
          <w:instrText xml:space="preserve"> PAGEREF _Toc435621246 \h </w:instrText>
        </w:r>
        <w:r>
          <w:rPr>
            <w:noProof/>
            <w:webHidden/>
          </w:rPr>
        </w:r>
        <w:r>
          <w:rPr>
            <w:noProof/>
            <w:webHidden/>
          </w:rPr>
          <w:fldChar w:fldCharType="separate"/>
        </w:r>
        <w:r>
          <w:rPr>
            <w:noProof/>
            <w:webHidden/>
          </w:rPr>
          <w:t>95</w:t>
        </w:r>
        <w:r>
          <w:rPr>
            <w:noProof/>
            <w:webHidden/>
          </w:rPr>
          <w:fldChar w:fldCharType="end"/>
        </w:r>
      </w:hyperlink>
    </w:p>
    <w:p w:rsidR="000471F8" w:rsidRDefault="000471F8">
      <w:pPr>
        <w:pStyle w:val="Verzeichnis2"/>
        <w:tabs>
          <w:tab w:val="right" w:leader="dot" w:pos="9062"/>
        </w:tabs>
        <w:rPr>
          <w:rFonts w:eastAsiaTheme="minorEastAsia" w:cstheme="minorBidi"/>
          <w:b w:val="0"/>
          <w:bCs w:val="0"/>
          <w:noProof/>
          <w:sz w:val="22"/>
          <w:szCs w:val="22"/>
          <w:lang w:val="de-DE" w:eastAsia="de-DE"/>
        </w:rPr>
      </w:pPr>
      <w:hyperlink w:anchor="_Toc435621247" w:history="1">
        <w:r w:rsidRPr="00B44FCE">
          <w:rPr>
            <w:rStyle w:val="Hyperlink"/>
            <w:noProof/>
          </w:rPr>
          <w:t xml:space="preserve">6.11 Analysis of the interaction of </w:t>
        </w:r>
        <w:r w:rsidRPr="00B44FCE">
          <w:rPr>
            <w:rStyle w:val="Hyperlink"/>
            <w:i/>
            <w:noProof/>
          </w:rPr>
          <w:t>A. thaliana</w:t>
        </w:r>
        <w:r w:rsidRPr="00B44FCE">
          <w:rPr>
            <w:rStyle w:val="Hyperlink"/>
            <w:noProof/>
          </w:rPr>
          <w:t xml:space="preserve"> with the avirulent </w:t>
        </w:r>
        <w:r w:rsidRPr="00B44FCE">
          <w:rPr>
            <w:rStyle w:val="Hyperlink"/>
            <w:i/>
            <w:noProof/>
          </w:rPr>
          <w:t>Hpa</w:t>
        </w:r>
        <w:r w:rsidRPr="00B44FCE">
          <w:rPr>
            <w:rStyle w:val="Hyperlink"/>
            <w:noProof/>
          </w:rPr>
          <w:t xml:space="preserve"> isolate Cala2</w:t>
        </w:r>
        <w:r>
          <w:rPr>
            <w:noProof/>
            <w:webHidden/>
          </w:rPr>
          <w:tab/>
        </w:r>
        <w:r>
          <w:rPr>
            <w:noProof/>
            <w:webHidden/>
          </w:rPr>
          <w:fldChar w:fldCharType="begin"/>
        </w:r>
        <w:r>
          <w:rPr>
            <w:noProof/>
            <w:webHidden/>
          </w:rPr>
          <w:instrText xml:space="preserve"> PAGEREF _Toc435621247 \h </w:instrText>
        </w:r>
        <w:r>
          <w:rPr>
            <w:noProof/>
            <w:webHidden/>
          </w:rPr>
        </w:r>
        <w:r>
          <w:rPr>
            <w:noProof/>
            <w:webHidden/>
          </w:rPr>
          <w:fldChar w:fldCharType="separate"/>
        </w:r>
        <w:r>
          <w:rPr>
            <w:noProof/>
            <w:webHidden/>
          </w:rPr>
          <w:t>97</w:t>
        </w:r>
        <w:r>
          <w:rPr>
            <w:noProof/>
            <w:webHidden/>
          </w:rPr>
          <w:fldChar w:fldCharType="end"/>
        </w:r>
      </w:hyperlink>
    </w:p>
    <w:p w:rsidR="000471F8" w:rsidRDefault="000471F8">
      <w:pPr>
        <w:pStyle w:val="Verzeichnis2"/>
        <w:tabs>
          <w:tab w:val="right" w:leader="dot" w:pos="9062"/>
        </w:tabs>
        <w:rPr>
          <w:rFonts w:eastAsiaTheme="minorEastAsia" w:cstheme="minorBidi"/>
          <w:b w:val="0"/>
          <w:bCs w:val="0"/>
          <w:noProof/>
          <w:sz w:val="22"/>
          <w:szCs w:val="22"/>
          <w:lang w:val="de-DE" w:eastAsia="de-DE"/>
        </w:rPr>
      </w:pPr>
      <w:hyperlink w:anchor="_Toc435621248" w:history="1">
        <w:r w:rsidRPr="00B44FCE">
          <w:rPr>
            <w:rStyle w:val="Hyperlink"/>
            <w:noProof/>
          </w:rPr>
          <w:t>6.12 Changes in defence metabolite profiles of A</w:t>
        </w:r>
        <w:r w:rsidRPr="00B44FCE">
          <w:rPr>
            <w:rStyle w:val="Hyperlink"/>
            <w:i/>
            <w:noProof/>
          </w:rPr>
          <w:t>. thaliana</w:t>
        </w:r>
        <w:r w:rsidRPr="00B44FCE">
          <w:rPr>
            <w:rStyle w:val="Hyperlink"/>
            <w:noProof/>
          </w:rPr>
          <w:t xml:space="preserve"> after infection with the obligate biotrophic fungus </w:t>
        </w:r>
        <w:r w:rsidRPr="00B44FCE">
          <w:rPr>
            <w:rStyle w:val="Hyperlink"/>
            <w:i/>
            <w:noProof/>
          </w:rPr>
          <w:t>G. orontii</w:t>
        </w:r>
        <w:r>
          <w:rPr>
            <w:noProof/>
            <w:webHidden/>
          </w:rPr>
          <w:tab/>
        </w:r>
        <w:r>
          <w:rPr>
            <w:noProof/>
            <w:webHidden/>
          </w:rPr>
          <w:fldChar w:fldCharType="begin"/>
        </w:r>
        <w:r>
          <w:rPr>
            <w:noProof/>
            <w:webHidden/>
          </w:rPr>
          <w:instrText xml:space="preserve"> PAGEREF _Toc435621248 \h </w:instrText>
        </w:r>
        <w:r>
          <w:rPr>
            <w:noProof/>
            <w:webHidden/>
          </w:rPr>
        </w:r>
        <w:r>
          <w:rPr>
            <w:noProof/>
            <w:webHidden/>
          </w:rPr>
          <w:fldChar w:fldCharType="separate"/>
        </w:r>
        <w:r>
          <w:rPr>
            <w:noProof/>
            <w:webHidden/>
          </w:rPr>
          <w:t>100</w:t>
        </w:r>
        <w:r>
          <w:rPr>
            <w:noProof/>
            <w:webHidden/>
          </w:rPr>
          <w:fldChar w:fldCharType="end"/>
        </w:r>
      </w:hyperlink>
    </w:p>
    <w:p w:rsidR="000471F8" w:rsidRDefault="000471F8">
      <w:pPr>
        <w:pStyle w:val="Verzeichnis2"/>
        <w:tabs>
          <w:tab w:val="right" w:leader="dot" w:pos="9062"/>
        </w:tabs>
        <w:rPr>
          <w:rFonts w:eastAsiaTheme="minorEastAsia" w:cstheme="minorBidi"/>
          <w:b w:val="0"/>
          <w:bCs w:val="0"/>
          <w:noProof/>
          <w:sz w:val="22"/>
          <w:szCs w:val="22"/>
          <w:lang w:val="de-DE" w:eastAsia="de-DE"/>
        </w:rPr>
      </w:pPr>
      <w:hyperlink w:anchor="_Toc435621249" w:history="1">
        <w:r w:rsidRPr="00B44FCE">
          <w:rPr>
            <w:rStyle w:val="Hyperlink"/>
            <w:noProof/>
            <w:lang w:val="en-US"/>
          </w:rPr>
          <w:t xml:space="preserve">6.13 Pip does not induce resistance against the powdery mildew </w:t>
        </w:r>
        <w:r w:rsidRPr="00B44FCE">
          <w:rPr>
            <w:rStyle w:val="Hyperlink"/>
            <w:i/>
            <w:noProof/>
            <w:lang w:val="en-US"/>
          </w:rPr>
          <w:t>G. orontii</w:t>
        </w:r>
        <w:r>
          <w:rPr>
            <w:noProof/>
            <w:webHidden/>
          </w:rPr>
          <w:tab/>
        </w:r>
        <w:r>
          <w:rPr>
            <w:noProof/>
            <w:webHidden/>
          </w:rPr>
          <w:fldChar w:fldCharType="begin"/>
        </w:r>
        <w:r>
          <w:rPr>
            <w:noProof/>
            <w:webHidden/>
          </w:rPr>
          <w:instrText xml:space="preserve"> PAGEREF _Toc435621249 \h </w:instrText>
        </w:r>
        <w:r>
          <w:rPr>
            <w:noProof/>
            <w:webHidden/>
          </w:rPr>
        </w:r>
        <w:r>
          <w:rPr>
            <w:noProof/>
            <w:webHidden/>
          </w:rPr>
          <w:fldChar w:fldCharType="separate"/>
        </w:r>
        <w:r>
          <w:rPr>
            <w:noProof/>
            <w:webHidden/>
          </w:rPr>
          <w:t>102</w:t>
        </w:r>
        <w:r>
          <w:rPr>
            <w:noProof/>
            <w:webHidden/>
          </w:rPr>
          <w:fldChar w:fldCharType="end"/>
        </w:r>
      </w:hyperlink>
    </w:p>
    <w:p w:rsidR="000471F8" w:rsidRDefault="000471F8">
      <w:pPr>
        <w:pStyle w:val="Verzeichnis2"/>
        <w:tabs>
          <w:tab w:val="right" w:leader="dot" w:pos="9062"/>
        </w:tabs>
        <w:rPr>
          <w:rFonts w:eastAsiaTheme="minorEastAsia" w:cstheme="minorBidi"/>
          <w:b w:val="0"/>
          <w:bCs w:val="0"/>
          <w:noProof/>
          <w:sz w:val="22"/>
          <w:szCs w:val="22"/>
          <w:lang w:val="de-DE" w:eastAsia="de-DE"/>
        </w:rPr>
      </w:pPr>
      <w:hyperlink w:anchor="_Toc435621250" w:history="1">
        <w:r w:rsidRPr="00B44FCE">
          <w:rPr>
            <w:rStyle w:val="Hyperlink"/>
            <w:noProof/>
            <w:lang w:val="en-US"/>
          </w:rPr>
          <w:t>6.14 Dependency of the metabolite accumulation pattern on the lifestyle of the attacking pathogen</w:t>
        </w:r>
        <w:r>
          <w:rPr>
            <w:noProof/>
            <w:webHidden/>
          </w:rPr>
          <w:tab/>
        </w:r>
        <w:r>
          <w:rPr>
            <w:noProof/>
            <w:webHidden/>
          </w:rPr>
          <w:fldChar w:fldCharType="begin"/>
        </w:r>
        <w:r>
          <w:rPr>
            <w:noProof/>
            <w:webHidden/>
          </w:rPr>
          <w:instrText xml:space="preserve"> PAGEREF _Toc435621250 \h </w:instrText>
        </w:r>
        <w:r>
          <w:rPr>
            <w:noProof/>
            <w:webHidden/>
          </w:rPr>
        </w:r>
        <w:r>
          <w:rPr>
            <w:noProof/>
            <w:webHidden/>
          </w:rPr>
          <w:fldChar w:fldCharType="separate"/>
        </w:r>
        <w:r>
          <w:rPr>
            <w:noProof/>
            <w:webHidden/>
          </w:rPr>
          <w:t>103</w:t>
        </w:r>
        <w:r>
          <w:rPr>
            <w:noProof/>
            <w:webHidden/>
          </w:rPr>
          <w:fldChar w:fldCharType="end"/>
        </w:r>
      </w:hyperlink>
    </w:p>
    <w:p w:rsidR="000471F8" w:rsidRDefault="000471F8">
      <w:pPr>
        <w:pStyle w:val="Verzeichnis1"/>
        <w:tabs>
          <w:tab w:val="right" w:leader="dot" w:pos="9062"/>
        </w:tabs>
        <w:rPr>
          <w:rFonts w:asciiTheme="minorHAnsi" w:eastAsiaTheme="minorEastAsia" w:hAnsiTheme="minorHAnsi" w:cstheme="minorBidi"/>
          <w:b w:val="0"/>
          <w:bCs w:val="0"/>
          <w:caps w:val="0"/>
          <w:noProof/>
          <w:sz w:val="22"/>
          <w:szCs w:val="22"/>
          <w:lang w:val="de-DE" w:eastAsia="de-DE"/>
        </w:rPr>
      </w:pPr>
      <w:hyperlink w:anchor="_Toc435621251" w:history="1">
        <w:r w:rsidRPr="00B44FCE">
          <w:rPr>
            <w:rStyle w:val="Hyperlink"/>
            <w:noProof/>
          </w:rPr>
          <w:t>7 Discussion</w:t>
        </w:r>
        <w:r>
          <w:rPr>
            <w:noProof/>
            <w:webHidden/>
          </w:rPr>
          <w:tab/>
        </w:r>
        <w:r>
          <w:rPr>
            <w:noProof/>
            <w:webHidden/>
          </w:rPr>
          <w:fldChar w:fldCharType="begin"/>
        </w:r>
        <w:r>
          <w:rPr>
            <w:noProof/>
            <w:webHidden/>
          </w:rPr>
          <w:instrText xml:space="preserve"> PAGEREF _Toc435621251 \h </w:instrText>
        </w:r>
        <w:r>
          <w:rPr>
            <w:noProof/>
            <w:webHidden/>
          </w:rPr>
        </w:r>
        <w:r>
          <w:rPr>
            <w:noProof/>
            <w:webHidden/>
          </w:rPr>
          <w:fldChar w:fldCharType="separate"/>
        </w:r>
        <w:r>
          <w:rPr>
            <w:noProof/>
            <w:webHidden/>
          </w:rPr>
          <w:t>110</w:t>
        </w:r>
        <w:r>
          <w:rPr>
            <w:noProof/>
            <w:webHidden/>
          </w:rPr>
          <w:fldChar w:fldCharType="end"/>
        </w:r>
      </w:hyperlink>
    </w:p>
    <w:p w:rsidR="000471F8" w:rsidRDefault="000471F8">
      <w:pPr>
        <w:pStyle w:val="Verzeichnis2"/>
        <w:tabs>
          <w:tab w:val="right" w:leader="dot" w:pos="9062"/>
        </w:tabs>
        <w:rPr>
          <w:rFonts w:eastAsiaTheme="minorEastAsia" w:cstheme="minorBidi"/>
          <w:b w:val="0"/>
          <w:bCs w:val="0"/>
          <w:noProof/>
          <w:sz w:val="22"/>
          <w:szCs w:val="22"/>
          <w:lang w:val="de-DE" w:eastAsia="de-DE"/>
        </w:rPr>
      </w:pPr>
      <w:hyperlink w:anchor="_Toc435621252" w:history="1">
        <w:r w:rsidRPr="00B44FCE">
          <w:rPr>
            <w:rStyle w:val="Hyperlink"/>
            <w:noProof/>
          </w:rPr>
          <w:t xml:space="preserve">7.1 Unravelling the regulation of defence priming in </w:t>
        </w:r>
        <w:r w:rsidRPr="00B44FCE">
          <w:rPr>
            <w:rStyle w:val="Hyperlink"/>
            <w:i/>
            <w:noProof/>
          </w:rPr>
          <w:t>A. thaliana</w:t>
        </w:r>
        <w:r>
          <w:rPr>
            <w:noProof/>
            <w:webHidden/>
          </w:rPr>
          <w:tab/>
        </w:r>
        <w:r>
          <w:rPr>
            <w:noProof/>
            <w:webHidden/>
          </w:rPr>
          <w:fldChar w:fldCharType="begin"/>
        </w:r>
        <w:r>
          <w:rPr>
            <w:noProof/>
            <w:webHidden/>
          </w:rPr>
          <w:instrText xml:space="preserve"> PAGEREF _Toc435621252 \h </w:instrText>
        </w:r>
        <w:r>
          <w:rPr>
            <w:noProof/>
            <w:webHidden/>
          </w:rPr>
        </w:r>
        <w:r>
          <w:rPr>
            <w:noProof/>
            <w:webHidden/>
          </w:rPr>
          <w:fldChar w:fldCharType="separate"/>
        </w:r>
        <w:r>
          <w:rPr>
            <w:noProof/>
            <w:webHidden/>
          </w:rPr>
          <w:t>110</w:t>
        </w:r>
        <w:r>
          <w:rPr>
            <w:noProof/>
            <w:webHidden/>
          </w:rPr>
          <w:fldChar w:fldCharType="end"/>
        </w:r>
      </w:hyperlink>
    </w:p>
    <w:p w:rsidR="000471F8" w:rsidRDefault="000471F8">
      <w:pPr>
        <w:pStyle w:val="Verzeichnis2"/>
        <w:tabs>
          <w:tab w:val="right" w:leader="dot" w:pos="9062"/>
        </w:tabs>
        <w:rPr>
          <w:rFonts w:eastAsiaTheme="minorEastAsia" w:cstheme="minorBidi"/>
          <w:b w:val="0"/>
          <w:bCs w:val="0"/>
          <w:noProof/>
          <w:sz w:val="22"/>
          <w:szCs w:val="22"/>
          <w:lang w:val="de-DE" w:eastAsia="de-DE"/>
        </w:rPr>
      </w:pPr>
      <w:hyperlink w:anchor="_Toc435621253" w:history="1">
        <w:r w:rsidRPr="00B44FCE">
          <w:rPr>
            <w:rStyle w:val="Hyperlink"/>
            <w:noProof/>
          </w:rPr>
          <w:t>7.2 Pip as essential component for priming of SA-independent and</w:t>
        </w:r>
        <w:r>
          <w:rPr>
            <w:noProof/>
            <w:webHidden/>
          </w:rPr>
          <w:tab/>
        </w:r>
        <w:r>
          <w:rPr>
            <w:noProof/>
            <w:webHidden/>
          </w:rPr>
          <w:fldChar w:fldCharType="begin"/>
        </w:r>
        <w:r>
          <w:rPr>
            <w:noProof/>
            <w:webHidden/>
          </w:rPr>
          <w:instrText xml:space="preserve"> PAGEREF _Toc435621253 \h </w:instrText>
        </w:r>
        <w:r>
          <w:rPr>
            <w:noProof/>
            <w:webHidden/>
          </w:rPr>
        </w:r>
        <w:r>
          <w:rPr>
            <w:noProof/>
            <w:webHidden/>
          </w:rPr>
          <w:fldChar w:fldCharType="separate"/>
        </w:r>
        <w:r>
          <w:rPr>
            <w:noProof/>
            <w:webHidden/>
          </w:rPr>
          <w:t>112</w:t>
        </w:r>
        <w:r>
          <w:rPr>
            <w:noProof/>
            <w:webHidden/>
          </w:rPr>
          <w:fldChar w:fldCharType="end"/>
        </w:r>
      </w:hyperlink>
    </w:p>
    <w:p w:rsidR="000471F8" w:rsidRDefault="000471F8">
      <w:pPr>
        <w:pStyle w:val="Verzeichnis2"/>
        <w:tabs>
          <w:tab w:val="right" w:leader="dot" w:pos="9062"/>
        </w:tabs>
        <w:rPr>
          <w:rFonts w:eastAsiaTheme="minorEastAsia" w:cstheme="minorBidi"/>
          <w:b w:val="0"/>
          <w:bCs w:val="0"/>
          <w:noProof/>
          <w:sz w:val="22"/>
          <w:szCs w:val="22"/>
          <w:lang w:val="de-DE" w:eastAsia="de-DE"/>
        </w:rPr>
      </w:pPr>
      <w:hyperlink w:anchor="_Toc435621254" w:history="1">
        <w:r w:rsidRPr="00B44FCE">
          <w:rPr>
            <w:rStyle w:val="Hyperlink"/>
            <w:noProof/>
          </w:rPr>
          <w:t>-dependent gene expression</w:t>
        </w:r>
        <w:r>
          <w:rPr>
            <w:noProof/>
            <w:webHidden/>
          </w:rPr>
          <w:tab/>
        </w:r>
        <w:r>
          <w:rPr>
            <w:noProof/>
            <w:webHidden/>
          </w:rPr>
          <w:fldChar w:fldCharType="begin"/>
        </w:r>
        <w:r>
          <w:rPr>
            <w:noProof/>
            <w:webHidden/>
          </w:rPr>
          <w:instrText xml:space="preserve"> PAGEREF _Toc435621254 \h </w:instrText>
        </w:r>
        <w:r>
          <w:rPr>
            <w:noProof/>
            <w:webHidden/>
          </w:rPr>
        </w:r>
        <w:r>
          <w:rPr>
            <w:noProof/>
            <w:webHidden/>
          </w:rPr>
          <w:fldChar w:fldCharType="separate"/>
        </w:r>
        <w:r>
          <w:rPr>
            <w:noProof/>
            <w:webHidden/>
          </w:rPr>
          <w:t>112</w:t>
        </w:r>
        <w:r>
          <w:rPr>
            <w:noProof/>
            <w:webHidden/>
          </w:rPr>
          <w:fldChar w:fldCharType="end"/>
        </w:r>
      </w:hyperlink>
    </w:p>
    <w:p w:rsidR="000471F8" w:rsidRDefault="000471F8">
      <w:pPr>
        <w:pStyle w:val="Verzeichnis2"/>
        <w:tabs>
          <w:tab w:val="right" w:leader="dot" w:pos="9062"/>
        </w:tabs>
        <w:rPr>
          <w:rFonts w:eastAsiaTheme="minorEastAsia" w:cstheme="minorBidi"/>
          <w:b w:val="0"/>
          <w:bCs w:val="0"/>
          <w:noProof/>
          <w:sz w:val="22"/>
          <w:szCs w:val="22"/>
          <w:lang w:val="de-DE" w:eastAsia="de-DE"/>
        </w:rPr>
      </w:pPr>
      <w:hyperlink w:anchor="_Toc435621255" w:history="1">
        <w:r w:rsidRPr="00B44FCE">
          <w:rPr>
            <w:rStyle w:val="Hyperlink"/>
            <w:noProof/>
          </w:rPr>
          <w:t>7.3 The flavin-dependent monoxygenase FMO1 is a crucial regulator of Pip-induced priming of gene expression and camalexin accumulation</w:t>
        </w:r>
        <w:r>
          <w:rPr>
            <w:noProof/>
            <w:webHidden/>
          </w:rPr>
          <w:tab/>
        </w:r>
        <w:r>
          <w:rPr>
            <w:noProof/>
            <w:webHidden/>
          </w:rPr>
          <w:fldChar w:fldCharType="begin"/>
        </w:r>
        <w:r>
          <w:rPr>
            <w:noProof/>
            <w:webHidden/>
          </w:rPr>
          <w:instrText xml:space="preserve"> PAGEREF _Toc435621255 \h </w:instrText>
        </w:r>
        <w:r>
          <w:rPr>
            <w:noProof/>
            <w:webHidden/>
          </w:rPr>
        </w:r>
        <w:r>
          <w:rPr>
            <w:noProof/>
            <w:webHidden/>
          </w:rPr>
          <w:fldChar w:fldCharType="separate"/>
        </w:r>
        <w:r>
          <w:rPr>
            <w:noProof/>
            <w:webHidden/>
          </w:rPr>
          <w:t>113</w:t>
        </w:r>
        <w:r>
          <w:rPr>
            <w:noProof/>
            <w:webHidden/>
          </w:rPr>
          <w:fldChar w:fldCharType="end"/>
        </w:r>
      </w:hyperlink>
    </w:p>
    <w:p w:rsidR="000471F8" w:rsidRDefault="000471F8">
      <w:pPr>
        <w:pStyle w:val="Verzeichnis2"/>
        <w:tabs>
          <w:tab w:val="right" w:leader="dot" w:pos="9062"/>
        </w:tabs>
        <w:rPr>
          <w:rFonts w:eastAsiaTheme="minorEastAsia" w:cstheme="minorBidi"/>
          <w:b w:val="0"/>
          <w:bCs w:val="0"/>
          <w:noProof/>
          <w:sz w:val="22"/>
          <w:szCs w:val="22"/>
          <w:lang w:val="de-DE" w:eastAsia="de-DE"/>
        </w:rPr>
      </w:pPr>
      <w:hyperlink w:anchor="_Toc435621256" w:history="1">
        <w:r w:rsidRPr="00B44FCE">
          <w:rPr>
            <w:rStyle w:val="Hyperlink"/>
            <w:noProof/>
          </w:rPr>
          <w:t>7.4 A minor role for MAPK signalling in defence priming</w:t>
        </w:r>
        <w:r>
          <w:rPr>
            <w:noProof/>
            <w:webHidden/>
          </w:rPr>
          <w:tab/>
        </w:r>
        <w:r>
          <w:rPr>
            <w:noProof/>
            <w:webHidden/>
          </w:rPr>
          <w:fldChar w:fldCharType="begin"/>
        </w:r>
        <w:r>
          <w:rPr>
            <w:noProof/>
            <w:webHidden/>
          </w:rPr>
          <w:instrText xml:space="preserve"> PAGEREF _Toc435621256 \h </w:instrText>
        </w:r>
        <w:r>
          <w:rPr>
            <w:noProof/>
            <w:webHidden/>
          </w:rPr>
        </w:r>
        <w:r>
          <w:rPr>
            <w:noProof/>
            <w:webHidden/>
          </w:rPr>
          <w:fldChar w:fldCharType="separate"/>
        </w:r>
        <w:r>
          <w:rPr>
            <w:noProof/>
            <w:webHidden/>
          </w:rPr>
          <w:t>114</w:t>
        </w:r>
        <w:r>
          <w:rPr>
            <w:noProof/>
            <w:webHidden/>
          </w:rPr>
          <w:fldChar w:fldCharType="end"/>
        </w:r>
      </w:hyperlink>
    </w:p>
    <w:p w:rsidR="000471F8" w:rsidRDefault="000471F8">
      <w:pPr>
        <w:pStyle w:val="Verzeichnis2"/>
        <w:tabs>
          <w:tab w:val="right" w:leader="dot" w:pos="9062"/>
        </w:tabs>
        <w:rPr>
          <w:rFonts w:eastAsiaTheme="minorEastAsia" w:cstheme="minorBidi"/>
          <w:b w:val="0"/>
          <w:bCs w:val="0"/>
          <w:noProof/>
          <w:sz w:val="22"/>
          <w:szCs w:val="22"/>
          <w:lang w:val="de-DE" w:eastAsia="de-DE"/>
        </w:rPr>
      </w:pPr>
      <w:hyperlink w:anchor="_Toc435621257" w:history="1">
        <w:r w:rsidRPr="00B44FCE">
          <w:rPr>
            <w:rStyle w:val="Hyperlink"/>
            <w:noProof/>
          </w:rPr>
          <w:t xml:space="preserve">7.5 The role of Pip in the interaction of </w:t>
        </w:r>
        <w:r w:rsidRPr="00B44FCE">
          <w:rPr>
            <w:rStyle w:val="Hyperlink"/>
            <w:i/>
            <w:noProof/>
          </w:rPr>
          <w:t>A. thaliana</w:t>
        </w:r>
        <w:r w:rsidRPr="00B44FCE">
          <w:rPr>
            <w:rStyle w:val="Hyperlink"/>
            <w:noProof/>
          </w:rPr>
          <w:t xml:space="preserve"> with the necrotrophic fungus </w:t>
        </w:r>
        <w:r w:rsidRPr="00B44FCE">
          <w:rPr>
            <w:rStyle w:val="Hyperlink"/>
            <w:i/>
            <w:noProof/>
          </w:rPr>
          <w:t>B. cinerea</w:t>
        </w:r>
        <w:r>
          <w:rPr>
            <w:noProof/>
            <w:webHidden/>
          </w:rPr>
          <w:tab/>
        </w:r>
        <w:r>
          <w:rPr>
            <w:noProof/>
            <w:webHidden/>
          </w:rPr>
          <w:fldChar w:fldCharType="begin"/>
        </w:r>
        <w:r>
          <w:rPr>
            <w:noProof/>
            <w:webHidden/>
          </w:rPr>
          <w:instrText xml:space="preserve"> PAGEREF _Toc435621257 \h </w:instrText>
        </w:r>
        <w:r>
          <w:rPr>
            <w:noProof/>
            <w:webHidden/>
          </w:rPr>
        </w:r>
        <w:r>
          <w:rPr>
            <w:noProof/>
            <w:webHidden/>
          </w:rPr>
          <w:fldChar w:fldCharType="separate"/>
        </w:r>
        <w:r>
          <w:rPr>
            <w:noProof/>
            <w:webHidden/>
          </w:rPr>
          <w:t>116</w:t>
        </w:r>
        <w:r>
          <w:rPr>
            <w:noProof/>
            <w:webHidden/>
          </w:rPr>
          <w:fldChar w:fldCharType="end"/>
        </w:r>
      </w:hyperlink>
    </w:p>
    <w:p w:rsidR="000471F8" w:rsidRDefault="000471F8">
      <w:pPr>
        <w:pStyle w:val="Verzeichnis2"/>
        <w:tabs>
          <w:tab w:val="right" w:leader="dot" w:pos="9062"/>
        </w:tabs>
        <w:rPr>
          <w:rFonts w:eastAsiaTheme="minorEastAsia" w:cstheme="minorBidi"/>
          <w:b w:val="0"/>
          <w:bCs w:val="0"/>
          <w:noProof/>
          <w:sz w:val="22"/>
          <w:szCs w:val="22"/>
          <w:lang w:val="de-DE" w:eastAsia="de-DE"/>
        </w:rPr>
      </w:pPr>
      <w:hyperlink w:anchor="_Toc435621258" w:history="1">
        <w:r w:rsidRPr="00B44FCE">
          <w:rPr>
            <w:rStyle w:val="Hyperlink"/>
            <w:noProof/>
          </w:rPr>
          <w:t xml:space="preserve">7.6 Pip induces resistance against </w:t>
        </w:r>
        <w:r w:rsidRPr="00B44FCE">
          <w:rPr>
            <w:rStyle w:val="Hyperlink"/>
            <w:i/>
            <w:noProof/>
          </w:rPr>
          <w:t>B. cinerea</w:t>
        </w:r>
        <w:r w:rsidRPr="00B44FCE">
          <w:rPr>
            <w:rStyle w:val="Hyperlink"/>
            <w:noProof/>
          </w:rPr>
          <w:t xml:space="preserve"> in Col-0 and </w:t>
        </w:r>
        <w:r w:rsidRPr="00B44FCE">
          <w:rPr>
            <w:rStyle w:val="Hyperlink"/>
            <w:i/>
            <w:noProof/>
          </w:rPr>
          <w:t>ald1</w:t>
        </w:r>
        <w:r w:rsidRPr="00B44FCE">
          <w:rPr>
            <w:rStyle w:val="Hyperlink"/>
            <w:noProof/>
          </w:rPr>
          <w:t xml:space="preserve">, but exacerbates disease in </w:t>
        </w:r>
        <w:r w:rsidRPr="00B44FCE">
          <w:rPr>
            <w:rStyle w:val="Hyperlink"/>
            <w:i/>
            <w:noProof/>
          </w:rPr>
          <w:t>sid2</w:t>
        </w:r>
        <w:r w:rsidRPr="00B44FCE">
          <w:rPr>
            <w:rStyle w:val="Hyperlink"/>
            <w:noProof/>
          </w:rPr>
          <w:t xml:space="preserve"> and </w:t>
        </w:r>
        <w:r w:rsidRPr="00B44FCE">
          <w:rPr>
            <w:rStyle w:val="Hyperlink"/>
            <w:i/>
            <w:noProof/>
          </w:rPr>
          <w:t>coi1</w:t>
        </w:r>
        <w:r>
          <w:rPr>
            <w:noProof/>
            <w:webHidden/>
          </w:rPr>
          <w:tab/>
        </w:r>
        <w:r>
          <w:rPr>
            <w:noProof/>
            <w:webHidden/>
          </w:rPr>
          <w:fldChar w:fldCharType="begin"/>
        </w:r>
        <w:r>
          <w:rPr>
            <w:noProof/>
            <w:webHidden/>
          </w:rPr>
          <w:instrText xml:space="preserve"> PAGEREF _Toc435621258 \h </w:instrText>
        </w:r>
        <w:r>
          <w:rPr>
            <w:noProof/>
            <w:webHidden/>
          </w:rPr>
        </w:r>
        <w:r>
          <w:rPr>
            <w:noProof/>
            <w:webHidden/>
          </w:rPr>
          <w:fldChar w:fldCharType="separate"/>
        </w:r>
        <w:r>
          <w:rPr>
            <w:noProof/>
            <w:webHidden/>
          </w:rPr>
          <w:t>119</w:t>
        </w:r>
        <w:r>
          <w:rPr>
            <w:noProof/>
            <w:webHidden/>
          </w:rPr>
          <w:fldChar w:fldCharType="end"/>
        </w:r>
      </w:hyperlink>
    </w:p>
    <w:p w:rsidR="000471F8" w:rsidRDefault="000471F8">
      <w:pPr>
        <w:pStyle w:val="Verzeichnis2"/>
        <w:tabs>
          <w:tab w:val="right" w:leader="dot" w:pos="9062"/>
        </w:tabs>
        <w:rPr>
          <w:rFonts w:eastAsiaTheme="minorEastAsia" w:cstheme="minorBidi"/>
          <w:b w:val="0"/>
          <w:bCs w:val="0"/>
          <w:noProof/>
          <w:sz w:val="22"/>
          <w:szCs w:val="22"/>
          <w:lang w:val="de-DE" w:eastAsia="de-DE"/>
        </w:rPr>
      </w:pPr>
      <w:hyperlink w:anchor="_Toc435621259" w:history="1">
        <w:r w:rsidRPr="00B44FCE">
          <w:rPr>
            <w:rStyle w:val="Hyperlink"/>
            <w:noProof/>
          </w:rPr>
          <w:t xml:space="preserve">7.7 Changes in metabolite composition of </w:t>
        </w:r>
        <w:r w:rsidRPr="00B44FCE">
          <w:rPr>
            <w:rStyle w:val="Hyperlink"/>
            <w:i/>
            <w:noProof/>
          </w:rPr>
          <w:t>A. thaliana</w:t>
        </w:r>
        <w:r w:rsidRPr="00B44FCE">
          <w:rPr>
            <w:rStyle w:val="Hyperlink"/>
            <w:noProof/>
          </w:rPr>
          <w:t xml:space="preserve"> plants infected with a virulent and an avirulent isolate of </w:t>
        </w:r>
        <w:r w:rsidRPr="00B44FCE">
          <w:rPr>
            <w:rStyle w:val="Hyperlink"/>
            <w:i/>
            <w:noProof/>
          </w:rPr>
          <w:t>Hpa</w:t>
        </w:r>
        <w:r>
          <w:rPr>
            <w:noProof/>
            <w:webHidden/>
          </w:rPr>
          <w:tab/>
        </w:r>
        <w:r>
          <w:rPr>
            <w:noProof/>
            <w:webHidden/>
          </w:rPr>
          <w:fldChar w:fldCharType="begin"/>
        </w:r>
        <w:r>
          <w:rPr>
            <w:noProof/>
            <w:webHidden/>
          </w:rPr>
          <w:instrText xml:space="preserve"> PAGEREF _Toc435621259 \h </w:instrText>
        </w:r>
        <w:r>
          <w:rPr>
            <w:noProof/>
            <w:webHidden/>
          </w:rPr>
        </w:r>
        <w:r>
          <w:rPr>
            <w:noProof/>
            <w:webHidden/>
          </w:rPr>
          <w:fldChar w:fldCharType="separate"/>
        </w:r>
        <w:r>
          <w:rPr>
            <w:noProof/>
            <w:webHidden/>
          </w:rPr>
          <w:t>120</w:t>
        </w:r>
        <w:r>
          <w:rPr>
            <w:noProof/>
            <w:webHidden/>
          </w:rPr>
          <w:fldChar w:fldCharType="end"/>
        </w:r>
      </w:hyperlink>
    </w:p>
    <w:p w:rsidR="000471F8" w:rsidRDefault="000471F8">
      <w:pPr>
        <w:pStyle w:val="Verzeichnis2"/>
        <w:tabs>
          <w:tab w:val="right" w:leader="dot" w:pos="9062"/>
        </w:tabs>
        <w:rPr>
          <w:rFonts w:eastAsiaTheme="minorEastAsia" w:cstheme="minorBidi"/>
          <w:b w:val="0"/>
          <w:bCs w:val="0"/>
          <w:noProof/>
          <w:sz w:val="22"/>
          <w:szCs w:val="22"/>
          <w:lang w:val="de-DE" w:eastAsia="de-DE"/>
        </w:rPr>
      </w:pPr>
      <w:hyperlink w:anchor="_Toc435621260" w:history="1">
        <w:r w:rsidRPr="00B44FCE">
          <w:rPr>
            <w:rStyle w:val="Hyperlink"/>
            <w:noProof/>
          </w:rPr>
          <w:t xml:space="preserve">7.8 Pip-IR against </w:t>
        </w:r>
        <w:r w:rsidRPr="00B44FCE">
          <w:rPr>
            <w:rStyle w:val="Hyperlink"/>
            <w:i/>
            <w:noProof/>
          </w:rPr>
          <w:t>Hpa</w:t>
        </w:r>
        <w:r w:rsidRPr="00B44FCE">
          <w:rPr>
            <w:rStyle w:val="Hyperlink"/>
            <w:noProof/>
          </w:rPr>
          <w:t xml:space="preserve"> is dependent on FMO1 and SA-accumulation</w:t>
        </w:r>
        <w:r>
          <w:rPr>
            <w:noProof/>
            <w:webHidden/>
          </w:rPr>
          <w:tab/>
        </w:r>
        <w:r>
          <w:rPr>
            <w:noProof/>
            <w:webHidden/>
          </w:rPr>
          <w:fldChar w:fldCharType="begin"/>
        </w:r>
        <w:r>
          <w:rPr>
            <w:noProof/>
            <w:webHidden/>
          </w:rPr>
          <w:instrText xml:space="preserve"> PAGEREF _Toc435621260 \h </w:instrText>
        </w:r>
        <w:r>
          <w:rPr>
            <w:noProof/>
            <w:webHidden/>
          </w:rPr>
        </w:r>
        <w:r>
          <w:rPr>
            <w:noProof/>
            <w:webHidden/>
          </w:rPr>
          <w:fldChar w:fldCharType="separate"/>
        </w:r>
        <w:r>
          <w:rPr>
            <w:noProof/>
            <w:webHidden/>
          </w:rPr>
          <w:t>122</w:t>
        </w:r>
        <w:r>
          <w:rPr>
            <w:noProof/>
            <w:webHidden/>
          </w:rPr>
          <w:fldChar w:fldCharType="end"/>
        </w:r>
      </w:hyperlink>
    </w:p>
    <w:p w:rsidR="000471F8" w:rsidRDefault="000471F8">
      <w:pPr>
        <w:pStyle w:val="Verzeichnis2"/>
        <w:tabs>
          <w:tab w:val="right" w:leader="dot" w:pos="9062"/>
        </w:tabs>
        <w:rPr>
          <w:rFonts w:eastAsiaTheme="minorEastAsia" w:cstheme="minorBidi"/>
          <w:b w:val="0"/>
          <w:bCs w:val="0"/>
          <w:noProof/>
          <w:sz w:val="22"/>
          <w:szCs w:val="22"/>
          <w:lang w:val="de-DE" w:eastAsia="de-DE"/>
        </w:rPr>
      </w:pPr>
      <w:hyperlink w:anchor="_Toc435621261" w:history="1">
        <w:r w:rsidRPr="00B44FCE">
          <w:rPr>
            <w:rStyle w:val="Hyperlink"/>
            <w:noProof/>
          </w:rPr>
          <w:t xml:space="preserve">7.9 Pip- and SA-dependency of </w:t>
        </w:r>
        <w:r w:rsidRPr="00B44FCE">
          <w:rPr>
            <w:rStyle w:val="Hyperlink"/>
            <w:i/>
            <w:noProof/>
          </w:rPr>
          <w:t>Psm</w:t>
        </w:r>
        <w:r w:rsidRPr="00B44FCE">
          <w:rPr>
            <w:rStyle w:val="Hyperlink"/>
            <w:noProof/>
          </w:rPr>
          <w:t xml:space="preserve">-induced SAR against </w:t>
        </w:r>
        <w:r w:rsidRPr="00B44FCE">
          <w:rPr>
            <w:rStyle w:val="Hyperlink"/>
            <w:i/>
            <w:noProof/>
          </w:rPr>
          <w:t>Hpa</w:t>
        </w:r>
        <w:r w:rsidRPr="00B44FCE">
          <w:rPr>
            <w:rStyle w:val="Hyperlink"/>
            <w:noProof/>
          </w:rPr>
          <w:t xml:space="preserve"> Noco2</w:t>
        </w:r>
        <w:r>
          <w:rPr>
            <w:noProof/>
            <w:webHidden/>
          </w:rPr>
          <w:tab/>
        </w:r>
        <w:r>
          <w:rPr>
            <w:noProof/>
            <w:webHidden/>
          </w:rPr>
          <w:fldChar w:fldCharType="begin"/>
        </w:r>
        <w:r>
          <w:rPr>
            <w:noProof/>
            <w:webHidden/>
          </w:rPr>
          <w:instrText xml:space="preserve"> PAGEREF _Toc435621261 \h </w:instrText>
        </w:r>
        <w:r>
          <w:rPr>
            <w:noProof/>
            <w:webHidden/>
          </w:rPr>
        </w:r>
        <w:r>
          <w:rPr>
            <w:noProof/>
            <w:webHidden/>
          </w:rPr>
          <w:fldChar w:fldCharType="separate"/>
        </w:r>
        <w:r>
          <w:rPr>
            <w:noProof/>
            <w:webHidden/>
          </w:rPr>
          <w:t>123</w:t>
        </w:r>
        <w:r>
          <w:rPr>
            <w:noProof/>
            <w:webHidden/>
          </w:rPr>
          <w:fldChar w:fldCharType="end"/>
        </w:r>
      </w:hyperlink>
    </w:p>
    <w:p w:rsidR="000471F8" w:rsidRDefault="000471F8">
      <w:pPr>
        <w:pStyle w:val="Verzeichnis2"/>
        <w:tabs>
          <w:tab w:val="right" w:leader="dot" w:pos="9062"/>
        </w:tabs>
        <w:rPr>
          <w:rFonts w:eastAsiaTheme="minorEastAsia" w:cstheme="minorBidi"/>
          <w:b w:val="0"/>
          <w:bCs w:val="0"/>
          <w:noProof/>
          <w:sz w:val="22"/>
          <w:szCs w:val="22"/>
          <w:lang w:val="de-DE" w:eastAsia="de-DE"/>
        </w:rPr>
      </w:pPr>
      <w:hyperlink w:anchor="_Toc435621262" w:history="1">
        <w:r w:rsidRPr="00B44FCE">
          <w:rPr>
            <w:rStyle w:val="Hyperlink"/>
            <w:noProof/>
          </w:rPr>
          <w:t xml:space="preserve">7.10 Comparative metabolite profiling of </w:t>
        </w:r>
        <w:r w:rsidRPr="00B44FCE">
          <w:rPr>
            <w:rStyle w:val="Hyperlink"/>
            <w:i/>
            <w:noProof/>
          </w:rPr>
          <w:t>Arabidopsis</w:t>
        </w:r>
        <w:r w:rsidRPr="00B44FCE">
          <w:rPr>
            <w:rStyle w:val="Hyperlink"/>
            <w:noProof/>
          </w:rPr>
          <w:t xml:space="preserve"> plants infected with the powdery mildew </w:t>
        </w:r>
        <w:r w:rsidRPr="00B44FCE">
          <w:rPr>
            <w:rStyle w:val="Hyperlink"/>
            <w:i/>
            <w:noProof/>
          </w:rPr>
          <w:t>G. orontii</w:t>
        </w:r>
        <w:r w:rsidRPr="00B44FCE">
          <w:rPr>
            <w:rStyle w:val="Hyperlink"/>
            <w:noProof/>
          </w:rPr>
          <w:t xml:space="preserve"> focussing on Pip- and camalexin-accumulation in the early stages of infection</w:t>
        </w:r>
        <w:r>
          <w:rPr>
            <w:noProof/>
            <w:webHidden/>
          </w:rPr>
          <w:tab/>
        </w:r>
        <w:r>
          <w:rPr>
            <w:noProof/>
            <w:webHidden/>
          </w:rPr>
          <w:fldChar w:fldCharType="begin"/>
        </w:r>
        <w:r>
          <w:rPr>
            <w:noProof/>
            <w:webHidden/>
          </w:rPr>
          <w:instrText xml:space="preserve"> PAGEREF _Toc435621262 \h </w:instrText>
        </w:r>
        <w:r>
          <w:rPr>
            <w:noProof/>
            <w:webHidden/>
          </w:rPr>
        </w:r>
        <w:r>
          <w:rPr>
            <w:noProof/>
            <w:webHidden/>
          </w:rPr>
          <w:fldChar w:fldCharType="separate"/>
        </w:r>
        <w:r>
          <w:rPr>
            <w:noProof/>
            <w:webHidden/>
          </w:rPr>
          <w:t>124</w:t>
        </w:r>
        <w:r>
          <w:rPr>
            <w:noProof/>
            <w:webHidden/>
          </w:rPr>
          <w:fldChar w:fldCharType="end"/>
        </w:r>
      </w:hyperlink>
    </w:p>
    <w:p w:rsidR="000471F8" w:rsidRDefault="000471F8">
      <w:pPr>
        <w:pStyle w:val="Verzeichnis2"/>
        <w:tabs>
          <w:tab w:val="right" w:leader="dot" w:pos="9062"/>
        </w:tabs>
        <w:rPr>
          <w:rFonts w:eastAsiaTheme="minorEastAsia" w:cstheme="minorBidi"/>
          <w:b w:val="0"/>
          <w:bCs w:val="0"/>
          <w:noProof/>
          <w:sz w:val="22"/>
          <w:szCs w:val="22"/>
          <w:lang w:val="de-DE" w:eastAsia="de-DE"/>
        </w:rPr>
      </w:pPr>
      <w:hyperlink w:anchor="_Toc435621263" w:history="1">
        <w:r w:rsidRPr="00B44FCE">
          <w:rPr>
            <w:rStyle w:val="Hyperlink"/>
            <w:noProof/>
          </w:rPr>
          <w:t xml:space="preserve">7.11 Lack of Pip-induced resistance against the powdery mildew </w:t>
        </w:r>
        <w:r w:rsidRPr="00B44FCE">
          <w:rPr>
            <w:rStyle w:val="Hyperlink"/>
            <w:i/>
            <w:noProof/>
          </w:rPr>
          <w:t>G. orontii</w:t>
        </w:r>
        <w:r>
          <w:rPr>
            <w:noProof/>
            <w:webHidden/>
          </w:rPr>
          <w:tab/>
        </w:r>
        <w:r>
          <w:rPr>
            <w:noProof/>
            <w:webHidden/>
          </w:rPr>
          <w:fldChar w:fldCharType="begin"/>
        </w:r>
        <w:r>
          <w:rPr>
            <w:noProof/>
            <w:webHidden/>
          </w:rPr>
          <w:instrText xml:space="preserve"> PAGEREF _Toc435621263 \h </w:instrText>
        </w:r>
        <w:r>
          <w:rPr>
            <w:noProof/>
            <w:webHidden/>
          </w:rPr>
        </w:r>
        <w:r>
          <w:rPr>
            <w:noProof/>
            <w:webHidden/>
          </w:rPr>
          <w:fldChar w:fldCharType="separate"/>
        </w:r>
        <w:r>
          <w:rPr>
            <w:noProof/>
            <w:webHidden/>
          </w:rPr>
          <w:t>125</w:t>
        </w:r>
        <w:r>
          <w:rPr>
            <w:noProof/>
            <w:webHidden/>
          </w:rPr>
          <w:fldChar w:fldCharType="end"/>
        </w:r>
      </w:hyperlink>
    </w:p>
    <w:p w:rsidR="000471F8" w:rsidRDefault="000471F8">
      <w:pPr>
        <w:pStyle w:val="Verzeichnis2"/>
        <w:tabs>
          <w:tab w:val="right" w:leader="dot" w:pos="9062"/>
        </w:tabs>
        <w:rPr>
          <w:rFonts w:eastAsiaTheme="minorEastAsia" w:cstheme="minorBidi"/>
          <w:b w:val="0"/>
          <w:bCs w:val="0"/>
          <w:noProof/>
          <w:sz w:val="22"/>
          <w:szCs w:val="22"/>
          <w:lang w:val="de-DE" w:eastAsia="de-DE"/>
        </w:rPr>
      </w:pPr>
      <w:hyperlink w:anchor="_Toc435621264" w:history="1">
        <w:r w:rsidRPr="00B44FCE">
          <w:rPr>
            <w:rStyle w:val="Hyperlink"/>
            <w:noProof/>
          </w:rPr>
          <w:t xml:space="preserve">7.12 The metabolic profile of </w:t>
        </w:r>
        <w:r w:rsidRPr="00B44FCE">
          <w:rPr>
            <w:rStyle w:val="Hyperlink"/>
            <w:i/>
            <w:noProof/>
          </w:rPr>
          <w:t>A. thaliana</w:t>
        </w:r>
        <w:r w:rsidRPr="00B44FCE">
          <w:rPr>
            <w:rStyle w:val="Hyperlink"/>
            <w:noProof/>
          </w:rPr>
          <w:t xml:space="preserve"> depending on the lifestyle of the invading pathogen</w:t>
        </w:r>
        <w:r>
          <w:rPr>
            <w:noProof/>
            <w:webHidden/>
          </w:rPr>
          <w:tab/>
        </w:r>
        <w:r>
          <w:rPr>
            <w:noProof/>
            <w:webHidden/>
          </w:rPr>
          <w:fldChar w:fldCharType="begin"/>
        </w:r>
        <w:r>
          <w:rPr>
            <w:noProof/>
            <w:webHidden/>
          </w:rPr>
          <w:instrText xml:space="preserve"> PAGEREF _Toc435621264 \h </w:instrText>
        </w:r>
        <w:r>
          <w:rPr>
            <w:noProof/>
            <w:webHidden/>
          </w:rPr>
        </w:r>
        <w:r>
          <w:rPr>
            <w:noProof/>
            <w:webHidden/>
          </w:rPr>
          <w:fldChar w:fldCharType="separate"/>
        </w:r>
        <w:r>
          <w:rPr>
            <w:noProof/>
            <w:webHidden/>
          </w:rPr>
          <w:t>126</w:t>
        </w:r>
        <w:r>
          <w:rPr>
            <w:noProof/>
            <w:webHidden/>
          </w:rPr>
          <w:fldChar w:fldCharType="end"/>
        </w:r>
      </w:hyperlink>
    </w:p>
    <w:p w:rsidR="000471F8" w:rsidRDefault="000471F8">
      <w:pPr>
        <w:pStyle w:val="Verzeichnis1"/>
        <w:tabs>
          <w:tab w:val="right" w:leader="dot" w:pos="9062"/>
        </w:tabs>
        <w:rPr>
          <w:rFonts w:asciiTheme="minorHAnsi" w:eastAsiaTheme="minorEastAsia" w:hAnsiTheme="minorHAnsi" w:cstheme="minorBidi"/>
          <w:b w:val="0"/>
          <w:bCs w:val="0"/>
          <w:caps w:val="0"/>
          <w:noProof/>
          <w:sz w:val="22"/>
          <w:szCs w:val="22"/>
          <w:lang w:val="de-DE" w:eastAsia="de-DE"/>
        </w:rPr>
      </w:pPr>
      <w:hyperlink w:anchor="_Toc435621265" w:history="1">
        <w:r w:rsidRPr="00B44FCE">
          <w:rPr>
            <w:rStyle w:val="Hyperlink"/>
            <w:noProof/>
          </w:rPr>
          <w:t>8 Conclusions and outlook</w:t>
        </w:r>
        <w:r>
          <w:rPr>
            <w:noProof/>
            <w:webHidden/>
          </w:rPr>
          <w:tab/>
        </w:r>
        <w:r>
          <w:rPr>
            <w:noProof/>
            <w:webHidden/>
          </w:rPr>
          <w:fldChar w:fldCharType="begin"/>
        </w:r>
        <w:r>
          <w:rPr>
            <w:noProof/>
            <w:webHidden/>
          </w:rPr>
          <w:instrText xml:space="preserve"> PAGEREF _Toc435621265 \h </w:instrText>
        </w:r>
        <w:r>
          <w:rPr>
            <w:noProof/>
            <w:webHidden/>
          </w:rPr>
        </w:r>
        <w:r>
          <w:rPr>
            <w:noProof/>
            <w:webHidden/>
          </w:rPr>
          <w:fldChar w:fldCharType="separate"/>
        </w:r>
        <w:r>
          <w:rPr>
            <w:noProof/>
            <w:webHidden/>
          </w:rPr>
          <w:t>127</w:t>
        </w:r>
        <w:r>
          <w:rPr>
            <w:noProof/>
            <w:webHidden/>
          </w:rPr>
          <w:fldChar w:fldCharType="end"/>
        </w:r>
      </w:hyperlink>
    </w:p>
    <w:p w:rsidR="000471F8" w:rsidRDefault="000471F8">
      <w:pPr>
        <w:pStyle w:val="Verzeichnis1"/>
        <w:tabs>
          <w:tab w:val="right" w:leader="dot" w:pos="9062"/>
        </w:tabs>
        <w:rPr>
          <w:rFonts w:asciiTheme="minorHAnsi" w:eastAsiaTheme="minorEastAsia" w:hAnsiTheme="minorHAnsi" w:cstheme="minorBidi"/>
          <w:b w:val="0"/>
          <w:bCs w:val="0"/>
          <w:caps w:val="0"/>
          <w:noProof/>
          <w:sz w:val="22"/>
          <w:szCs w:val="22"/>
          <w:lang w:val="de-DE" w:eastAsia="de-DE"/>
        </w:rPr>
      </w:pPr>
      <w:hyperlink w:anchor="_Toc435621266" w:history="1">
        <w:r w:rsidRPr="00B44FCE">
          <w:rPr>
            <w:rStyle w:val="Hyperlink"/>
            <w:noProof/>
          </w:rPr>
          <w:t>9 Literature cited</w:t>
        </w:r>
        <w:r>
          <w:rPr>
            <w:noProof/>
            <w:webHidden/>
          </w:rPr>
          <w:tab/>
        </w:r>
        <w:r>
          <w:rPr>
            <w:noProof/>
            <w:webHidden/>
          </w:rPr>
          <w:fldChar w:fldCharType="begin"/>
        </w:r>
        <w:r>
          <w:rPr>
            <w:noProof/>
            <w:webHidden/>
          </w:rPr>
          <w:instrText xml:space="preserve"> PAGEREF _Toc435621266 \h </w:instrText>
        </w:r>
        <w:r>
          <w:rPr>
            <w:noProof/>
            <w:webHidden/>
          </w:rPr>
        </w:r>
        <w:r>
          <w:rPr>
            <w:noProof/>
            <w:webHidden/>
          </w:rPr>
          <w:fldChar w:fldCharType="separate"/>
        </w:r>
        <w:r>
          <w:rPr>
            <w:noProof/>
            <w:webHidden/>
          </w:rPr>
          <w:t>128</w:t>
        </w:r>
        <w:r>
          <w:rPr>
            <w:noProof/>
            <w:webHidden/>
          </w:rPr>
          <w:fldChar w:fldCharType="end"/>
        </w:r>
      </w:hyperlink>
    </w:p>
    <w:p w:rsidR="000471F8" w:rsidRDefault="000471F8">
      <w:pPr>
        <w:pStyle w:val="Verzeichnis1"/>
        <w:tabs>
          <w:tab w:val="right" w:leader="dot" w:pos="9062"/>
        </w:tabs>
        <w:rPr>
          <w:rFonts w:asciiTheme="minorHAnsi" w:eastAsiaTheme="minorEastAsia" w:hAnsiTheme="minorHAnsi" w:cstheme="minorBidi"/>
          <w:b w:val="0"/>
          <w:bCs w:val="0"/>
          <w:caps w:val="0"/>
          <w:noProof/>
          <w:sz w:val="22"/>
          <w:szCs w:val="22"/>
          <w:lang w:val="de-DE" w:eastAsia="de-DE"/>
        </w:rPr>
      </w:pPr>
      <w:hyperlink w:anchor="_Toc435621267" w:history="1">
        <w:r w:rsidRPr="00B44FCE">
          <w:rPr>
            <w:rStyle w:val="Hyperlink"/>
            <w:noProof/>
          </w:rPr>
          <w:t>10 Appendix</w:t>
        </w:r>
        <w:r>
          <w:rPr>
            <w:noProof/>
            <w:webHidden/>
          </w:rPr>
          <w:tab/>
        </w:r>
        <w:r>
          <w:rPr>
            <w:noProof/>
            <w:webHidden/>
          </w:rPr>
          <w:fldChar w:fldCharType="begin"/>
        </w:r>
        <w:r>
          <w:rPr>
            <w:noProof/>
            <w:webHidden/>
          </w:rPr>
          <w:instrText xml:space="preserve"> PAGEREF _Toc435621267 \h </w:instrText>
        </w:r>
        <w:r>
          <w:rPr>
            <w:noProof/>
            <w:webHidden/>
          </w:rPr>
        </w:r>
        <w:r>
          <w:rPr>
            <w:noProof/>
            <w:webHidden/>
          </w:rPr>
          <w:fldChar w:fldCharType="separate"/>
        </w:r>
        <w:r>
          <w:rPr>
            <w:noProof/>
            <w:webHidden/>
          </w:rPr>
          <w:t>142</w:t>
        </w:r>
        <w:r>
          <w:rPr>
            <w:noProof/>
            <w:webHidden/>
          </w:rPr>
          <w:fldChar w:fldCharType="end"/>
        </w:r>
      </w:hyperlink>
    </w:p>
    <w:p w:rsidR="000471F8" w:rsidRDefault="000471F8">
      <w:pPr>
        <w:pStyle w:val="Verzeichnis1"/>
        <w:tabs>
          <w:tab w:val="right" w:leader="dot" w:pos="9062"/>
        </w:tabs>
        <w:rPr>
          <w:rFonts w:asciiTheme="minorHAnsi" w:eastAsiaTheme="minorEastAsia" w:hAnsiTheme="minorHAnsi" w:cstheme="minorBidi"/>
          <w:b w:val="0"/>
          <w:bCs w:val="0"/>
          <w:caps w:val="0"/>
          <w:noProof/>
          <w:sz w:val="22"/>
          <w:szCs w:val="22"/>
          <w:lang w:val="de-DE" w:eastAsia="de-DE"/>
        </w:rPr>
      </w:pPr>
      <w:hyperlink w:anchor="_Toc435621268" w:history="1">
        <w:r w:rsidRPr="00B44FCE">
          <w:rPr>
            <w:rStyle w:val="Hyperlink"/>
            <w:noProof/>
            <w:lang w:val="de-DE"/>
          </w:rPr>
          <w:t>11 Acknowledgements</w:t>
        </w:r>
        <w:r>
          <w:rPr>
            <w:noProof/>
            <w:webHidden/>
          </w:rPr>
          <w:tab/>
        </w:r>
        <w:r>
          <w:rPr>
            <w:noProof/>
            <w:webHidden/>
          </w:rPr>
          <w:fldChar w:fldCharType="begin"/>
        </w:r>
        <w:r>
          <w:rPr>
            <w:noProof/>
            <w:webHidden/>
          </w:rPr>
          <w:instrText xml:space="preserve"> PAGEREF _Toc435621268 \h </w:instrText>
        </w:r>
        <w:r>
          <w:rPr>
            <w:noProof/>
            <w:webHidden/>
          </w:rPr>
        </w:r>
        <w:r>
          <w:rPr>
            <w:noProof/>
            <w:webHidden/>
          </w:rPr>
          <w:fldChar w:fldCharType="separate"/>
        </w:r>
        <w:r>
          <w:rPr>
            <w:noProof/>
            <w:webHidden/>
          </w:rPr>
          <w:t>168</w:t>
        </w:r>
        <w:r>
          <w:rPr>
            <w:noProof/>
            <w:webHidden/>
          </w:rPr>
          <w:fldChar w:fldCharType="end"/>
        </w:r>
      </w:hyperlink>
    </w:p>
    <w:p w:rsidR="000471F8" w:rsidRDefault="000471F8">
      <w:pPr>
        <w:pStyle w:val="Verzeichnis1"/>
        <w:tabs>
          <w:tab w:val="right" w:leader="dot" w:pos="9062"/>
        </w:tabs>
        <w:rPr>
          <w:rFonts w:asciiTheme="minorHAnsi" w:eastAsiaTheme="minorEastAsia" w:hAnsiTheme="minorHAnsi" w:cstheme="minorBidi"/>
          <w:b w:val="0"/>
          <w:bCs w:val="0"/>
          <w:caps w:val="0"/>
          <w:noProof/>
          <w:sz w:val="22"/>
          <w:szCs w:val="22"/>
          <w:lang w:val="de-DE" w:eastAsia="de-DE"/>
        </w:rPr>
      </w:pPr>
      <w:hyperlink w:anchor="_Toc435621269" w:history="1">
        <w:r w:rsidRPr="00B44FCE">
          <w:rPr>
            <w:rStyle w:val="Hyperlink"/>
            <w:noProof/>
          </w:rPr>
          <w:t xml:space="preserve">12 </w:t>
        </w:r>
        <w:r w:rsidRPr="00B44FCE">
          <w:rPr>
            <w:rStyle w:val="Hyperlink"/>
            <w:i/>
            <w:noProof/>
          </w:rPr>
          <w:t>Curriculum vitae</w:t>
        </w:r>
        <w:r>
          <w:rPr>
            <w:noProof/>
            <w:webHidden/>
          </w:rPr>
          <w:tab/>
        </w:r>
        <w:r>
          <w:rPr>
            <w:noProof/>
            <w:webHidden/>
          </w:rPr>
          <w:fldChar w:fldCharType="begin"/>
        </w:r>
        <w:r>
          <w:rPr>
            <w:noProof/>
            <w:webHidden/>
          </w:rPr>
          <w:instrText xml:space="preserve"> PAGEREF _Toc435621269 \h </w:instrText>
        </w:r>
        <w:r>
          <w:rPr>
            <w:noProof/>
            <w:webHidden/>
          </w:rPr>
        </w:r>
        <w:r>
          <w:rPr>
            <w:noProof/>
            <w:webHidden/>
          </w:rPr>
          <w:fldChar w:fldCharType="separate"/>
        </w:r>
        <w:r>
          <w:rPr>
            <w:noProof/>
            <w:webHidden/>
          </w:rPr>
          <w:t>169</w:t>
        </w:r>
        <w:r>
          <w:rPr>
            <w:noProof/>
            <w:webHidden/>
          </w:rPr>
          <w:fldChar w:fldCharType="end"/>
        </w:r>
      </w:hyperlink>
    </w:p>
    <w:p w:rsidR="000471F8" w:rsidRDefault="000471F8">
      <w:pPr>
        <w:pStyle w:val="Verzeichnis1"/>
        <w:tabs>
          <w:tab w:val="right" w:leader="dot" w:pos="9062"/>
        </w:tabs>
        <w:rPr>
          <w:rFonts w:asciiTheme="minorHAnsi" w:eastAsiaTheme="minorEastAsia" w:hAnsiTheme="minorHAnsi" w:cstheme="minorBidi"/>
          <w:b w:val="0"/>
          <w:bCs w:val="0"/>
          <w:caps w:val="0"/>
          <w:noProof/>
          <w:sz w:val="22"/>
          <w:szCs w:val="22"/>
          <w:lang w:val="de-DE" w:eastAsia="de-DE"/>
        </w:rPr>
      </w:pPr>
      <w:hyperlink w:anchor="_Toc435621270" w:history="1">
        <w:r w:rsidRPr="00B44FCE">
          <w:rPr>
            <w:rStyle w:val="Hyperlink"/>
            <w:noProof/>
            <w:lang w:val="de-DE"/>
          </w:rPr>
          <w:t>13 Erklärung</w:t>
        </w:r>
        <w:r>
          <w:rPr>
            <w:noProof/>
            <w:webHidden/>
          </w:rPr>
          <w:tab/>
        </w:r>
        <w:r>
          <w:rPr>
            <w:noProof/>
            <w:webHidden/>
          </w:rPr>
          <w:fldChar w:fldCharType="begin"/>
        </w:r>
        <w:r>
          <w:rPr>
            <w:noProof/>
            <w:webHidden/>
          </w:rPr>
          <w:instrText xml:space="preserve"> PAGEREF _Toc435621270 \h </w:instrText>
        </w:r>
        <w:r>
          <w:rPr>
            <w:noProof/>
            <w:webHidden/>
          </w:rPr>
        </w:r>
        <w:r>
          <w:rPr>
            <w:noProof/>
            <w:webHidden/>
          </w:rPr>
          <w:fldChar w:fldCharType="separate"/>
        </w:r>
        <w:r>
          <w:rPr>
            <w:noProof/>
            <w:webHidden/>
          </w:rPr>
          <w:t>171</w:t>
        </w:r>
        <w:r>
          <w:rPr>
            <w:noProof/>
            <w:webHidden/>
          </w:rPr>
          <w:fldChar w:fldCharType="end"/>
        </w:r>
      </w:hyperlink>
    </w:p>
    <w:p w:rsidR="00C37652" w:rsidRPr="006C2439" w:rsidRDefault="00F051AC" w:rsidP="006C2439">
      <w:pPr>
        <w:pStyle w:val="berschrift1"/>
        <w:spacing w:after="240"/>
        <w:rPr>
          <w:rFonts w:eastAsiaTheme="minorHAnsi"/>
          <w:color w:val="auto"/>
          <w:lang w:val="de-DE" w:eastAsia="zh-CN"/>
        </w:rPr>
      </w:pPr>
      <w:r>
        <w:rPr>
          <w:lang w:val="de-DE" w:eastAsia="zh-CN"/>
        </w:rPr>
        <w:lastRenderedPageBreak/>
        <w:fldChar w:fldCharType="end"/>
      </w:r>
      <w:bookmarkStart w:id="1" w:name="_Toc435621196"/>
      <w:r w:rsidRPr="006C2439">
        <w:rPr>
          <w:rFonts w:eastAsia="Times New Roman"/>
          <w:color w:val="auto"/>
          <w:lang w:val="de-DE" w:eastAsia="zh-CN"/>
        </w:rPr>
        <w:t>List of figures</w:t>
      </w:r>
      <w:bookmarkEnd w:id="1"/>
    </w:p>
    <w:p w:rsidR="00BA600C" w:rsidRDefault="00006348">
      <w:pPr>
        <w:pStyle w:val="Abbildungsverzeichnis"/>
        <w:tabs>
          <w:tab w:val="right" w:leader="dot" w:pos="9062"/>
        </w:tabs>
        <w:rPr>
          <w:rFonts w:eastAsiaTheme="minorEastAsia"/>
          <w:noProof/>
          <w:lang w:val="de-DE" w:eastAsia="de-DE"/>
        </w:rPr>
      </w:pPr>
      <w:r>
        <w:rPr>
          <w:b/>
          <w:lang w:val="de-DE"/>
        </w:rPr>
        <w:fldChar w:fldCharType="begin"/>
      </w:r>
      <w:r>
        <w:rPr>
          <w:b/>
          <w:lang w:val="de-DE"/>
        </w:rPr>
        <w:instrText xml:space="preserve"> TOC \h \z \c "Figure" </w:instrText>
      </w:r>
      <w:r>
        <w:rPr>
          <w:b/>
          <w:lang w:val="de-DE"/>
        </w:rPr>
        <w:fldChar w:fldCharType="separate"/>
      </w:r>
      <w:hyperlink w:anchor="_Toc435621119" w:history="1">
        <w:r w:rsidR="00BA600C" w:rsidRPr="004C05A1">
          <w:rPr>
            <w:rStyle w:val="Hyperlink"/>
            <w:noProof/>
          </w:rPr>
          <w:t xml:space="preserve">Figure 1. </w:t>
        </w:r>
        <w:r w:rsidR="00BA600C" w:rsidRPr="004C05A1">
          <w:rPr>
            <w:rStyle w:val="Hyperlink"/>
            <w:noProof/>
            <w:lang w:val="en-US"/>
          </w:rPr>
          <w:t>Schematic overview of challenges a pathogen has to overcome to cause plant infection.</w:t>
        </w:r>
        <w:r w:rsidR="00BA600C">
          <w:rPr>
            <w:noProof/>
            <w:webHidden/>
          </w:rPr>
          <w:tab/>
        </w:r>
        <w:r w:rsidR="00BA600C">
          <w:rPr>
            <w:noProof/>
            <w:webHidden/>
          </w:rPr>
          <w:fldChar w:fldCharType="begin"/>
        </w:r>
        <w:r w:rsidR="00BA600C">
          <w:rPr>
            <w:noProof/>
            <w:webHidden/>
          </w:rPr>
          <w:instrText xml:space="preserve"> PAGEREF _Toc435621119 \h </w:instrText>
        </w:r>
        <w:r w:rsidR="00BA600C">
          <w:rPr>
            <w:noProof/>
            <w:webHidden/>
          </w:rPr>
        </w:r>
        <w:r w:rsidR="00BA600C">
          <w:rPr>
            <w:noProof/>
            <w:webHidden/>
          </w:rPr>
          <w:fldChar w:fldCharType="separate"/>
        </w:r>
        <w:r w:rsidR="00BA600C">
          <w:rPr>
            <w:noProof/>
            <w:webHidden/>
          </w:rPr>
          <w:t>16</w:t>
        </w:r>
        <w:r w:rsidR="00BA600C">
          <w:rPr>
            <w:noProof/>
            <w:webHidden/>
          </w:rPr>
          <w:fldChar w:fldCharType="end"/>
        </w:r>
      </w:hyperlink>
    </w:p>
    <w:p w:rsidR="00BA600C" w:rsidRDefault="00BA600C">
      <w:pPr>
        <w:pStyle w:val="Abbildungsverzeichnis"/>
        <w:tabs>
          <w:tab w:val="right" w:leader="dot" w:pos="9062"/>
        </w:tabs>
        <w:rPr>
          <w:rFonts w:eastAsiaTheme="minorEastAsia"/>
          <w:noProof/>
          <w:lang w:val="de-DE" w:eastAsia="de-DE"/>
        </w:rPr>
      </w:pPr>
      <w:hyperlink w:anchor="_Toc435621120" w:history="1">
        <w:r w:rsidRPr="004C05A1">
          <w:rPr>
            <w:rStyle w:val="Hyperlink"/>
            <w:noProof/>
          </w:rPr>
          <w:t xml:space="preserve">Figure 2. </w:t>
        </w:r>
        <w:r w:rsidRPr="004C05A1">
          <w:rPr>
            <w:rStyle w:val="Hyperlink"/>
            <w:noProof/>
            <w:lang w:val="en-US"/>
          </w:rPr>
          <w:t>Zig-zag model of plant defence responses.</w:t>
        </w:r>
        <w:r>
          <w:rPr>
            <w:noProof/>
            <w:webHidden/>
          </w:rPr>
          <w:tab/>
        </w:r>
        <w:r>
          <w:rPr>
            <w:noProof/>
            <w:webHidden/>
          </w:rPr>
          <w:fldChar w:fldCharType="begin"/>
        </w:r>
        <w:r>
          <w:rPr>
            <w:noProof/>
            <w:webHidden/>
          </w:rPr>
          <w:instrText xml:space="preserve"> PAGEREF _Toc435621120 \h </w:instrText>
        </w:r>
        <w:r>
          <w:rPr>
            <w:noProof/>
            <w:webHidden/>
          </w:rPr>
        </w:r>
        <w:r>
          <w:rPr>
            <w:noProof/>
            <w:webHidden/>
          </w:rPr>
          <w:fldChar w:fldCharType="separate"/>
        </w:r>
        <w:r>
          <w:rPr>
            <w:noProof/>
            <w:webHidden/>
          </w:rPr>
          <w:t>17</w:t>
        </w:r>
        <w:r>
          <w:rPr>
            <w:noProof/>
            <w:webHidden/>
          </w:rPr>
          <w:fldChar w:fldCharType="end"/>
        </w:r>
      </w:hyperlink>
    </w:p>
    <w:p w:rsidR="00BA600C" w:rsidRDefault="00BA600C">
      <w:pPr>
        <w:pStyle w:val="Abbildungsverzeichnis"/>
        <w:tabs>
          <w:tab w:val="right" w:leader="dot" w:pos="9062"/>
        </w:tabs>
        <w:rPr>
          <w:rFonts w:eastAsiaTheme="minorEastAsia"/>
          <w:noProof/>
          <w:lang w:val="de-DE" w:eastAsia="de-DE"/>
        </w:rPr>
      </w:pPr>
      <w:hyperlink w:anchor="_Toc435621121" w:history="1">
        <w:r w:rsidRPr="004C05A1">
          <w:rPr>
            <w:rStyle w:val="Hyperlink"/>
            <w:noProof/>
          </w:rPr>
          <w:t xml:space="preserve">Figure 3. </w:t>
        </w:r>
        <w:r w:rsidRPr="004C05A1">
          <w:rPr>
            <w:rStyle w:val="Hyperlink"/>
            <w:noProof/>
            <w:lang w:val="en-US"/>
          </w:rPr>
          <w:t>Microbial pattern recognition by plants.</w:t>
        </w:r>
        <w:r>
          <w:rPr>
            <w:noProof/>
            <w:webHidden/>
          </w:rPr>
          <w:tab/>
        </w:r>
        <w:r>
          <w:rPr>
            <w:noProof/>
            <w:webHidden/>
          </w:rPr>
          <w:fldChar w:fldCharType="begin"/>
        </w:r>
        <w:r>
          <w:rPr>
            <w:noProof/>
            <w:webHidden/>
          </w:rPr>
          <w:instrText xml:space="preserve"> PAGEREF _Toc435621121 \h </w:instrText>
        </w:r>
        <w:r>
          <w:rPr>
            <w:noProof/>
            <w:webHidden/>
          </w:rPr>
        </w:r>
        <w:r>
          <w:rPr>
            <w:noProof/>
            <w:webHidden/>
          </w:rPr>
          <w:fldChar w:fldCharType="separate"/>
        </w:r>
        <w:r>
          <w:rPr>
            <w:noProof/>
            <w:webHidden/>
          </w:rPr>
          <w:t>18</w:t>
        </w:r>
        <w:r>
          <w:rPr>
            <w:noProof/>
            <w:webHidden/>
          </w:rPr>
          <w:fldChar w:fldCharType="end"/>
        </w:r>
      </w:hyperlink>
    </w:p>
    <w:p w:rsidR="00BA600C" w:rsidRDefault="00BA600C">
      <w:pPr>
        <w:pStyle w:val="Abbildungsverzeichnis"/>
        <w:tabs>
          <w:tab w:val="right" w:leader="dot" w:pos="9062"/>
        </w:tabs>
        <w:rPr>
          <w:rFonts w:eastAsiaTheme="minorEastAsia"/>
          <w:noProof/>
          <w:lang w:val="de-DE" w:eastAsia="de-DE"/>
        </w:rPr>
      </w:pPr>
      <w:hyperlink w:anchor="_Toc435621122" w:history="1">
        <w:r w:rsidRPr="004C05A1">
          <w:rPr>
            <w:rStyle w:val="Hyperlink"/>
            <w:noProof/>
          </w:rPr>
          <w:t xml:space="preserve">Figure 4. </w:t>
        </w:r>
        <w:r w:rsidRPr="004C05A1">
          <w:rPr>
            <w:rStyle w:val="Hyperlink"/>
            <w:noProof/>
            <w:lang w:val="en-US"/>
          </w:rPr>
          <w:t>Schematic depiction of the guard model hypothesis.</w:t>
        </w:r>
        <w:r>
          <w:rPr>
            <w:noProof/>
            <w:webHidden/>
          </w:rPr>
          <w:tab/>
        </w:r>
        <w:r>
          <w:rPr>
            <w:noProof/>
            <w:webHidden/>
          </w:rPr>
          <w:fldChar w:fldCharType="begin"/>
        </w:r>
        <w:r>
          <w:rPr>
            <w:noProof/>
            <w:webHidden/>
          </w:rPr>
          <w:instrText xml:space="preserve"> PAGEREF _Toc435621122 \h </w:instrText>
        </w:r>
        <w:r>
          <w:rPr>
            <w:noProof/>
            <w:webHidden/>
          </w:rPr>
        </w:r>
        <w:r>
          <w:rPr>
            <w:noProof/>
            <w:webHidden/>
          </w:rPr>
          <w:fldChar w:fldCharType="separate"/>
        </w:r>
        <w:r>
          <w:rPr>
            <w:noProof/>
            <w:webHidden/>
          </w:rPr>
          <w:t>19</w:t>
        </w:r>
        <w:r>
          <w:rPr>
            <w:noProof/>
            <w:webHidden/>
          </w:rPr>
          <w:fldChar w:fldCharType="end"/>
        </w:r>
      </w:hyperlink>
    </w:p>
    <w:p w:rsidR="00BA600C" w:rsidRDefault="00BA600C">
      <w:pPr>
        <w:pStyle w:val="Abbildungsverzeichnis"/>
        <w:tabs>
          <w:tab w:val="right" w:leader="dot" w:pos="9062"/>
        </w:tabs>
        <w:rPr>
          <w:rFonts w:eastAsiaTheme="minorEastAsia"/>
          <w:noProof/>
          <w:lang w:val="de-DE" w:eastAsia="de-DE"/>
        </w:rPr>
      </w:pPr>
      <w:hyperlink w:anchor="_Toc435621123" w:history="1">
        <w:r w:rsidRPr="004C05A1">
          <w:rPr>
            <w:rStyle w:val="Hyperlink"/>
            <w:noProof/>
          </w:rPr>
          <w:t xml:space="preserve">Figure 5. </w:t>
        </w:r>
        <w:r w:rsidRPr="004C05A1">
          <w:rPr>
            <w:rStyle w:val="Hyperlink"/>
            <w:noProof/>
            <w:lang w:val="en-US"/>
          </w:rPr>
          <w:t>Reciprocal antagonism in SA- and JA-signalling.</w:t>
        </w:r>
        <w:r>
          <w:rPr>
            <w:noProof/>
            <w:webHidden/>
          </w:rPr>
          <w:tab/>
        </w:r>
        <w:r>
          <w:rPr>
            <w:noProof/>
            <w:webHidden/>
          </w:rPr>
          <w:fldChar w:fldCharType="begin"/>
        </w:r>
        <w:r>
          <w:rPr>
            <w:noProof/>
            <w:webHidden/>
          </w:rPr>
          <w:instrText xml:space="preserve"> PAGEREF _Toc435621123 \h </w:instrText>
        </w:r>
        <w:r>
          <w:rPr>
            <w:noProof/>
            <w:webHidden/>
          </w:rPr>
        </w:r>
        <w:r>
          <w:rPr>
            <w:noProof/>
            <w:webHidden/>
          </w:rPr>
          <w:fldChar w:fldCharType="separate"/>
        </w:r>
        <w:r>
          <w:rPr>
            <w:noProof/>
            <w:webHidden/>
          </w:rPr>
          <w:t>20</w:t>
        </w:r>
        <w:r>
          <w:rPr>
            <w:noProof/>
            <w:webHidden/>
          </w:rPr>
          <w:fldChar w:fldCharType="end"/>
        </w:r>
      </w:hyperlink>
    </w:p>
    <w:p w:rsidR="00BA600C" w:rsidRDefault="00BA600C">
      <w:pPr>
        <w:pStyle w:val="Abbildungsverzeichnis"/>
        <w:tabs>
          <w:tab w:val="right" w:leader="dot" w:pos="9062"/>
        </w:tabs>
        <w:rPr>
          <w:rFonts w:eastAsiaTheme="minorEastAsia"/>
          <w:noProof/>
          <w:lang w:val="de-DE" w:eastAsia="de-DE"/>
        </w:rPr>
      </w:pPr>
      <w:hyperlink w:anchor="_Toc435621124" w:history="1">
        <w:r w:rsidRPr="004C05A1">
          <w:rPr>
            <w:rStyle w:val="Hyperlink"/>
            <w:noProof/>
          </w:rPr>
          <w:t xml:space="preserve">Figure 6. </w:t>
        </w:r>
        <w:r w:rsidRPr="004C05A1">
          <w:rPr>
            <w:rStyle w:val="Hyperlink"/>
            <w:noProof/>
            <w:lang w:val="en-US"/>
          </w:rPr>
          <w:t xml:space="preserve">Induction of basal resistance and SAR in </w:t>
        </w:r>
        <w:r w:rsidRPr="004C05A1">
          <w:rPr>
            <w:rStyle w:val="Hyperlink"/>
            <w:i/>
            <w:noProof/>
            <w:lang w:val="en-US"/>
          </w:rPr>
          <w:t>Arabidopsis thaliana</w:t>
        </w:r>
        <w:r w:rsidRPr="004C05A1">
          <w:rPr>
            <w:rStyle w:val="Hyperlink"/>
            <w:noProof/>
            <w:lang w:val="en-US"/>
          </w:rPr>
          <w:t>.</w:t>
        </w:r>
        <w:r>
          <w:rPr>
            <w:noProof/>
            <w:webHidden/>
          </w:rPr>
          <w:tab/>
        </w:r>
        <w:r>
          <w:rPr>
            <w:noProof/>
            <w:webHidden/>
          </w:rPr>
          <w:fldChar w:fldCharType="begin"/>
        </w:r>
        <w:r>
          <w:rPr>
            <w:noProof/>
            <w:webHidden/>
          </w:rPr>
          <w:instrText xml:space="preserve"> PAGEREF _Toc435621124 \h </w:instrText>
        </w:r>
        <w:r>
          <w:rPr>
            <w:noProof/>
            <w:webHidden/>
          </w:rPr>
        </w:r>
        <w:r>
          <w:rPr>
            <w:noProof/>
            <w:webHidden/>
          </w:rPr>
          <w:fldChar w:fldCharType="separate"/>
        </w:r>
        <w:r>
          <w:rPr>
            <w:noProof/>
            <w:webHidden/>
          </w:rPr>
          <w:t>21</w:t>
        </w:r>
        <w:r>
          <w:rPr>
            <w:noProof/>
            <w:webHidden/>
          </w:rPr>
          <w:fldChar w:fldCharType="end"/>
        </w:r>
      </w:hyperlink>
    </w:p>
    <w:p w:rsidR="00BA600C" w:rsidRDefault="00BA600C">
      <w:pPr>
        <w:pStyle w:val="Abbildungsverzeichnis"/>
        <w:tabs>
          <w:tab w:val="right" w:leader="dot" w:pos="9062"/>
        </w:tabs>
        <w:rPr>
          <w:rFonts w:eastAsiaTheme="minorEastAsia"/>
          <w:noProof/>
          <w:lang w:val="de-DE" w:eastAsia="de-DE"/>
        </w:rPr>
      </w:pPr>
      <w:hyperlink w:anchor="_Toc435621125" w:history="1">
        <w:r w:rsidRPr="004C05A1">
          <w:rPr>
            <w:rStyle w:val="Hyperlink"/>
            <w:noProof/>
          </w:rPr>
          <w:t xml:space="preserve">Figure 7. </w:t>
        </w:r>
        <w:r w:rsidRPr="004C05A1">
          <w:rPr>
            <w:rStyle w:val="Hyperlink"/>
            <w:noProof/>
            <w:lang w:val="en-US"/>
          </w:rPr>
          <w:t>Current model of Pip-biosynthesis.</w:t>
        </w:r>
        <w:r>
          <w:rPr>
            <w:noProof/>
            <w:webHidden/>
          </w:rPr>
          <w:tab/>
        </w:r>
        <w:r>
          <w:rPr>
            <w:noProof/>
            <w:webHidden/>
          </w:rPr>
          <w:fldChar w:fldCharType="begin"/>
        </w:r>
        <w:r>
          <w:rPr>
            <w:noProof/>
            <w:webHidden/>
          </w:rPr>
          <w:instrText xml:space="preserve"> PAGEREF _Toc435621125 \h </w:instrText>
        </w:r>
        <w:r>
          <w:rPr>
            <w:noProof/>
            <w:webHidden/>
          </w:rPr>
        </w:r>
        <w:r>
          <w:rPr>
            <w:noProof/>
            <w:webHidden/>
          </w:rPr>
          <w:fldChar w:fldCharType="separate"/>
        </w:r>
        <w:r>
          <w:rPr>
            <w:noProof/>
            <w:webHidden/>
          </w:rPr>
          <w:t>22</w:t>
        </w:r>
        <w:r>
          <w:rPr>
            <w:noProof/>
            <w:webHidden/>
          </w:rPr>
          <w:fldChar w:fldCharType="end"/>
        </w:r>
      </w:hyperlink>
    </w:p>
    <w:p w:rsidR="00BA600C" w:rsidRDefault="00BA600C">
      <w:pPr>
        <w:pStyle w:val="Abbildungsverzeichnis"/>
        <w:tabs>
          <w:tab w:val="right" w:leader="dot" w:pos="9062"/>
        </w:tabs>
        <w:rPr>
          <w:rFonts w:eastAsiaTheme="minorEastAsia"/>
          <w:noProof/>
          <w:lang w:val="de-DE" w:eastAsia="de-DE"/>
        </w:rPr>
      </w:pPr>
      <w:hyperlink w:anchor="_Toc435621126" w:history="1">
        <w:r w:rsidRPr="004C05A1">
          <w:rPr>
            <w:rStyle w:val="Hyperlink"/>
            <w:noProof/>
          </w:rPr>
          <w:t xml:space="preserve">Figure 8. </w:t>
        </w:r>
        <w:r w:rsidRPr="004C05A1">
          <w:rPr>
            <w:rStyle w:val="Hyperlink"/>
            <w:noProof/>
            <w:lang w:val="en-US"/>
          </w:rPr>
          <w:t xml:space="preserve">Proposed scheme of SA-biosynthesis in </w:t>
        </w:r>
        <w:r w:rsidRPr="004C05A1">
          <w:rPr>
            <w:rStyle w:val="Hyperlink"/>
            <w:i/>
            <w:noProof/>
            <w:lang w:val="en-US"/>
          </w:rPr>
          <w:t>A. thaliana</w:t>
        </w:r>
        <w:r w:rsidRPr="004C05A1">
          <w:rPr>
            <w:rStyle w:val="Hyperlink"/>
            <w:noProof/>
            <w:lang w:val="en-US"/>
          </w:rPr>
          <w:t xml:space="preserve"> via ISOCHORISMATE SYNTHASE1 (ICS1).</w:t>
        </w:r>
        <w:r>
          <w:rPr>
            <w:noProof/>
            <w:webHidden/>
          </w:rPr>
          <w:tab/>
        </w:r>
        <w:r>
          <w:rPr>
            <w:noProof/>
            <w:webHidden/>
          </w:rPr>
          <w:fldChar w:fldCharType="begin"/>
        </w:r>
        <w:r>
          <w:rPr>
            <w:noProof/>
            <w:webHidden/>
          </w:rPr>
          <w:instrText xml:space="preserve"> PAGEREF _Toc435621126 \h </w:instrText>
        </w:r>
        <w:r>
          <w:rPr>
            <w:noProof/>
            <w:webHidden/>
          </w:rPr>
        </w:r>
        <w:r>
          <w:rPr>
            <w:noProof/>
            <w:webHidden/>
          </w:rPr>
          <w:fldChar w:fldCharType="separate"/>
        </w:r>
        <w:r>
          <w:rPr>
            <w:noProof/>
            <w:webHidden/>
          </w:rPr>
          <w:t>23</w:t>
        </w:r>
        <w:r>
          <w:rPr>
            <w:noProof/>
            <w:webHidden/>
          </w:rPr>
          <w:fldChar w:fldCharType="end"/>
        </w:r>
      </w:hyperlink>
    </w:p>
    <w:p w:rsidR="00BA600C" w:rsidRDefault="00BA600C">
      <w:pPr>
        <w:pStyle w:val="Abbildungsverzeichnis"/>
        <w:tabs>
          <w:tab w:val="right" w:leader="dot" w:pos="9062"/>
        </w:tabs>
        <w:rPr>
          <w:rFonts w:eastAsiaTheme="minorEastAsia"/>
          <w:noProof/>
          <w:lang w:val="de-DE" w:eastAsia="de-DE"/>
        </w:rPr>
      </w:pPr>
      <w:hyperlink w:anchor="_Toc435621127" w:history="1">
        <w:r w:rsidRPr="004C05A1">
          <w:rPr>
            <w:rStyle w:val="Hyperlink"/>
            <w:noProof/>
          </w:rPr>
          <w:t xml:space="preserve">Figure 9. </w:t>
        </w:r>
        <w:r w:rsidRPr="004C05A1">
          <w:rPr>
            <w:rStyle w:val="Hyperlink"/>
            <w:noProof/>
            <w:lang w:val="en-US"/>
          </w:rPr>
          <w:t>NPR1 mediates SA-signalling.</w:t>
        </w:r>
        <w:r>
          <w:rPr>
            <w:noProof/>
            <w:webHidden/>
          </w:rPr>
          <w:tab/>
        </w:r>
        <w:r>
          <w:rPr>
            <w:noProof/>
            <w:webHidden/>
          </w:rPr>
          <w:fldChar w:fldCharType="begin"/>
        </w:r>
        <w:r>
          <w:rPr>
            <w:noProof/>
            <w:webHidden/>
          </w:rPr>
          <w:instrText xml:space="preserve"> PAGEREF _Toc435621127 \h </w:instrText>
        </w:r>
        <w:r>
          <w:rPr>
            <w:noProof/>
            <w:webHidden/>
          </w:rPr>
        </w:r>
        <w:r>
          <w:rPr>
            <w:noProof/>
            <w:webHidden/>
          </w:rPr>
          <w:fldChar w:fldCharType="separate"/>
        </w:r>
        <w:r>
          <w:rPr>
            <w:noProof/>
            <w:webHidden/>
          </w:rPr>
          <w:t>24</w:t>
        </w:r>
        <w:r>
          <w:rPr>
            <w:noProof/>
            <w:webHidden/>
          </w:rPr>
          <w:fldChar w:fldCharType="end"/>
        </w:r>
      </w:hyperlink>
    </w:p>
    <w:p w:rsidR="00BA600C" w:rsidRDefault="00BA600C">
      <w:pPr>
        <w:pStyle w:val="Abbildungsverzeichnis"/>
        <w:tabs>
          <w:tab w:val="right" w:leader="dot" w:pos="9062"/>
        </w:tabs>
        <w:rPr>
          <w:rFonts w:eastAsiaTheme="minorEastAsia"/>
          <w:noProof/>
          <w:lang w:val="de-DE" w:eastAsia="de-DE"/>
        </w:rPr>
      </w:pPr>
      <w:hyperlink w:anchor="_Toc435621128" w:history="1">
        <w:r w:rsidRPr="004C05A1">
          <w:rPr>
            <w:rStyle w:val="Hyperlink"/>
            <w:noProof/>
          </w:rPr>
          <w:t xml:space="preserve">Figure 10. </w:t>
        </w:r>
        <w:r w:rsidRPr="004C05A1">
          <w:rPr>
            <w:rStyle w:val="Hyperlink"/>
            <w:noProof/>
            <w:lang w:val="en-US"/>
          </w:rPr>
          <w:t>Comparison of Ja-Ile and coronatine.</w:t>
        </w:r>
        <w:r>
          <w:rPr>
            <w:noProof/>
            <w:webHidden/>
          </w:rPr>
          <w:tab/>
        </w:r>
        <w:r>
          <w:rPr>
            <w:noProof/>
            <w:webHidden/>
          </w:rPr>
          <w:fldChar w:fldCharType="begin"/>
        </w:r>
        <w:r>
          <w:rPr>
            <w:noProof/>
            <w:webHidden/>
          </w:rPr>
          <w:instrText xml:space="preserve"> PAGEREF _Toc435621128 \h </w:instrText>
        </w:r>
        <w:r>
          <w:rPr>
            <w:noProof/>
            <w:webHidden/>
          </w:rPr>
        </w:r>
        <w:r>
          <w:rPr>
            <w:noProof/>
            <w:webHidden/>
          </w:rPr>
          <w:fldChar w:fldCharType="separate"/>
        </w:r>
        <w:r>
          <w:rPr>
            <w:noProof/>
            <w:webHidden/>
          </w:rPr>
          <w:t>25</w:t>
        </w:r>
        <w:r>
          <w:rPr>
            <w:noProof/>
            <w:webHidden/>
          </w:rPr>
          <w:fldChar w:fldCharType="end"/>
        </w:r>
      </w:hyperlink>
    </w:p>
    <w:p w:rsidR="00BA600C" w:rsidRDefault="00BA600C">
      <w:pPr>
        <w:pStyle w:val="Abbildungsverzeichnis"/>
        <w:tabs>
          <w:tab w:val="right" w:leader="dot" w:pos="9062"/>
        </w:tabs>
        <w:rPr>
          <w:rFonts w:eastAsiaTheme="minorEastAsia"/>
          <w:noProof/>
          <w:lang w:val="de-DE" w:eastAsia="de-DE"/>
        </w:rPr>
      </w:pPr>
      <w:hyperlink w:anchor="_Toc435621129" w:history="1">
        <w:r w:rsidRPr="004C05A1">
          <w:rPr>
            <w:rStyle w:val="Hyperlink"/>
            <w:noProof/>
          </w:rPr>
          <w:t xml:space="preserve">Figure 11. </w:t>
        </w:r>
        <w:r w:rsidRPr="004C05A1">
          <w:rPr>
            <w:rStyle w:val="Hyperlink"/>
            <w:noProof/>
            <w:lang w:val="en-US"/>
          </w:rPr>
          <w:t xml:space="preserve">Biosynthesis of camalexin and other indolic compounds in </w:t>
        </w:r>
        <w:r w:rsidRPr="004C05A1">
          <w:rPr>
            <w:rStyle w:val="Hyperlink"/>
            <w:i/>
            <w:noProof/>
            <w:lang w:val="en-US"/>
          </w:rPr>
          <w:t>A. thaliana</w:t>
        </w:r>
        <w:r w:rsidRPr="004C05A1">
          <w:rPr>
            <w:rStyle w:val="Hyperlink"/>
            <w:noProof/>
            <w:lang w:val="en-US"/>
          </w:rPr>
          <w:t>.</w:t>
        </w:r>
        <w:r>
          <w:rPr>
            <w:noProof/>
            <w:webHidden/>
          </w:rPr>
          <w:tab/>
        </w:r>
        <w:r>
          <w:rPr>
            <w:noProof/>
            <w:webHidden/>
          </w:rPr>
          <w:fldChar w:fldCharType="begin"/>
        </w:r>
        <w:r>
          <w:rPr>
            <w:noProof/>
            <w:webHidden/>
          </w:rPr>
          <w:instrText xml:space="preserve"> PAGEREF _Toc435621129 \h </w:instrText>
        </w:r>
        <w:r>
          <w:rPr>
            <w:noProof/>
            <w:webHidden/>
          </w:rPr>
        </w:r>
        <w:r>
          <w:rPr>
            <w:noProof/>
            <w:webHidden/>
          </w:rPr>
          <w:fldChar w:fldCharType="separate"/>
        </w:r>
        <w:r>
          <w:rPr>
            <w:noProof/>
            <w:webHidden/>
          </w:rPr>
          <w:t>26</w:t>
        </w:r>
        <w:r>
          <w:rPr>
            <w:noProof/>
            <w:webHidden/>
          </w:rPr>
          <w:fldChar w:fldCharType="end"/>
        </w:r>
      </w:hyperlink>
    </w:p>
    <w:p w:rsidR="00BA600C" w:rsidRDefault="00BA600C">
      <w:pPr>
        <w:pStyle w:val="Abbildungsverzeichnis"/>
        <w:tabs>
          <w:tab w:val="right" w:leader="dot" w:pos="9062"/>
        </w:tabs>
        <w:rPr>
          <w:rFonts w:eastAsiaTheme="minorEastAsia"/>
          <w:noProof/>
          <w:lang w:val="de-DE" w:eastAsia="de-DE"/>
        </w:rPr>
      </w:pPr>
      <w:hyperlink w:anchor="_Toc435621130" w:history="1">
        <w:r w:rsidRPr="004C05A1">
          <w:rPr>
            <w:rStyle w:val="Hyperlink"/>
            <w:noProof/>
          </w:rPr>
          <w:t xml:space="preserve">Figure 12. </w:t>
        </w:r>
        <w:r w:rsidRPr="004C05A1">
          <w:rPr>
            <w:rStyle w:val="Hyperlink"/>
            <w:noProof/>
            <w:lang w:val="en-US"/>
          </w:rPr>
          <w:t xml:space="preserve">MAP kinase signalling in </w:t>
        </w:r>
        <w:r w:rsidRPr="004C05A1">
          <w:rPr>
            <w:rStyle w:val="Hyperlink"/>
            <w:i/>
            <w:noProof/>
            <w:lang w:val="en-US"/>
          </w:rPr>
          <w:t>Arabidopsis</w:t>
        </w:r>
        <w:r w:rsidRPr="004C05A1">
          <w:rPr>
            <w:rStyle w:val="Hyperlink"/>
            <w:noProof/>
            <w:lang w:val="en-US"/>
          </w:rPr>
          <w:t xml:space="preserve"> innate immunity.</w:t>
        </w:r>
        <w:r>
          <w:rPr>
            <w:noProof/>
            <w:webHidden/>
          </w:rPr>
          <w:tab/>
        </w:r>
        <w:r>
          <w:rPr>
            <w:noProof/>
            <w:webHidden/>
          </w:rPr>
          <w:fldChar w:fldCharType="begin"/>
        </w:r>
        <w:r>
          <w:rPr>
            <w:noProof/>
            <w:webHidden/>
          </w:rPr>
          <w:instrText xml:space="preserve"> PAGEREF _Toc435621130 \h </w:instrText>
        </w:r>
        <w:r>
          <w:rPr>
            <w:noProof/>
            <w:webHidden/>
          </w:rPr>
        </w:r>
        <w:r>
          <w:rPr>
            <w:noProof/>
            <w:webHidden/>
          </w:rPr>
          <w:fldChar w:fldCharType="separate"/>
        </w:r>
        <w:r>
          <w:rPr>
            <w:noProof/>
            <w:webHidden/>
          </w:rPr>
          <w:t>28</w:t>
        </w:r>
        <w:r>
          <w:rPr>
            <w:noProof/>
            <w:webHidden/>
          </w:rPr>
          <w:fldChar w:fldCharType="end"/>
        </w:r>
      </w:hyperlink>
    </w:p>
    <w:p w:rsidR="00BA600C" w:rsidRDefault="00BA600C">
      <w:pPr>
        <w:pStyle w:val="Abbildungsverzeichnis"/>
        <w:tabs>
          <w:tab w:val="right" w:leader="dot" w:pos="9062"/>
        </w:tabs>
        <w:rPr>
          <w:rFonts w:eastAsiaTheme="minorEastAsia"/>
          <w:noProof/>
          <w:lang w:val="de-DE" w:eastAsia="de-DE"/>
        </w:rPr>
      </w:pPr>
      <w:hyperlink w:anchor="_Toc435621131" w:history="1">
        <w:r w:rsidRPr="004C05A1">
          <w:rPr>
            <w:rStyle w:val="Hyperlink"/>
            <w:noProof/>
          </w:rPr>
          <w:t xml:space="preserve">Figure 13. </w:t>
        </w:r>
        <w:r w:rsidRPr="004C05A1">
          <w:rPr>
            <w:rStyle w:val="Hyperlink"/>
            <w:noProof/>
            <w:lang w:val="en-US"/>
          </w:rPr>
          <w:t>Chemicals shown to induce resistance against pathogens.</w:t>
        </w:r>
        <w:r>
          <w:rPr>
            <w:noProof/>
            <w:webHidden/>
          </w:rPr>
          <w:tab/>
        </w:r>
        <w:r>
          <w:rPr>
            <w:noProof/>
            <w:webHidden/>
          </w:rPr>
          <w:fldChar w:fldCharType="begin"/>
        </w:r>
        <w:r>
          <w:rPr>
            <w:noProof/>
            <w:webHidden/>
          </w:rPr>
          <w:instrText xml:space="preserve"> PAGEREF _Toc435621131 \h </w:instrText>
        </w:r>
        <w:r>
          <w:rPr>
            <w:noProof/>
            <w:webHidden/>
          </w:rPr>
        </w:r>
        <w:r>
          <w:rPr>
            <w:noProof/>
            <w:webHidden/>
          </w:rPr>
          <w:fldChar w:fldCharType="separate"/>
        </w:r>
        <w:r>
          <w:rPr>
            <w:noProof/>
            <w:webHidden/>
          </w:rPr>
          <w:t>30</w:t>
        </w:r>
        <w:r>
          <w:rPr>
            <w:noProof/>
            <w:webHidden/>
          </w:rPr>
          <w:fldChar w:fldCharType="end"/>
        </w:r>
      </w:hyperlink>
    </w:p>
    <w:p w:rsidR="00BA600C" w:rsidRDefault="00BA600C">
      <w:pPr>
        <w:pStyle w:val="Abbildungsverzeichnis"/>
        <w:tabs>
          <w:tab w:val="right" w:leader="dot" w:pos="9062"/>
        </w:tabs>
        <w:rPr>
          <w:rFonts w:eastAsiaTheme="minorEastAsia"/>
          <w:noProof/>
          <w:lang w:val="de-DE" w:eastAsia="de-DE"/>
        </w:rPr>
      </w:pPr>
      <w:hyperlink w:anchor="_Toc435621132" w:history="1">
        <w:r w:rsidRPr="004C05A1">
          <w:rPr>
            <w:rStyle w:val="Hyperlink"/>
            <w:noProof/>
          </w:rPr>
          <w:t xml:space="preserve">Figure 14. </w:t>
        </w:r>
        <w:r w:rsidRPr="004C05A1">
          <w:rPr>
            <w:rStyle w:val="Hyperlink"/>
            <w:noProof/>
            <w:lang w:val="en-US"/>
          </w:rPr>
          <w:t>Simplified representation of defence gene expression in a non-primed and primed plant.</w:t>
        </w:r>
        <w:r>
          <w:rPr>
            <w:noProof/>
            <w:webHidden/>
          </w:rPr>
          <w:tab/>
        </w:r>
        <w:r>
          <w:rPr>
            <w:noProof/>
            <w:webHidden/>
          </w:rPr>
          <w:fldChar w:fldCharType="begin"/>
        </w:r>
        <w:r>
          <w:rPr>
            <w:noProof/>
            <w:webHidden/>
          </w:rPr>
          <w:instrText xml:space="preserve"> PAGEREF _Toc435621132 \h </w:instrText>
        </w:r>
        <w:r>
          <w:rPr>
            <w:noProof/>
            <w:webHidden/>
          </w:rPr>
        </w:r>
        <w:r>
          <w:rPr>
            <w:noProof/>
            <w:webHidden/>
          </w:rPr>
          <w:fldChar w:fldCharType="separate"/>
        </w:r>
        <w:r>
          <w:rPr>
            <w:noProof/>
            <w:webHidden/>
          </w:rPr>
          <w:t>31</w:t>
        </w:r>
        <w:r>
          <w:rPr>
            <w:noProof/>
            <w:webHidden/>
          </w:rPr>
          <w:fldChar w:fldCharType="end"/>
        </w:r>
      </w:hyperlink>
    </w:p>
    <w:p w:rsidR="00BA600C" w:rsidRDefault="00BA600C">
      <w:pPr>
        <w:pStyle w:val="Abbildungsverzeichnis"/>
        <w:tabs>
          <w:tab w:val="right" w:leader="dot" w:pos="9062"/>
        </w:tabs>
        <w:rPr>
          <w:rFonts w:eastAsiaTheme="minorEastAsia"/>
          <w:noProof/>
          <w:lang w:val="de-DE" w:eastAsia="de-DE"/>
        </w:rPr>
      </w:pPr>
      <w:hyperlink w:anchor="_Toc435621133" w:history="1">
        <w:r w:rsidRPr="004C05A1">
          <w:rPr>
            <w:rStyle w:val="Hyperlink"/>
            <w:noProof/>
          </w:rPr>
          <w:t xml:space="preserve">Figure 15. </w:t>
        </w:r>
        <w:r w:rsidRPr="004C05A1">
          <w:rPr>
            <w:rStyle w:val="Hyperlink"/>
            <w:noProof/>
            <w:lang w:val="en-US"/>
          </w:rPr>
          <w:t>Schematic model to explain the generation of stress imprint following priming.</w:t>
        </w:r>
        <w:r>
          <w:rPr>
            <w:noProof/>
            <w:webHidden/>
          </w:rPr>
          <w:tab/>
        </w:r>
        <w:r>
          <w:rPr>
            <w:noProof/>
            <w:webHidden/>
          </w:rPr>
          <w:fldChar w:fldCharType="begin"/>
        </w:r>
        <w:r>
          <w:rPr>
            <w:noProof/>
            <w:webHidden/>
          </w:rPr>
          <w:instrText xml:space="preserve"> PAGEREF _Toc435621133 \h </w:instrText>
        </w:r>
        <w:r>
          <w:rPr>
            <w:noProof/>
            <w:webHidden/>
          </w:rPr>
        </w:r>
        <w:r>
          <w:rPr>
            <w:noProof/>
            <w:webHidden/>
          </w:rPr>
          <w:fldChar w:fldCharType="separate"/>
        </w:r>
        <w:r>
          <w:rPr>
            <w:noProof/>
            <w:webHidden/>
          </w:rPr>
          <w:t>32</w:t>
        </w:r>
        <w:r>
          <w:rPr>
            <w:noProof/>
            <w:webHidden/>
          </w:rPr>
          <w:fldChar w:fldCharType="end"/>
        </w:r>
      </w:hyperlink>
    </w:p>
    <w:p w:rsidR="00BA600C" w:rsidRDefault="00BA600C">
      <w:pPr>
        <w:pStyle w:val="Abbildungsverzeichnis"/>
        <w:tabs>
          <w:tab w:val="right" w:leader="dot" w:pos="9062"/>
        </w:tabs>
        <w:rPr>
          <w:rFonts w:eastAsiaTheme="minorEastAsia"/>
          <w:noProof/>
          <w:lang w:val="de-DE" w:eastAsia="de-DE"/>
        </w:rPr>
      </w:pPr>
      <w:hyperlink w:anchor="_Toc435621134" w:history="1">
        <w:r w:rsidRPr="004C05A1">
          <w:rPr>
            <w:rStyle w:val="Hyperlink"/>
            <w:noProof/>
          </w:rPr>
          <w:t xml:space="preserve">Figure 16. </w:t>
        </w:r>
        <w:r w:rsidRPr="004C05A1">
          <w:rPr>
            <w:rStyle w:val="Hyperlink"/>
            <w:noProof/>
            <w:lang w:val="en-US"/>
          </w:rPr>
          <w:t>Chromatin modifications as a possible mechanism for priming of gene expression.</w:t>
        </w:r>
        <w:r>
          <w:rPr>
            <w:noProof/>
            <w:webHidden/>
          </w:rPr>
          <w:tab/>
        </w:r>
        <w:r>
          <w:rPr>
            <w:noProof/>
            <w:webHidden/>
          </w:rPr>
          <w:fldChar w:fldCharType="begin"/>
        </w:r>
        <w:r>
          <w:rPr>
            <w:noProof/>
            <w:webHidden/>
          </w:rPr>
          <w:instrText xml:space="preserve"> PAGEREF _Toc435621134 \h </w:instrText>
        </w:r>
        <w:r>
          <w:rPr>
            <w:noProof/>
            <w:webHidden/>
          </w:rPr>
        </w:r>
        <w:r>
          <w:rPr>
            <w:noProof/>
            <w:webHidden/>
          </w:rPr>
          <w:fldChar w:fldCharType="separate"/>
        </w:r>
        <w:r>
          <w:rPr>
            <w:noProof/>
            <w:webHidden/>
          </w:rPr>
          <w:t>33</w:t>
        </w:r>
        <w:r>
          <w:rPr>
            <w:noProof/>
            <w:webHidden/>
          </w:rPr>
          <w:fldChar w:fldCharType="end"/>
        </w:r>
      </w:hyperlink>
    </w:p>
    <w:p w:rsidR="00BA600C" w:rsidRDefault="00BA600C">
      <w:pPr>
        <w:pStyle w:val="Abbildungsverzeichnis"/>
        <w:tabs>
          <w:tab w:val="right" w:leader="dot" w:pos="9062"/>
        </w:tabs>
        <w:rPr>
          <w:rFonts w:eastAsiaTheme="minorEastAsia"/>
          <w:noProof/>
          <w:lang w:val="de-DE" w:eastAsia="de-DE"/>
        </w:rPr>
      </w:pPr>
      <w:hyperlink w:anchor="_Toc435621135" w:history="1">
        <w:r w:rsidRPr="004C05A1">
          <w:rPr>
            <w:rStyle w:val="Hyperlink"/>
            <w:noProof/>
          </w:rPr>
          <w:t xml:space="preserve">Figure 17. </w:t>
        </w:r>
        <w:r w:rsidRPr="004C05A1">
          <w:rPr>
            <w:rStyle w:val="Hyperlink"/>
            <w:noProof/>
            <w:lang w:val="en-US"/>
          </w:rPr>
          <w:t xml:space="preserve">Infection cycle of the necrotrophic fungal pathogens </w:t>
        </w:r>
        <w:r w:rsidRPr="004C05A1">
          <w:rPr>
            <w:rStyle w:val="Hyperlink"/>
            <w:i/>
            <w:noProof/>
            <w:lang w:val="en-US"/>
          </w:rPr>
          <w:t>Sclerotinia sclerotiorum</w:t>
        </w:r>
        <w:r w:rsidRPr="004C05A1">
          <w:rPr>
            <w:rStyle w:val="Hyperlink"/>
            <w:noProof/>
            <w:lang w:val="en-US"/>
          </w:rPr>
          <w:t xml:space="preserve"> and </w:t>
        </w:r>
        <w:r w:rsidRPr="004C05A1">
          <w:rPr>
            <w:rStyle w:val="Hyperlink"/>
            <w:i/>
            <w:noProof/>
            <w:lang w:val="en-US"/>
          </w:rPr>
          <w:t>Botrytis cinerea</w:t>
        </w:r>
        <w:r w:rsidRPr="004C05A1">
          <w:rPr>
            <w:rStyle w:val="Hyperlink"/>
            <w:noProof/>
            <w:lang w:val="en-US"/>
          </w:rPr>
          <w:t>.</w:t>
        </w:r>
        <w:r>
          <w:rPr>
            <w:noProof/>
            <w:webHidden/>
          </w:rPr>
          <w:tab/>
        </w:r>
        <w:r>
          <w:rPr>
            <w:noProof/>
            <w:webHidden/>
          </w:rPr>
          <w:fldChar w:fldCharType="begin"/>
        </w:r>
        <w:r>
          <w:rPr>
            <w:noProof/>
            <w:webHidden/>
          </w:rPr>
          <w:instrText xml:space="preserve"> PAGEREF _Toc435621135 \h </w:instrText>
        </w:r>
        <w:r>
          <w:rPr>
            <w:noProof/>
            <w:webHidden/>
          </w:rPr>
        </w:r>
        <w:r>
          <w:rPr>
            <w:noProof/>
            <w:webHidden/>
          </w:rPr>
          <w:fldChar w:fldCharType="separate"/>
        </w:r>
        <w:r>
          <w:rPr>
            <w:noProof/>
            <w:webHidden/>
          </w:rPr>
          <w:t>35</w:t>
        </w:r>
        <w:r>
          <w:rPr>
            <w:noProof/>
            <w:webHidden/>
          </w:rPr>
          <w:fldChar w:fldCharType="end"/>
        </w:r>
      </w:hyperlink>
    </w:p>
    <w:p w:rsidR="00BA600C" w:rsidRDefault="00BA600C">
      <w:pPr>
        <w:pStyle w:val="Abbildungsverzeichnis"/>
        <w:tabs>
          <w:tab w:val="right" w:leader="dot" w:pos="9062"/>
        </w:tabs>
        <w:rPr>
          <w:rFonts w:eastAsiaTheme="minorEastAsia"/>
          <w:noProof/>
          <w:lang w:val="de-DE" w:eastAsia="de-DE"/>
        </w:rPr>
      </w:pPr>
      <w:hyperlink w:anchor="_Toc435621136" w:history="1">
        <w:r w:rsidRPr="004C05A1">
          <w:rPr>
            <w:rStyle w:val="Hyperlink"/>
            <w:noProof/>
          </w:rPr>
          <w:t xml:space="preserve">Figure 18. </w:t>
        </w:r>
        <w:r w:rsidRPr="004C05A1">
          <w:rPr>
            <w:rStyle w:val="Hyperlink"/>
            <w:i/>
            <w:noProof/>
            <w:lang w:val="en-US"/>
          </w:rPr>
          <w:t>B. cinerea</w:t>
        </w:r>
        <w:r w:rsidRPr="004C05A1">
          <w:rPr>
            <w:rStyle w:val="Hyperlink"/>
            <w:noProof/>
            <w:lang w:val="en-US"/>
          </w:rPr>
          <w:t xml:space="preserve"> introduces sRNAs into plant cells to facilitate infection.</w:t>
        </w:r>
        <w:r>
          <w:rPr>
            <w:noProof/>
            <w:webHidden/>
          </w:rPr>
          <w:tab/>
        </w:r>
        <w:r>
          <w:rPr>
            <w:noProof/>
            <w:webHidden/>
          </w:rPr>
          <w:fldChar w:fldCharType="begin"/>
        </w:r>
        <w:r>
          <w:rPr>
            <w:noProof/>
            <w:webHidden/>
          </w:rPr>
          <w:instrText xml:space="preserve"> PAGEREF _Toc435621136 \h </w:instrText>
        </w:r>
        <w:r>
          <w:rPr>
            <w:noProof/>
            <w:webHidden/>
          </w:rPr>
        </w:r>
        <w:r>
          <w:rPr>
            <w:noProof/>
            <w:webHidden/>
          </w:rPr>
          <w:fldChar w:fldCharType="separate"/>
        </w:r>
        <w:r>
          <w:rPr>
            <w:noProof/>
            <w:webHidden/>
          </w:rPr>
          <w:t>36</w:t>
        </w:r>
        <w:r>
          <w:rPr>
            <w:noProof/>
            <w:webHidden/>
          </w:rPr>
          <w:fldChar w:fldCharType="end"/>
        </w:r>
      </w:hyperlink>
    </w:p>
    <w:p w:rsidR="00BA600C" w:rsidRDefault="00BA600C">
      <w:pPr>
        <w:pStyle w:val="Abbildungsverzeichnis"/>
        <w:tabs>
          <w:tab w:val="right" w:leader="dot" w:pos="9062"/>
        </w:tabs>
        <w:rPr>
          <w:rFonts w:eastAsiaTheme="minorEastAsia"/>
          <w:noProof/>
          <w:lang w:val="de-DE" w:eastAsia="de-DE"/>
        </w:rPr>
      </w:pPr>
      <w:hyperlink w:anchor="_Toc435621137" w:history="1">
        <w:r w:rsidRPr="004C05A1">
          <w:rPr>
            <w:rStyle w:val="Hyperlink"/>
            <w:noProof/>
          </w:rPr>
          <w:t xml:space="preserve">Figure 19. </w:t>
        </w:r>
        <w:r w:rsidRPr="004C05A1">
          <w:rPr>
            <w:rStyle w:val="Hyperlink"/>
            <w:noProof/>
            <w:lang w:val="en-US"/>
          </w:rPr>
          <w:t xml:space="preserve">Infection cycle of </w:t>
        </w:r>
        <w:r w:rsidRPr="004C05A1">
          <w:rPr>
            <w:rStyle w:val="Hyperlink"/>
            <w:i/>
            <w:noProof/>
            <w:lang w:val="en-US"/>
          </w:rPr>
          <w:t>Golovinomyces orontii</w:t>
        </w:r>
        <w:r w:rsidRPr="004C05A1">
          <w:rPr>
            <w:rStyle w:val="Hyperlink"/>
            <w:noProof/>
            <w:lang w:val="en-US"/>
          </w:rPr>
          <w:t>.</w:t>
        </w:r>
        <w:r>
          <w:rPr>
            <w:noProof/>
            <w:webHidden/>
          </w:rPr>
          <w:tab/>
        </w:r>
        <w:r>
          <w:rPr>
            <w:noProof/>
            <w:webHidden/>
          </w:rPr>
          <w:fldChar w:fldCharType="begin"/>
        </w:r>
        <w:r>
          <w:rPr>
            <w:noProof/>
            <w:webHidden/>
          </w:rPr>
          <w:instrText xml:space="preserve"> PAGEREF _Toc435621137 \h </w:instrText>
        </w:r>
        <w:r>
          <w:rPr>
            <w:noProof/>
            <w:webHidden/>
          </w:rPr>
        </w:r>
        <w:r>
          <w:rPr>
            <w:noProof/>
            <w:webHidden/>
          </w:rPr>
          <w:fldChar w:fldCharType="separate"/>
        </w:r>
        <w:r>
          <w:rPr>
            <w:noProof/>
            <w:webHidden/>
          </w:rPr>
          <w:t>37</w:t>
        </w:r>
        <w:r>
          <w:rPr>
            <w:noProof/>
            <w:webHidden/>
          </w:rPr>
          <w:fldChar w:fldCharType="end"/>
        </w:r>
      </w:hyperlink>
    </w:p>
    <w:p w:rsidR="00BA600C" w:rsidRDefault="00BA600C">
      <w:pPr>
        <w:pStyle w:val="Abbildungsverzeichnis"/>
        <w:tabs>
          <w:tab w:val="right" w:leader="dot" w:pos="9062"/>
        </w:tabs>
        <w:rPr>
          <w:rFonts w:eastAsiaTheme="minorEastAsia"/>
          <w:noProof/>
          <w:lang w:val="de-DE" w:eastAsia="de-DE"/>
        </w:rPr>
      </w:pPr>
      <w:hyperlink w:anchor="_Toc435621138" w:history="1">
        <w:r w:rsidRPr="004C05A1">
          <w:rPr>
            <w:rStyle w:val="Hyperlink"/>
            <w:noProof/>
          </w:rPr>
          <w:t xml:space="preserve">Figure 20. </w:t>
        </w:r>
        <w:r w:rsidRPr="004C05A1">
          <w:rPr>
            <w:rStyle w:val="Hyperlink"/>
            <w:i/>
            <w:noProof/>
            <w:lang w:val="en-US"/>
          </w:rPr>
          <w:t>A. thaliana</w:t>
        </w:r>
        <w:r w:rsidRPr="004C05A1">
          <w:rPr>
            <w:rStyle w:val="Hyperlink"/>
            <w:noProof/>
            <w:lang w:val="en-US"/>
          </w:rPr>
          <w:t xml:space="preserve"> plants infected with the oomycete </w:t>
        </w:r>
        <w:r w:rsidRPr="004C05A1">
          <w:rPr>
            <w:rStyle w:val="Hyperlink"/>
            <w:i/>
            <w:noProof/>
            <w:lang w:val="en-US"/>
          </w:rPr>
          <w:t>H. arabidopsidis</w:t>
        </w:r>
        <w:r w:rsidRPr="004C05A1">
          <w:rPr>
            <w:rStyle w:val="Hyperlink"/>
            <w:noProof/>
            <w:lang w:val="en-US"/>
          </w:rPr>
          <w:t>.</w:t>
        </w:r>
        <w:r>
          <w:rPr>
            <w:noProof/>
            <w:webHidden/>
          </w:rPr>
          <w:tab/>
        </w:r>
        <w:r>
          <w:rPr>
            <w:noProof/>
            <w:webHidden/>
          </w:rPr>
          <w:fldChar w:fldCharType="begin"/>
        </w:r>
        <w:r>
          <w:rPr>
            <w:noProof/>
            <w:webHidden/>
          </w:rPr>
          <w:instrText xml:space="preserve"> PAGEREF _Toc435621138 \h </w:instrText>
        </w:r>
        <w:r>
          <w:rPr>
            <w:noProof/>
            <w:webHidden/>
          </w:rPr>
        </w:r>
        <w:r>
          <w:rPr>
            <w:noProof/>
            <w:webHidden/>
          </w:rPr>
          <w:fldChar w:fldCharType="separate"/>
        </w:r>
        <w:r>
          <w:rPr>
            <w:noProof/>
            <w:webHidden/>
          </w:rPr>
          <w:t>38</w:t>
        </w:r>
        <w:r>
          <w:rPr>
            <w:noProof/>
            <w:webHidden/>
          </w:rPr>
          <w:fldChar w:fldCharType="end"/>
        </w:r>
      </w:hyperlink>
    </w:p>
    <w:p w:rsidR="00BA600C" w:rsidRDefault="00BA600C">
      <w:pPr>
        <w:pStyle w:val="Abbildungsverzeichnis"/>
        <w:tabs>
          <w:tab w:val="right" w:leader="dot" w:pos="9062"/>
        </w:tabs>
        <w:rPr>
          <w:rFonts w:eastAsiaTheme="minorEastAsia"/>
          <w:noProof/>
          <w:lang w:val="de-DE" w:eastAsia="de-DE"/>
        </w:rPr>
      </w:pPr>
      <w:hyperlink w:anchor="_Toc435621139" w:history="1">
        <w:r w:rsidRPr="004C05A1">
          <w:rPr>
            <w:rStyle w:val="Hyperlink"/>
            <w:noProof/>
          </w:rPr>
          <w:t>Figure 21.</w:t>
        </w:r>
        <w:r w:rsidRPr="004C05A1">
          <w:rPr>
            <w:rStyle w:val="Hyperlink"/>
            <w:noProof/>
            <w:lang w:val="en-US"/>
          </w:rPr>
          <w:t xml:space="preserve"> Schematic model of compatible and incompatible interactions of </w:t>
        </w:r>
        <w:r w:rsidRPr="004C05A1">
          <w:rPr>
            <w:rStyle w:val="Hyperlink"/>
            <w:i/>
            <w:noProof/>
            <w:lang w:val="en-US"/>
          </w:rPr>
          <w:t>A. thaliana</w:t>
        </w:r>
        <w:r w:rsidRPr="004C05A1">
          <w:rPr>
            <w:rStyle w:val="Hyperlink"/>
            <w:noProof/>
            <w:lang w:val="en-US"/>
          </w:rPr>
          <w:t xml:space="preserve"> with </w:t>
        </w:r>
        <w:r w:rsidRPr="004C05A1">
          <w:rPr>
            <w:rStyle w:val="Hyperlink"/>
            <w:i/>
            <w:noProof/>
            <w:lang w:val="en-US"/>
          </w:rPr>
          <w:t>Hpa</w:t>
        </w:r>
        <w:r w:rsidRPr="004C05A1">
          <w:rPr>
            <w:rStyle w:val="Hyperlink"/>
            <w:noProof/>
            <w:lang w:val="en-US"/>
          </w:rPr>
          <w:t>.</w:t>
        </w:r>
        <w:r>
          <w:rPr>
            <w:noProof/>
            <w:webHidden/>
          </w:rPr>
          <w:tab/>
        </w:r>
        <w:r>
          <w:rPr>
            <w:noProof/>
            <w:webHidden/>
          </w:rPr>
          <w:fldChar w:fldCharType="begin"/>
        </w:r>
        <w:r>
          <w:rPr>
            <w:noProof/>
            <w:webHidden/>
          </w:rPr>
          <w:instrText xml:space="preserve"> PAGEREF _Toc435621139 \h </w:instrText>
        </w:r>
        <w:r>
          <w:rPr>
            <w:noProof/>
            <w:webHidden/>
          </w:rPr>
        </w:r>
        <w:r>
          <w:rPr>
            <w:noProof/>
            <w:webHidden/>
          </w:rPr>
          <w:fldChar w:fldCharType="separate"/>
        </w:r>
        <w:r>
          <w:rPr>
            <w:noProof/>
            <w:webHidden/>
          </w:rPr>
          <w:t>39</w:t>
        </w:r>
        <w:r>
          <w:rPr>
            <w:noProof/>
            <w:webHidden/>
          </w:rPr>
          <w:fldChar w:fldCharType="end"/>
        </w:r>
      </w:hyperlink>
    </w:p>
    <w:p w:rsidR="00BA600C" w:rsidRDefault="00BA600C">
      <w:pPr>
        <w:pStyle w:val="Abbildungsverzeichnis"/>
        <w:tabs>
          <w:tab w:val="right" w:leader="dot" w:pos="9062"/>
        </w:tabs>
        <w:rPr>
          <w:rFonts w:eastAsiaTheme="minorEastAsia"/>
          <w:noProof/>
          <w:lang w:val="de-DE" w:eastAsia="de-DE"/>
        </w:rPr>
      </w:pPr>
      <w:hyperlink w:anchor="_Toc435621140" w:history="1">
        <w:r w:rsidRPr="004C05A1">
          <w:rPr>
            <w:rStyle w:val="Hyperlink"/>
            <w:noProof/>
          </w:rPr>
          <w:t xml:space="preserve">Figure 22. </w:t>
        </w:r>
        <w:r w:rsidRPr="004C05A1">
          <w:rPr>
            <w:rStyle w:val="Hyperlink"/>
            <w:i/>
            <w:noProof/>
            <w:lang w:val="en-US"/>
          </w:rPr>
          <w:t>Hpa</w:t>
        </w:r>
        <w:r w:rsidRPr="004C05A1">
          <w:rPr>
            <w:rStyle w:val="Hyperlink"/>
            <w:noProof/>
            <w:lang w:val="en-US"/>
          </w:rPr>
          <w:t xml:space="preserve"> introduces effectors into plant cells to repress defence responses.</w:t>
        </w:r>
        <w:r>
          <w:rPr>
            <w:noProof/>
            <w:webHidden/>
          </w:rPr>
          <w:tab/>
        </w:r>
        <w:r>
          <w:rPr>
            <w:noProof/>
            <w:webHidden/>
          </w:rPr>
          <w:fldChar w:fldCharType="begin"/>
        </w:r>
        <w:r>
          <w:rPr>
            <w:noProof/>
            <w:webHidden/>
          </w:rPr>
          <w:instrText xml:space="preserve"> PAGEREF _Toc435621140 \h </w:instrText>
        </w:r>
        <w:r>
          <w:rPr>
            <w:noProof/>
            <w:webHidden/>
          </w:rPr>
        </w:r>
        <w:r>
          <w:rPr>
            <w:noProof/>
            <w:webHidden/>
          </w:rPr>
          <w:fldChar w:fldCharType="separate"/>
        </w:r>
        <w:r>
          <w:rPr>
            <w:noProof/>
            <w:webHidden/>
          </w:rPr>
          <w:t>40</w:t>
        </w:r>
        <w:r>
          <w:rPr>
            <w:noProof/>
            <w:webHidden/>
          </w:rPr>
          <w:fldChar w:fldCharType="end"/>
        </w:r>
      </w:hyperlink>
    </w:p>
    <w:p w:rsidR="00BA600C" w:rsidRDefault="00BA600C">
      <w:pPr>
        <w:pStyle w:val="Abbildungsverzeichnis"/>
        <w:tabs>
          <w:tab w:val="right" w:leader="dot" w:pos="9062"/>
        </w:tabs>
        <w:rPr>
          <w:rFonts w:eastAsiaTheme="minorEastAsia"/>
          <w:noProof/>
          <w:lang w:val="de-DE" w:eastAsia="de-DE"/>
        </w:rPr>
      </w:pPr>
      <w:hyperlink w:anchor="_Toc435621141" w:history="1">
        <w:r w:rsidRPr="004C05A1">
          <w:rPr>
            <w:rStyle w:val="Hyperlink"/>
            <w:noProof/>
          </w:rPr>
          <w:t>Figure 23. Priming of gene expression.</w:t>
        </w:r>
        <w:r>
          <w:rPr>
            <w:noProof/>
            <w:webHidden/>
          </w:rPr>
          <w:tab/>
        </w:r>
        <w:r>
          <w:rPr>
            <w:noProof/>
            <w:webHidden/>
          </w:rPr>
          <w:fldChar w:fldCharType="begin"/>
        </w:r>
        <w:r>
          <w:rPr>
            <w:noProof/>
            <w:webHidden/>
          </w:rPr>
          <w:instrText xml:space="preserve"> PAGEREF _Toc435621141 \h </w:instrText>
        </w:r>
        <w:r>
          <w:rPr>
            <w:noProof/>
            <w:webHidden/>
          </w:rPr>
        </w:r>
        <w:r>
          <w:rPr>
            <w:noProof/>
            <w:webHidden/>
          </w:rPr>
          <w:fldChar w:fldCharType="separate"/>
        </w:r>
        <w:r>
          <w:rPr>
            <w:noProof/>
            <w:webHidden/>
          </w:rPr>
          <w:t>55</w:t>
        </w:r>
        <w:r>
          <w:rPr>
            <w:noProof/>
            <w:webHidden/>
          </w:rPr>
          <w:fldChar w:fldCharType="end"/>
        </w:r>
      </w:hyperlink>
    </w:p>
    <w:p w:rsidR="00BA600C" w:rsidRDefault="00BA600C">
      <w:pPr>
        <w:pStyle w:val="Abbildungsverzeichnis"/>
        <w:tabs>
          <w:tab w:val="right" w:leader="dot" w:pos="9062"/>
        </w:tabs>
        <w:rPr>
          <w:rFonts w:eastAsiaTheme="minorEastAsia"/>
          <w:noProof/>
          <w:lang w:val="de-DE" w:eastAsia="de-DE"/>
        </w:rPr>
      </w:pPr>
      <w:hyperlink w:anchor="_Toc435621142" w:history="1">
        <w:r w:rsidRPr="004C05A1">
          <w:rPr>
            <w:rStyle w:val="Hyperlink"/>
            <w:noProof/>
          </w:rPr>
          <w:t xml:space="preserve">Figure 24. </w:t>
        </w:r>
        <w:r w:rsidRPr="004C05A1">
          <w:rPr>
            <w:rStyle w:val="Hyperlink"/>
            <w:noProof/>
            <w:lang w:val="en-US"/>
          </w:rPr>
          <w:t>Defence priming of SA-independent genes.</w:t>
        </w:r>
        <w:r>
          <w:rPr>
            <w:noProof/>
            <w:webHidden/>
          </w:rPr>
          <w:tab/>
        </w:r>
        <w:r>
          <w:rPr>
            <w:noProof/>
            <w:webHidden/>
          </w:rPr>
          <w:fldChar w:fldCharType="begin"/>
        </w:r>
        <w:r>
          <w:rPr>
            <w:noProof/>
            <w:webHidden/>
          </w:rPr>
          <w:instrText xml:space="preserve"> PAGEREF _Toc435621142 \h </w:instrText>
        </w:r>
        <w:r>
          <w:rPr>
            <w:noProof/>
            <w:webHidden/>
          </w:rPr>
        </w:r>
        <w:r>
          <w:rPr>
            <w:noProof/>
            <w:webHidden/>
          </w:rPr>
          <w:fldChar w:fldCharType="separate"/>
        </w:r>
        <w:r>
          <w:rPr>
            <w:noProof/>
            <w:webHidden/>
          </w:rPr>
          <w:t>56</w:t>
        </w:r>
        <w:r>
          <w:rPr>
            <w:noProof/>
            <w:webHidden/>
          </w:rPr>
          <w:fldChar w:fldCharType="end"/>
        </w:r>
      </w:hyperlink>
    </w:p>
    <w:p w:rsidR="00BA600C" w:rsidRDefault="00BA600C">
      <w:pPr>
        <w:pStyle w:val="Abbildungsverzeichnis"/>
        <w:tabs>
          <w:tab w:val="right" w:leader="dot" w:pos="9062"/>
        </w:tabs>
        <w:rPr>
          <w:rFonts w:eastAsiaTheme="minorEastAsia"/>
          <w:noProof/>
          <w:lang w:val="de-DE" w:eastAsia="de-DE"/>
        </w:rPr>
      </w:pPr>
      <w:hyperlink w:anchor="_Toc435621143" w:history="1">
        <w:r w:rsidRPr="004C05A1">
          <w:rPr>
            <w:rStyle w:val="Hyperlink"/>
            <w:noProof/>
          </w:rPr>
          <w:t>Figure 25. Defence priming of SA-dependent genes.</w:t>
        </w:r>
        <w:r>
          <w:rPr>
            <w:noProof/>
            <w:webHidden/>
          </w:rPr>
          <w:tab/>
        </w:r>
        <w:r>
          <w:rPr>
            <w:noProof/>
            <w:webHidden/>
          </w:rPr>
          <w:fldChar w:fldCharType="begin"/>
        </w:r>
        <w:r>
          <w:rPr>
            <w:noProof/>
            <w:webHidden/>
          </w:rPr>
          <w:instrText xml:space="preserve"> PAGEREF _Toc435621143 \h </w:instrText>
        </w:r>
        <w:r>
          <w:rPr>
            <w:noProof/>
            <w:webHidden/>
          </w:rPr>
        </w:r>
        <w:r>
          <w:rPr>
            <w:noProof/>
            <w:webHidden/>
          </w:rPr>
          <w:fldChar w:fldCharType="separate"/>
        </w:r>
        <w:r>
          <w:rPr>
            <w:noProof/>
            <w:webHidden/>
          </w:rPr>
          <w:t>57</w:t>
        </w:r>
        <w:r>
          <w:rPr>
            <w:noProof/>
            <w:webHidden/>
          </w:rPr>
          <w:fldChar w:fldCharType="end"/>
        </w:r>
      </w:hyperlink>
    </w:p>
    <w:p w:rsidR="00BA600C" w:rsidRDefault="00BA600C">
      <w:pPr>
        <w:pStyle w:val="Abbildungsverzeichnis"/>
        <w:tabs>
          <w:tab w:val="right" w:leader="dot" w:pos="9062"/>
        </w:tabs>
        <w:rPr>
          <w:rFonts w:eastAsiaTheme="minorEastAsia"/>
          <w:noProof/>
          <w:lang w:val="de-DE" w:eastAsia="de-DE"/>
        </w:rPr>
      </w:pPr>
      <w:hyperlink w:anchor="_Toc435621144" w:history="1">
        <w:r w:rsidRPr="004C05A1">
          <w:rPr>
            <w:rStyle w:val="Hyperlink"/>
            <w:noProof/>
          </w:rPr>
          <w:t>Figure 26. Defence priming of partially SA-dependent genes.</w:t>
        </w:r>
        <w:r>
          <w:rPr>
            <w:noProof/>
            <w:webHidden/>
          </w:rPr>
          <w:tab/>
        </w:r>
        <w:r>
          <w:rPr>
            <w:noProof/>
            <w:webHidden/>
          </w:rPr>
          <w:fldChar w:fldCharType="begin"/>
        </w:r>
        <w:r>
          <w:rPr>
            <w:noProof/>
            <w:webHidden/>
          </w:rPr>
          <w:instrText xml:space="preserve"> PAGEREF _Toc435621144 \h </w:instrText>
        </w:r>
        <w:r>
          <w:rPr>
            <w:noProof/>
            <w:webHidden/>
          </w:rPr>
        </w:r>
        <w:r>
          <w:rPr>
            <w:noProof/>
            <w:webHidden/>
          </w:rPr>
          <w:fldChar w:fldCharType="separate"/>
        </w:r>
        <w:r>
          <w:rPr>
            <w:noProof/>
            <w:webHidden/>
          </w:rPr>
          <w:t>59</w:t>
        </w:r>
        <w:r>
          <w:rPr>
            <w:noProof/>
            <w:webHidden/>
          </w:rPr>
          <w:fldChar w:fldCharType="end"/>
        </w:r>
      </w:hyperlink>
    </w:p>
    <w:p w:rsidR="00BA600C" w:rsidRDefault="00BA600C">
      <w:pPr>
        <w:pStyle w:val="Abbildungsverzeichnis"/>
        <w:tabs>
          <w:tab w:val="right" w:leader="dot" w:pos="9062"/>
        </w:tabs>
        <w:rPr>
          <w:rFonts w:eastAsiaTheme="minorEastAsia"/>
          <w:noProof/>
          <w:lang w:val="de-DE" w:eastAsia="de-DE"/>
        </w:rPr>
      </w:pPr>
      <w:hyperlink w:anchor="_Toc435621145" w:history="1">
        <w:r w:rsidRPr="004C05A1">
          <w:rPr>
            <w:rStyle w:val="Hyperlink"/>
            <w:noProof/>
          </w:rPr>
          <w:t xml:space="preserve">Figure 27. </w:t>
        </w:r>
        <w:r w:rsidRPr="004C05A1">
          <w:rPr>
            <w:rStyle w:val="Hyperlink"/>
            <w:noProof/>
            <w:lang w:val="en-US"/>
          </w:rPr>
          <w:t>Categorisation of genes showing primed expression during SAR.</w:t>
        </w:r>
        <w:r>
          <w:rPr>
            <w:noProof/>
            <w:webHidden/>
          </w:rPr>
          <w:tab/>
        </w:r>
        <w:r>
          <w:rPr>
            <w:noProof/>
            <w:webHidden/>
          </w:rPr>
          <w:fldChar w:fldCharType="begin"/>
        </w:r>
        <w:r>
          <w:rPr>
            <w:noProof/>
            <w:webHidden/>
          </w:rPr>
          <w:instrText xml:space="preserve"> PAGEREF _Toc435621145 \h </w:instrText>
        </w:r>
        <w:r>
          <w:rPr>
            <w:noProof/>
            <w:webHidden/>
          </w:rPr>
        </w:r>
        <w:r>
          <w:rPr>
            <w:noProof/>
            <w:webHidden/>
          </w:rPr>
          <w:fldChar w:fldCharType="separate"/>
        </w:r>
        <w:r>
          <w:rPr>
            <w:noProof/>
            <w:webHidden/>
          </w:rPr>
          <w:t>70</w:t>
        </w:r>
        <w:r>
          <w:rPr>
            <w:noProof/>
            <w:webHidden/>
          </w:rPr>
          <w:fldChar w:fldCharType="end"/>
        </w:r>
      </w:hyperlink>
    </w:p>
    <w:p w:rsidR="00BA600C" w:rsidRDefault="00BA600C">
      <w:pPr>
        <w:pStyle w:val="Abbildungsverzeichnis"/>
        <w:tabs>
          <w:tab w:val="right" w:leader="dot" w:pos="9062"/>
        </w:tabs>
        <w:rPr>
          <w:rFonts w:eastAsiaTheme="minorEastAsia"/>
          <w:noProof/>
          <w:lang w:val="de-DE" w:eastAsia="de-DE"/>
        </w:rPr>
      </w:pPr>
      <w:hyperlink w:anchor="_Toc435621146" w:history="1">
        <w:r w:rsidRPr="004C05A1">
          <w:rPr>
            <w:rStyle w:val="Hyperlink"/>
            <w:noProof/>
          </w:rPr>
          <w:t xml:space="preserve">Figure 28. </w:t>
        </w:r>
        <w:r w:rsidRPr="004C05A1">
          <w:rPr>
            <w:rStyle w:val="Hyperlink"/>
            <w:noProof/>
            <w:lang w:val="en-US"/>
          </w:rPr>
          <w:t>Regulation of SAR-associated defence priming.</w:t>
        </w:r>
        <w:r>
          <w:rPr>
            <w:noProof/>
            <w:webHidden/>
          </w:rPr>
          <w:tab/>
        </w:r>
        <w:r>
          <w:rPr>
            <w:noProof/>
            <w:webHidden/>
          </w:rPr>
          <w:fldChar w:fldCharType="begin"/>
        </w:r>
        <w:r>
          <w:rPr>
            <w:noProof/>
            <w:webHidden/>
          </w:rPr>
          <w:instrText xml:space="preserve"> PAGEREF _Toc435621146 \h </w:instrText>
        </w:r>
        <w:r>
          <w:rPr>
            <w:noProof/>
            <w:webHidden/>
          </w:rPr>
        </w:r>
        <w:r>
          <w:rPr>
            <w:noProof/>
            <w:webHidden/>
          </w:rPr>
          <w:fldChar w:fldCharType="separate"/>
        </w:r>
        <w:r>
          <w:rPr>
            <w:noProof/>
            <w:webHidden/>
          </w:rPr>
          <w:t>71</w:t>
        </w:r>
        <w:r>
          <w:rPr>
            <w:noProof/>
            <w:webHidden/>
          </w:rPr>
          <w:fldChar w:fldCharType="end"/>
        </w:r>
      </w:hyperlink>
    </w:p>
    <w:p w:rsidR="00BA600C" w:rsidRDefault="00BA600C">
      <w:pPr>
        <w:pStyle w:val="Abbildungsverzeichnis"/>
        <w:tabs>
          <w:tab w:val="right" w:leader="dot" w:pos="9062"/>
        </w:tabs>
        <w:rPr>
          <w:rFonts w:eastAsiaTheme="minorEastAsia"/>
          <w:noProof/>
          <w:lang w:val="de-DE" w:eastAsia="de-DE"/>
        </w:rPr>
      </w:pPr>
      <w:hyperlink w:anchor="_Toc435621147" w:history="1">
        <w:r w:rsidRPr="004C05A1">
          <w:rPr>
            <w:rStyle w:val="Hyperlink"/>
            <w:noProof/>
          </w:rPr>
          <w:t>Figure 29. Pip-t</w:t>
        </w:r>
        <w:r w:rsidRPr="004C05A1">
          <w:rPr>
            <w:rStyle w:val="Hyperlink"/>
            <w:noProof/>
            <w:lang w:val="en-US"/>
          </w:rPr>
          <w:t xml:space="preserve">reatment of </w:t>
        </w:r>
        <w:r w:rsidRPr="004C05A1">
          <w:rPr>
            <w:rStyle w:val="Hyperlink"/>
            <w:i/>
            <w:noProof/>
            <w:lang w:val="en-US"/>
          </w:rPr>
          <w:t>Arabidopsis</w:t>
        </w:r>
        <w:r w:rsidRPr="004C05A1">
          <w:rPr>
            <w:rStyle w:val="Hyperlink"/>
            <w:noProof/>
            <w:lang w:val="en-US"/>
          </w:rPr>
          <w:t xml:space="preserve"> leads to priming of gene expression and camalexin accumulation in WT plants, but not in </w:t>
        </w:r>
        <w:r w:rsidRPr="004C05A1">
          <w:rPr>
            <w:rStyle w:val="Hyperlink"/>
            <w:i/>
            <w:noProof/>
            <w:lang w:val="en-US"/>
          </w:rPr>
          <w:t>fmo1.</w:t>
        </w:r>
        <w:r>
          <w:rPr>
            <w:noProof/>
            <w:webHidden/>
          </w:rPr>
          <w:tab/>
        </w:r>
        <w:r>
          <w:rPr>
            <w:noProof/>
            <w:webHidden/>
          </w:rPr>
          <w:fldChar w:fldCharType="begin"/>
        </w:r>
        <w:r>
          <w:rPr>
            <w:noProof/>
            <w:webHidden/>
          </w:rPr>
          <w:instrText xml:space="preserve"> PAGEREF _Toc435621147 \h </w:instrText>
        </w:r>
        <w:r>
          <w:rPr>
            <w:noProof/>
            <w:webHidden/>
          </w:rPr>
        </w:r>
        <w:r>
          <w:rPr>
            <w:noProof/>
            <w:webHidden/>
          </w:rPr>
          <w:fldChar w:fldCharType="separate"/>
        </w:r>
        <w:r>
          <w:rPr>
            <w:noProof/>
            <w:webHidden/>
          </w:rPr>
          <w:t>73</w:t>
        </w:r>
        <w:r>
          <w:rPr>
            <w:noProof/>
            <w:webHidden/>
          </w:rPr>
          <w:fldChar w:fldCharType="end"/>
        </w:r>
      </w:hyperlink>
    </w:p>
    <w:p w:rsidR="00BA600C" w:rsidRDefault="00BA600C">
      <w:pPr>
        <w:pStyle w:val="Abbildungsverzeichnis"/>
        <w:tabs>
          <w:tab w:val="right" w:leader="dot" w:pos="9062"/>
        </w:tabs>
        <w:rPr>
          <w:rFonts w:eastAsiaTheme="minorEastAsia"/>
          <w:noProof/>
          <w:lang w:val="de-DE" w:eastAsia="de-DE"/>
        </w:rPr>
      </w:pPr>
      <w:hyperlink w:anchor="_Toc435621148" w:history="1">
        <w:r w:rsidRPr="004C05A1">
          <w:rPr>
            <w:rStyle w:val="Hyperlink"/>
            <w:noProof/>
          </w:rPr>
          <w:t xml:space="preserve">Figure 30. Role of </w:t>
        </w:r>
        <w:r w:rsidRPr="004C05A1">
          <w:rPr>
            <w:rStyle w:val="Hyperlink"/>
            <w:noProof/>
            <w:lang w:val="en-US"/>
          </w:rPr>
          <w:t>MPK3 and MPK6 in Pip-induced resistance and SAR-associated defence priming.</w:t>
        </w:r>
        <w:r>
          <w:rPr>
            <w:noProof/>
            <w:webHidden/>
          </w:rPr>
          <w:tab/>
        </w:r>
        <w:r>
          <w:rPr>
            <w:noProof/>
            <w:webHidden/>
          </w:rPr>
          <w:fldChar w:fldCharType="begin"/>
        </w:r>
        <w:r>
          <w:rPr>
            <w:noProof/>
            <w:webHidden/>
          </w:rPr>
          <w:instrText xml:space="preserve"> PAGEREF _Toc435621148 \h </w:instrText>
        </w:r>
        <w:r>
          <w:rPr>
            <w:noProof/>
            <w:webHidden/>
          </w:rPr>
        </w:r>
        <w:r>
          <w:rPr>
            <w:noProof/>
            <w:webHidden/>
          </w:rPr>
          <w:fldChar w:fldCharType="separate"/>
        </w:r>
        <w:r>
          <w:rPr>
            <w:noProof/>
            <w:webHidden/>
          </w:rPr>
          <w:t>74</w:t>
        </w:r>
        <w:r>
          <w:rPr>
            <w:noProof/>
            <w:webHidden/>
          </w:rPr>
          <w:fldChar w:fldCharType="end"/>
        </w:r>
      </w:hyperlink>
    </w:p>
    <w:p w:rsidR="00BA600C" w:rsidRDefault="00BA600C">
      <w:pPr>
        <w:pStyle w:val="Abbildungsverzeichnis"/>
        <w:tabs>
          <w:tab w:val="right" w:leader="dot" w:pos="9062"/>
        </w:tabs>
        <w:rPr>
          <w:rFonts w:eastAsiaTheme="minorEastAsia"/>
          <w:noProof/>
          <w:lang w:val="de-DE" w:eastAsia="de-DE"/>
        </w:rPr>
      </w:pPr>
      <w:hyperlink w:anchor="_Toc435621149" w:history="1">
        <w:r w:rsidRPr="004C05A1">
          <w:rPr>
            <w:rStyle w:val="Hyperlink"/>
            <w:noProof/>
          </w:rPr>
          <w:t xml:space="preserve">Figure 31. Reduced </w:t>
        </w:r>
        <w:r w:rsidRPr="004C05A1">
          <w:rPr>
            <w:rStyle w:val="Hyperlink"/>
            <w:noProof/>
            <w:lang w:val="en-US"/>
          </w:rPr>
          <w:t xml:space="preserve">activity of MPK3 and MPK6 in </w:t>
        </w:r>
        <w:r w:rsidRPr="004C05A1">
          <w:rPr>
            <w:rStyle w:val="Hyperlink"/>
            <w:i/>
            <w:noProof/>
            <w:lang w:val="en-US"/>
          </w:rPr>
          <w:t>ald1</w:t>
        </w:r>
        <w:r w:rsidRPr="004C05A1">
          <w:rPr>
            <w:rStyle w:val="Hyperlink"/>
            <w:noProof/>
            <w:lang w:val="en-US"/>
          </w:rPr>
          <w:t xml:space="preserve"> and </w:t>
        </w:r>
        <w:r w:rsidRPr="004C05A1">
          <w:rPr>
            <w:rStyle w:val="Hyperlink"/>
            <w:i/>
            <w:noProof/>
            <w:lang w:val="en-US"/>
          </w:rPr>
          <w:t>fmo1</w:t>
        </w:r>
        <w:r w:rsidRPr="004C05A1">
          <w:rPr>
            <w:rStyle w:val="Hyperlink"/>
            <w:noProof/>
            <w:lang w:val="en-US"/>
          </w:rPr>
          <w:t xml:space="preserve"> upon infection with </w:t>
        </w:r>
        <w:r w:rsidRPr="004C05A1">
          <w:rPr>
            <w:rStyle w:val="Hyperlink"/>
            <w:i/>
            <w:noProof/>
            <w:lang w:val="en-US"/>
          </w:rPr>
          <w:t>Psm.</w:t>
        </w:r>
        <w:r>
          <w:rPr>
            <w:noProof/>
            <w:webHidden/>
          </w:rPr>
          <w:tab/>
        </w:r>
        <w:r>
          <w:rPr>
            <w:noProof/>
            <w:webHidden/>
          </w:rPr>
          <w:fldChar w:fldCharType="begin"/>
        </w:r>
        <w:r>
          <w:rPr>
            <w:noProof/>
            <w:webHidden/>
          </w:rPr>
          <w:instrText xml:space="preserve"> PAGEREF _Toc435621149 \h </w:instrText>
        </w:r>
        <w:r>
          <w:rPr>
            <w:noProof/>
            <w:webHidden/>
          </w:rPr>
        </w:r>
        <w:r>
          <w:rPr>
            <w:noProof/>
            <w:webHidden/>
          </w:rPr>
          <w:fldChar w:fldCharType="separate"/>
        </w:r>
        <w:r>
          <w:rPr>
            <w:noProof/>
            <w:webHidden/>
          </w:rPr>
          <w:t>76</w:t>
        </w:r>
        <w:r>
          <w:rPr>
            <w:noProof/>
            <w:webHidden/>
          </w:rPr>
          <w:fldChar w:fldCharType="end"/>
        </w:r>
      </w:hyperlink>
    </w:p>
    <w:p w:rsidR="00BA600C" w:rsidRDefault="00BA600C">
      <w:pPr>
        <w:pStyle w:val="Abbildungsverzeichnis"/>
        <w:tabs>
          <w:tab w:val="right" w:leader="dot" w:pos="9062"/>
        </w:tabs>
        <w:rPr>
          <w:rFonts w:eastAsiaTheme="minorEastAsia"/>
          <w:noProof/>
          <w:lang w:val="de-DE" w:eastAsia="de-DE"/>
        </w:rPr>
      </w:pPr>
      <w:hyperlink w:anchor="_Toc435621150" w:history="1">
        <w:r w:rsidRPr="004C05A1">
          <w:rPr>
            <w:rStyle w:val="Hyperlink"/>
            <w:noProof/>
          </w:rPr>
          <w:t xml:space="preserve">Figure 32. </w:t>
        </w:r>
        <w:r w:rsidRPr="004C05A1">
          <w:rPr>
            <w:rStyle w:val="Hyperlink"/>
            <w:noProof/>
            <w:lang w:val="en-US"/>
          </w:rPr>
          <w:t>Induction of local SA- and Pip-accumulation by activation of MPK3 and MPK6.</w:t>
        </w:r>
        <w:r>
          <w:rPr>
            <w:noProof/>
            <w:webHidden/>
          </w:rPr>
          <w:tab/>
        </w:r>
        <w:r>
          <w:rPr>
            <w:noProof/>
            <w:webHidden/>
          </w:rPr>
          <w:fldChar w:fldCharType="begin"/>
        </w:r>
        <w:r>
          <w:rPr>
            <w:noProof/>
            <w:webHidden/>
          </w:rPr>
          <w:instrText xml:space="preserve"> PAGEREF _Toc435621150 \h </w:instrText>
        </w:r>
        <w:r>
          <w:rPr>
            <w:noProof/>
            <w:webHidden/>
          </w:rPr>
        </w:r>
        <w:r>
          <w:rPr>
            <w:noProof/>
            <w:webHidden/>
          </w:rPr>
          <w:fldChar w:fldCharType="separate"/>
        </w:r>
        <w:r>
          <w:rPr>
            <w:noProof/>
            <w:webHidden/>
          </w:rPr>
          <w:t>77</w:t>
        </w:r>
        <w:r>
          <w:rPr>
            <w:noProof/>
            <w:webHidden/>
          </w:rPr>
          <w:fldChar w:fldCharType="end"/>
        </w:r>
      </w:hyperlink>
    </w:p>
    <w:p w:rsidR="00BA600C" w:rsidRDefault="00BA600C">
      <w:pPr>
        <w:pStyle w:val="Abbildungsverzeichnis"/>
        <w:tabs>
          <w:tab w:val="right" w:leader="dot" w:pos="9062"/>
        </w:tabs>
        <w:rPr>
          <w:rFonts w:eastAsiaTheme="minorEastAsia"/>
          <w:noProof/>
          <w:lang w:val="de-DE" w:eastAsia="de-DE"/>
        </w:rPr>
      </w:pPr>
      <w:hyperlink w:anchor="_Toc435621151" w:history="1">
        <w:r w:rsidRPr="004C05A1">
          <w:rPr>
            <w:rStyle w:val="Hyperlink"/>
            <w:noProof/>
          </w:rPr>
          <w:t xml:space="preserve">Figure 33. Accumulation of numerous defence-related metabolites after </w:t>
        </w:r>
        <w:r w:rsidRPr="004C05A1">
          <w:rPr>
            <w:rStyle w:val="Hyperlink"/>
            <w:noProof/>
            <w:lang w:val="en-US"/>
          </w:rPr>
          <w:t xml:space="preserve">infection of </w:t>
        </w:r>
        <w:r w:rsidRPr="004C05A1">
          <w:rPr>
            <w:rStyle w:val="Hyperlink"/>
            <w:i/>
            <w:noProof/>
            <w:lang w:val="en-US"/>
          </w:rPr>
          <w:t>Arabidopsis thaliana</w:t>
        </w:r>
        <w:r w:rsidRPr="004C05A1">
          <w:rPr>
            <w:rStyle w:val="Hyperlink"/>
            <w:noProof/>
            <w:lang w:val="en-US"/>
          </w:rPr>
          <w:t xml:space="preserve"> with the necrotrophic fungus </w:t>
        </w:r>
        <w:r w:rsidRPr="004C05A1">
          <w:rPr>
            <w:rStyle w:val="Hyperlink"/>
            <w:i/>
            <w:noProof/>
            <w:lang w:val="en-US"/>
          </w:rPr>
          <w:t>Botrytis cinerea</w:t>
        </w:r>
        <w:r w:rsidRPr="004C05A1">
          <w:rPr>
            <w:rStyle w:val="Hyperlink"/>
            <w:noProof/>
            <w:lang w:val="en-US"/>
          </w:rPr>
          <w:t>.</w:t>
        </w:r>
        <w:r>
          <w:rPr>
            <w:noProof/>
            <w:webHidden/>
          </w:rPr>
          <w:tab/>
        </w:r>
        <w:r>
          <w:rPr>
            <w:noProof/>
            <w:webHidden/>
          </w:rPr>
          <w:fldChar w:fldCharType="begin"/>
        </w:r>
        <w:r>
          <w:rPr>
            <w:noProof/>
            <w:webHidden/>
          </w:rPr>
          <w:instrText xml:space="preserve"> PAGEREF _Toc435621151 \h </w:instrText>
        </w:r>
        <w:r>
          <w:rPr>
            <w:noProof/>
            <w:webHidden/>
          </w:rPr>
        </w:r>
        <w:r>
          <w:rPr>
            <w:noProof/>
            <w:webHidden/>
          </w:rPr>
          <w:fldChar w:fldCharType="separate"/>
        </w:r>
        <w:r>
          <w:rPr>
            <w:noProof/>
            <w:webHidden/>
          </w:rPr>
          <w:t>78</w:t>
        </w:r>
        <w:r>
          <w:rPr>
            <w:noProof/>
            <w:webHidden/>
          </w:rPr>
          <w:fldChar w:fldCharType="end"/>
        </w:r>
      </w:hyperlink>
    </w:p>
    <w:p w:rsidR="00BA600C" w:rsidRDefault="00BA600C">
      <w:pPr>
        <w:pStyle w:val="Abbildungsverzeichnis"/>
        <w:tabs>
          <w:tab w:val="right" w:leader="dot" w:pos="9062"/>
        </w:tabs>
        <w:rPr>
          <w:rFonts w:eastAsiaTheme="minorEastAsia"/>
          <w:noProof/>
          <w:lang w:val="de-DE" w:eastAsia="de-DE"/>
        </w:rPr>
      </w:pPr>
      <w:hyperlink w:anchor="_Toc435621152" w:history="1">
        <w:r w:rsidRPr="004C05A1">
          <w:rPr>
            <w:rStyle w:val="Hyperlink"/>
            <w:noProof/>
          </w:rPr>
          <w:t xml:space="preserve">Figure 34. </w:t>
        </w:r>
        <w:r w:rsidRPr="004C05A1">
          <w:rPr>
            <w:rStyle w:val="Hyperlink"/>
            <w:noProof/>
            <w:lang w:val="en-US"/>
          </w:rPr>
          <w:t xml:space="preserve">Infection of </w:t>
        </w:r>
        <w:r w:rsidRPr="004C05A1">
          <w:rPr>
            <w:rStyle w:val="Hyperlink"/>
            <w:i/>
            <w:noProof/>
            <w:lang w:val="en-US"/>
          </w:rPr>
          <w:t>Arabidopsis thaliana</w:t>
        </w:r>
        <w:r w:rsidRPr="004C05A1">
          <w:rPr>
            <w:rStyle w:val="Hyperlink"/>
            <w:noProof/>
            <w:lang w:val="en-US"/>
          </w:rPr>
          <w:t xml:space="preserve"> Col-0 with the necrotrophic fungus </w:t>
        </w:r>
        <w:r w:rsidRPr="004C05A1">
          <w:rPr>
            <w:rStyle w:val="Hyperlink"/>
            <w:i/>
            <w:noProof/>
            <w:lang w:val="en-US"/>
          </w:rPr>
          <w:t>B. cinerea</w:t>
        </w:r>
        <w:r w:rsidRPr="004C05A1">
          <w:rPr>
            <w:rStyle w:val="Hyperlink"/>
            <w:noProof/>
            <w:lang w:val="en-US"/>
          </w:rPr>
          <w:t xml:space="preserve"> leads to the accumulation of a number of unknown metabolites.</w:t>
        </w:r>
        <w:r>
          <w:rPr>
            <w:noProof/>
            <w:webHidden/>
          </w:rPr>
          <w:tab/>
        </w:r>
        <w:r>
          <w:rPr>
            <w:noProof/>
            <w:webHidden/>
          </w:rPr>
          <w:fldChar w:fldCharType="begin"/>
        </w:r>
        <w:r>
          <w:rPr>
            <w:noProof/>
            <w:webHidden/>
          </w:rPr>
          <w:instrText xml:space="preserve"> PAGEREF _Toc435621152 \h </w:instrText>
        </w:r>
        <w:r>
          <w:rPr>
            <w:noProof/>
            <w:webHidden/>
          </w:rPr>
        </w:r>
        <w:r>
          <w:rPr>
            <w:noProof/>
            <w:webHidden/>
          </w:rPr>
          <w:fldChar w:fldCharType="separate"/>
        </w:r>
        <w:r>
          <w:rPr>
            <w:noProof/>
            <w:webHidden/>
          </w:rPr>
          <w:t>80</w:t>
        </w:r>
        <w:r>
          <w:rPr>
            <w:noProof/>
            <w:webHidden/>
          </w:rPr>
          <w:fldChar w:fldCharType="end"/>
        </w:r>
      </w:hyperlink>
    </w:p>
    <w:p w:rsidR="00BA600C" w:rsidRDefault="00BA600C">
      <w:pPr>
        <w:pStyle w:val="Abbildungsverzeichnis"/>
        <w:tabs>
          <w:tab w:val="right" w:leader="dot" w:pos="9062"/>
        </w:tabs>
        <w:rPr>
          <w:rFonts w:eastAsiaTheme="minorEastAsia"/>
          <w:noProof/>
          <w:lang w:val="de-DE" w:eastAsia="de-DE"/>
        </w:rPr>
      </w:pPr>
      <w:hyperlink w:anchor="_Toc435621153" w:history="1">
        <w:r w:rsidRPr="004C05A1">
          <w:rPr>
            <w:rStyle w:val="Hyperlink"/>
            <w:noProof/>
          </w:rPr>
          <w:t xml:space="preserve">Figure 35. </w:t>
        </w:r>
        <w:r w:rsidRPr="004C05A1">
          <w:rPr>
            <w:rStyle w:val="Hyperlink"/>
            <w:noProof/>
            <w:lang w:val="en-US"/>
          </w:rPr>
          <w:t xml:space="preserve">Defence signalling in the </w:t>
        </w:r>
        <w:r w:rsidRPr="004C05A1">
          <w:rPr>
            <w:rStyle w:val="Hyperlink"/>
            <w:i/>
            <w:noProof/>
            <w:lang w:val="en-US"/>
          </w:rPr>
          <w:t>Arabidopsis-Botrytis</w:t>
        </w:r>
        <w:r w:rsidRPr="004C05A1">
          <w:rPr>
            <w:rStyle w:val="Hyperlink"/>
            <w:noProof/>
            <w:lang w:val="en-US"/>
          </w:rPr>
          <w:t xml:space="preserve"> interaction.</w:t>
        </w:r>
        <w:r>
          <w:rPr>
            <w:noProof/>
            <w:webHidden/>
          </w:rPr>
          <w:tab/>
        </w:r>
        <w:r>
          <w:rPr>
            <w:noProof/>
            <w:webHidden/>
          </w:rPr>
          <w:fldChar w:fldCharType="begin"/>
        </w:r>
        <w:r>
          <w:rPr>
            <w:noProof/>
            <w:webHidden/>
          </w:rPr>
          <w:instrText xml:space="preserve"> PAGEREF _Toc435621153 \h </w:instrText>
        </w:r>
        <w:r>
          <w:rPr>
            <w:noProof/>
            <w:webHidden/>
          </w:rPr>
        </w:r>
        <w:r>
          <w:rPr>
            <w:noProof/>
            <w:webHidden/>
          </w:rPr>
          <w:fldChar w:fldCharType="separate"/>
        </w:r>
        <w:r>
          <w:rPr>
            <w:noProof/>
            <w:webHidden/>
          </w:rPr>
          <w:t>81</w:t>
        </w:r>
        <w:r>
          <w:rPr>
            <w:noProof/>
            <w:webHidden/>
          </w:rPr>
          <w:fldChar w:fldCharType="end"/>
        </w:r>
      </w:hyperlink>
    </w:p>
    <w:p w:rsidR="00BA600C" w:rsidRDefault="00BA600C">
      <w:pPr>
        <w:pStyle w:val="Abbildungsverzeichnis"/>
        <w:tabs>
          <w:tab w:val="right" w:leader="dot" w:pos="9062"/>
        </w:tabs>
        <w:rPr>
          <w:rFonts w:eastAsiaTheme="minorEastAsia"/>
          <w:noProof/>
          <w:lang w:val="de-DE" w:eastAsia="de-DE"/>
        </w:rPr>
      </w:pPr>
      <w:hyperlink w:anchor="_Toc435621154" w:history="1">
        <w:r w:rsidRPr="004C05A1">
          <w:rPr>
            <w:rStyle w:val="Hyperlink"/>
            <w:b/>
            <w:bCs/>
            <w:noProof/>
          </w:rPr>
          <w:t>Figure 36</w:t>
        </w:r>
        <w:r w:rsidRPr="004C05A1">
          <w:rPr>
            <w:rStyle w:val="Hyperlink"/>
            <w:b/>
            <w:noProof/>
          </w:rPr>
          <w:t>.</w:t>
        </w:r>
        <w:r w:rsidRPr="004C05A1">
          <w:rPr>
            <w:rStyle w:val="Hyperlink"/>
            <w:b/>
            <w:bCs/>
            <w:noProof/>
          </w:rPr>
          <w:t xml:space="preserve"> </w:t>
        </w:r>
        <w:r w:rsidRPr="004C05A1">
          <w:rPr>
            <w:rStyle w:val="Hyperlink"/>
            <w:b/>
            <w:bCs/>
            <w:noProof/>
            <w:lang w:val="en-US"/>
          </w:rPr>
          <w:t xml:space="preserve">Pip-induced resistance against the necrotrophic fungus </w:t>
        </w:r>
        <w:r w:rsidRPr="004C05A1">
          <w:rPr>
            <w:rStyle w:val="Hyperlink"/>
            <w:b/>
            <w:bCs/>
            <w:i/>
            <w:noProof/>
            <w:lang w:val="en-US"/>
          </w:rPr>
          <w:t>B. cinerea</w:t>
        </w:r>
        <w:r w:rsidRPr="004C05A1">
          <w:rPr>
            <w:rStyle w:val="Hyperlink"/>
            <w:b/>
            <w:bCs/>
            <w:noProof/>
            <w:lang w:val="en-US"/>
          </w:rPr>
          <w:t>.</w:t>
        </w:r>
        <w:r>
          <w:rPr>
            <w:noProof/>
            <w:webHidden/>
          </w:rPr>
          <w:tab/>
        </w:r>
        <w:r>
          <w:rPr>
            <w:noProof/>
            <w:webHidden/>
          </w:rPr>
          <w:fldChar w:fldCharType="begin"/>
        </w:r>
        <w:r>
          <w:rPr>
            <w:noProof/>
            <w:webHidden/>
          </w:rPr>
          <w:instrText xml:space="preserve"> PAGEREF _Toc435621154 \h </w:instrText>
        </w:r>
        <w:r>
          <w:rPr>
            <w:noProof/>
            <w:webHidden/>
          </w:rPr>
        </w:r>
        <w:r>
          <w:rPr>
            <w:noProof/>
            <w:webHidden/>
          </w:rPr>
          <w:fldChar w:fldCharType="separate"/>
        </w:r>
        <w:r>
          <w:rPr>
            <w:noProof/>
            <w:webHidden/>
          </w:rPr>
          <w:t>83</w:t>
        </w:r>
        <w:r>
          <w:rPr>
            <w:noProof/>
            <w:webHidden/>
          </w:rPr>
          <w:fldChar w:fldCharType="end"/>
        </w:r>
      </w:hyperlink>
    </w:p>
    <w:p w:rsidR="00BA600C" w:rsidRDefault="00BA600C">
      <w:pPr>
        <w:pStyle w:val="Abbildungsverzeichnis"/>
        <w:tabs>
          <w:tab w:val="right" w:leader="dot" w:pos="9062"/>
        </w:tabs>
        <w:rPr>
          <w:rFonts w:eastAsiaTheme="minorEastAsia"/>
          <w:noProof/>
          <w:lang w:val="de-DE" w:eastAsia="de-DE"/>
        </w:rPr>
      </w:pPr>
      <w:hyperlink w:anchor="_Toc435621155" w:history="1">
        <w:r w:rsidRPr="004C05A1">
          <w:rPr>
            <w:rStyle w:val="Hyperlink"/>
            <w:noProof/>
          </w:rPr>
          <w:t xml:space="preserve">Figure 37. </w:t>
        </w:r>
        <w:r w:rsidRPr="004C05A1">
          <w:rPr>
            <w:rStyle w:val="Hyperlink"/>
            <w:noProof/>
            <w:lang w:val="en-US"/>
          </w:rPr>
          <w:t xml:space="preserve">Pip induces resistance to </w:t>
        </w:r>
        <w:r w:rsidRPr="004C05A1">
          <w:rPr>
            <w:rStyle w:val="Hyperlink"/>
            <w:i/>
            <w:noProof/>
            <w:lang w:val="en-US"/>
          </w:rPr>
          <w:t>B. cinerea</w:t>
        </w:r>
        <w:r w:rsidRPr="004C05A1">
          <w:rPr>
            <w:rStyle w:val="Hyperlink"/>
            <w:noProof/>
            <w:lang w:val="en-US"/>
          </w:rPr>
          <w:t xml:space="preserve"> in Col-0, but exacerbates symptoms in the mutant lines </w:t>
        </w:r>
        <w:r w:rsidRPr="004C05A1">
          <w:rPr>
            <w:rStyle w:val="Hyperlink"/>
            <w:i/>
            <w:noProof/>
            <w:lang w:val="en-US"/>
          </w:rPr>
          <w:t>coi1, pad2</w:t>
        </w:r>
        <w:r w:rsidRPr="004C05A1">
          <w:rPr>
            <w:rStyle w:val="Hyperlink"/>
            <w:noProof/>
            <w:lang w:val="en-US"/>
          </w:rPr>
          <w:t xml:space="preserve">, and </w:t>
        </w:r>
        <w:r w:rsidRPr="004C05A1">
          <w:rPr>
            <w:rStyle w:val="Hyperlink"/>
            <w:i/>
            <w:noProof/>
            <w:lang w:val="en-US"/>
          </w:rPr>
          <w:t>sid2</w:t>
        </w:r>
        <w:r w:rsidRPr="004C05A1">
          <w:rPr>
            <w:rStyle w:val="Hyperlink"/>
            <w:noProof/>
            <w:lang w:val="en-US"/>
          </w:rPr>
          <w:t>.</w:t>
        </w:r>
        <w:r>
          <w:rPr>
            <w:noProof/>
            <w:webHidden/>
          </w:rPr>
          <w:tab/>
        </w:r>
        <w:r>
          <w:rPr>
            <w:noProof/>
            <w:webHidden/>
          </w:rPr>
          <w:fldChar w:fldCharType="begin"/>
        </w:r>
        <w:r>
          <w:rPr>
            <w:noProof/>
            <w:webHidden/>
          </w:rPr>
          <w:instrText xml:space="preserve"> PAGEREF _Toc435621155 \h </w:instrText>
        </w:r>
        <w:r>
          <w:rPr>
            <w:noProof/>
            <w:webHidden/>
          </w:rPr>
        </w:r>
        <w:r>
          <w:rPr>
            <w:noProof/>
            <w:webHidden/>
          </w:rPr>
          <w:fldChar w:fldCharType="separate"/>
        </w:r>
        <w:r>
          <w:rPr>
            <w:noProof/>
            <w:webHidden/>
          </w:rPr>
          <w:t>84</w:t>
        </w:r>
        <w:r>
          <w:rPr>
            <w:noProof/>
            <w:webHidden/>
          </w:rPr>
          <w:fldChar w:fldCharType="end"/>
        </w:r>
      </w:hyperlink>
    </w:p>
    <w:p w:rsidR="00BA600C" w:rsidRDefault="00BA600C">
      <w:pPr>
        <w:pStyle w:val="Abbildungsverzeichnis"/>
        <w:tabs>
          <w:tab w:val="right" w:leader="dot" w:pos="9062"/>
        </w:tabs>
        <w:rPr>
          <w:rFonts w:eastAsiaTheme="minorEastAsia"/>
          <w:noProof/>
          <w:lang w:val="de-DE" w:eastAsia="de-DE"/>
        </w:rPr>
      </w:pPr>
      <w:hyperlink w:anchor="_Toc435621156" w:history="1">
        <w:r w:rsidRPr="004C05A1">
          <w:rPr>
            <w:rStyle w:val="Hyperlink"/>
            <w:noProof/>
          </w:rPr>
          <w:t xml:space="preserve">Figure 38. </w:t>
        </w:r>
        <w:r w:rsidRPr="004C05A1">
          <w:rPr>
            <w:rStyle w:val="Hyperlink"/>
            <w:noProof/>
            <w:lang w:val="en-US"/>
          </w:rPr>
          <w:t xml:space="preserve">Distinct differences in defence metabolite accumulation upon infection of </w:t>
        </w:r>
        <w:r w:rsidRPr="004C05A1">
          <w:rPr>
            <w:rStyle w:val="Hyperlink"/>
            <w:i/>
            <w:noProof/>
            <w:lang w:val="en-US"/>
          </w:rPr>
          <w:t>Arabidopsis</w:t>
        </w:r>
        <w:r w:rsidRPr="004C05A1">
          <w:rPr>
            <w:rStyle w:val="Hyperlink"/>
            <w:noProof/>
            <w:lang w:val="en-US"/>
          </w:rPr>
          <w:t xml:space="preserve"> with a virulent</w:t>
        </w:r>
        <w:r w:rsidRPr="004C05A1">
          <w:rPr>
            <w:rStyle w:val="Hyperlink"/>
            <w:i/>
            <w:noProof/>
            <w:lang w:val="en-US"/>
          </w:rPr>
          <w:t xml:space="preserve"> (</w:t>
        </w:r>
        <w:r w:rsidRPr="004C05A1">
          <w:rPr>
            <w:rStyle w:val="Hyperlink"/>
            <w:noProof/>
            <w:lang w:val="en-US"/>
          </w:rPr>
          <w:t xml:space="preserve">Noco2) and an avirulent (Cala2) </w:t>
        </w:r>
        <w:r w:rsidRPr="004C05A1">
          <w:rPr>
            <w:rStyle w:val="Hyperlink"/>
            <w:i/>
            <w:noProof/>
            <w:lang w:val="en-US"/>
          </w:rPr>
          <w:t>Hpa</w:t>
        </w:r>
        <w:r w:rsidRPr="004C05A1">
          <w:rPr>
            <w:rStyle w:val="Hyperlink"/>
            <w:noProof/>
            <w:lang w:val="en-US"/>
          </w:rPr>
          <w:t xml:space="preserve"> strain.</w:t>
        </w:r>
        <w:r>
          <w:rPr>
            <w:noProof/>
            <w:webHidden/>
          </w:rPr>
          <w:tab/>
        </w:r>
        <w:r>
          <w:rPr>
            <w:noProof/>
            <w:webHidden/>
          </w:rPr>
          <w:fldChar w:fldCharType="begin"/>
        </w:r>
        <w:r>
          <w:rPr>
            <w:noProof/>
            <w:webHidden/>
          </w:rPr>
          <w:instrText xml:space="preserve"> PAGEREF _Toc435621156 \h </w:instrText>
        </w:r>
        <w:r>
          <w:rPr>
            <w:noProof/>
            <w:webHidden/>
          </w:rPr>
        </w:r>
        <w:r>
          <w:rPr>
            <w:noProof/>
            <w:webHidden/>
          </w:rPr>
          <w:fldChar w:fldCharType="separate"/>
        </w:r>
        <w:r>
          <w:rPr>
            <w:noProof/>
            <w:webHidden/>
          </w:rPr>
          <w:t>86</w:t>
        </w:r>
        <w:r>
          <w:rPr>
            <w:noProof/>
            <w:webHidden/>
          </w:rPr>
          <w:fldChar w:fldCharType="end"/>
        </w:r>
      </w:hyperlink>
    </w:p>
    <w:p w:rsidR="00BA600C" w:rsidRDefault="00BA600C">
      <w:pPr>
        <w:pStyle w:val="Abbildungsverzeichnis"/>
        <w:tabs>
          <w:tab w:val="right" w:leader="dot" w:pos="9062"/>
        </w:tabs>
        <w:rPr>
          <w:rFonts w:eastAsiaTheme="minorEastAsia"/>
          <w:noProof/>
          <w:lang w:val="de-DE" w:eastAsia="de-DE"/>
        </w:rPr>
      </w:pPr>
      <w:hyperlink w:anchor="_Toc435621157" w:history="1">
        <w:r w:rsidRPr="004C05A1">
          <w:rPr>
            <w:rStyle w:val="Hyperlink"/>
            <w:noProof/>
          </w:rPr>
          <w:t xml:space="preserve">Figure 39. Visibly reduced disease symptoms in </w:t>
        </w:r>
        <w:r w:rsidRPr="004C05A1">
          <w:rPr>
            <w:rStyle w:val="Hyperlink"/>
            <w:i/>
            <w:noProof/>
          </w:rPr>
          <w:t>Arabidopsis</w:t>
        </w:r>
        <w:r w:rsidRPr="004C05A1">
          <w:rPr>
            <w:rStyle w:val="Hyperlink"/>
            <w:noProof/>
          </w:rPr>
          <w:t xml:space="preserve"> plants infected with </w:t>
        </w:r>
        <w:r w:rsidRPr="004C05A1">
          <w:rPr>
            <w:rStyle w:val="Hyperlink"/>
            <w:i/>
            <w:noProof/>
          </w:rPr>
          <w:t>Hpa</w:t>
        </w:r>
        <w:r w:rsidRPr="004C05A1">
          <w:rPr>
            <w:rStyle w:val="Hyperlink"/>
            <w:noProof/>
          </w:rPr>
          <w:t xml:space="preserve"> Noco2 after exogenous Pip-application.</w:t>
        </w:r>
        <w:r>
          <w:rPr>
            <w:noProof/>
            <w:webHidden/>
          </w:rPr>
          <w:tab/>
        </w:r>
        <w:r>
          <w:rPr>
            <w:noProof/>
            <w:webHidden/>
          </w:rPr>
          <w:fldChar w:fldCharType="begin"/>
        </w:r>
        <w:r>
          <w:rPr>
            <w:noProof/>
            <w:webHidden/>
          </w:rPr>
          <w:instrText xml:space="preserve"> PAGEREF _Toc435621157 \h </w:instrText>
        </w:r>
        <w:r>
          <w:rPr>
            <w:noProof/>
            <w:webHidden/>
          </w:rPr>
        </w:r>
        <w:r>
          <w:rPr>
            <w:noProof/>
            <w:webHidden/>
          </w:rPr>
          <w:fldChar w:fldCharType="separate"/>
        </w:r>
        <w:r>
          <w:rPr>
            <w:noProof/>
            <w:webHidden/>
          </w:rPr>
          <w:t>89</w:t>
        </w:r>
        <w:r>
          <w:rPr>
            <w:noProof/>
            <w:webHidden/>
          </w:rPr>
          <w:fldChar w:fldCharType="end"/>
        </w:r>
      </w:hyperlink>
    </w:p>
    <w:p w:rsidR="00BA600C" w:rsidRDefault="00BA600C">
      <w:pPr>
        <w:pStyle w:val="Abbildungsverzeichnis"/>
        <w:tabs>
          <w:tab w:val="right" w:leader="dot" w:pos="9062"/>
        </w:tabs>
        <w:rPr>
          <w:rFonts w:eastAsiaTheme="minorEastAsia"/>
          <w:noProof/>
          <w:lang w:val="de-DE" w:eastAsia="de-DE"/>
        </w:rPr>
      </w:pPr>
      <w:hyperlink w:anchor="_Toc435621158" w:history="1">
        <w:r w:rsidRPr="004C05A1">
          <w:rPr>
            <w:rStyle w:val="Hyperlink"/>
            <w:noProof/>
          </w:rPr>
          <w:t xml:space="preserve">Figure 40. </w:t>
        </w:r>
        <w:r w:rsidRPr="004C05A1">
          <w:rPr>
            <w:rStyle w:val="Hyperlink"/>
            <w:noProof/>
            <w:lang w:val="en-US"/>
          </w:rPr>
          <w:t xml:space="preserve">Pip-induced resistance against </w:t>
        </w:r>
        <w:r w:rsidRPr="004C05A1">
          <w:rPr>
            <w:rStyle w:val="Hyperlink"/>
            <w:i/>
            <w:noProof/>
            <w:lang w:val="en-US"/>
          </w:rPr>
          <w:t>Hpa</w:t>
        </w:r>
        <w:r w:rsidRPr="004C05A1">
          <w:rPr>
            <w:rStyle w:val="Hyperlink"/>
            <w:noProof/>
            <w:lang w:val="en-US"/>
          </w:rPr>
          <w:t xml:space="preserve"> Noco2 in </w:t>
        </w:r>
        <w:r w:rsidRPr="004C05A1">
          <w:rPr>
            <w:rStyle w:val="Hyperlink"/>
            <w:i/>
            <w:noProof/>
            <w:lang w:val="en-US"/>
          </w:rPr>
          <w:t>A. thaliana</w:t>
        </w:r>
        <w:r w:rsidRPr="004C05A1">
          <w:rPr>
            <w:rStyle w:val="Hyperlink"/>
            <w:noProof/>
            <w:lang w:val="en-US"/>
          </w:rPr>
          <w:t xml:space="preserve"> Col-0.</w:t>
        </w:r>
        <w:r>
          <w:rPr>
            <w:noProof/>
            <w:webHidden/>
          </w:rPr>
          <w:tab/>
        </w:r>
        <w:r>
          <w:rPr>
            <w:noProof/>
            <w:webHidden/>
          </w:rPr>
          <w:fldChar w:fldCharType="begin"/>
        </w:r>
        <w:r>
          <w:rPr>
            <w:noProof/>
            <w:webHidden/>
          </w:rPr>
          <w:instrText xml:space="preserve"> PAGEREF _Toc435621158 \h </w:instrText>
        </w:r>
        <w:r>
          <w:rPr>
            <w:noProof/>
            <w:webHidden/>
          </w:rPr>
        </w:r>
        <w:r>
          <w:rPr>
            <w:noProof/>
            <w:webHidden/>
          </w:rPr>
          <w:fldChar w:fldCharType="separate"/>
        </w:r>
        <w:r>
          <w:rPr>
            <w:noProof/>
            <w:webHidden/>
          </w:rPr>
          <w:t>90</w:t>
        </w:r>
        <w:r>
          <w:rPr>
            <w:noProof/>
            <w:webHidden/>
          </w:rPr>
          <w:fldChar w:fldCharType="end"/>
        </w:r>
      </w:hyperlink>
    </w:p>
    <w:p w:rsidR="00BA600C" w:rsidRDefault="00BA600C">
      <w:pPr>
        <w:pStyle w:val="Abbildungsverzeichnis"/>
        <w:tabs>
          <w:tab w:val="right" w:leader="dot" w:pos="9062"/>
        </w:tabs>
        <w:rPr>
          <w:rFonts w:eastAsiaTheme="minorEastAsia"/>
          <w:noProof/>
          <w:lang w:val="de-DE" w:eastAsia="de-DE"/>
        </w:rPr>
      </w:pPr>
      <w:hyperlink w:anchor="_Toc435621159" w:history="1">
        <w:r w:rsidRPr="004C05A1">
          <w:rPr>
            <w:rStyle w:val="Hyperlink"/>
            <w:noProof/>
          </w:rPr>
          <w:t xml:space="preserve">Figure 41. </w:t>
        </w:r>
        <w:r w:rsidRPr="004C05A1">
          <w:rPr>
            <w:rStyle w:val="Hyperlink"/>
            <w:noProof/>
            <w:lang w:val="en-US"/>
          </w:rPr>
          <w:t xml:space="preserve">Pip-induced resistance against the virulent </w:t>
        </w:r>
        <w:r w:rsidRPr="004C05A1">
          <w:rPr>
            <w:rStyle w:val="Hyperlink"/>
            <w:i/>
            <w:noProof/>
            <w:lang w:val="en-US"/>
          </w:rPr>
          <w:t>Hpa</w:t>
        </w:r>
        <w:r w:rsidRPr="004C05A1">
          <w:rPr>
            <w:rStyle w:val="Hyperlink"/>
            <w:noProof/>
            <w:lang w:val="en-US"/>
          </w:rPr>
          <w:t xml:space="preserve"> isolate Noco2.</w:t>
        </w:r>
        <w:r>
          <w:rPr>
            <w:noProof/>
            <w:webHidden/>
          </w:rPr>
          <w:tab/>
        </w:r>
        <w:r>
          <w:rPr>
            <w:noProof/>
            <w:webHidden/>
          </w:rPr>
          <w:fldChar w:fldCharType="begin"/>
        </w:r>
        <w:r>
          <w:rPr>
            <w:noProof/>
            <w:webHidden/>
          </w:rPr>
          <w:instrText xml:space="preserve"> PAGEREF _Toc435621159 \h </w:instrText>
        </w:r>
        <w:r>
          <w:rPr>
            <w:noProof/>
            <w:webHidden/>
          </w:rPr>
        </w:r>
        <w:r>
          <w:rPr>
            <w:noProof/>
            <w:webHidden/>
          </w:rPr>
          <w:fldChar w:fldCharType="separate"/>
        </w:r>
        <w:r>
          <w:rPr>
            <w:noProof/>
            <w:webHidden/>
          </w:rPr>
          <w:t>91</w:t>
        </w:r>
        <w:r>
          <w:rPr>
            <w:noProof/>
            <w:webHidden/>
          </w:rPr>
          <w:fldChar w:fldCharType="end"/>
        </w:r>
      </w:hyperlink>
    </w:p>
    <w:p w:rsidR="00BA600C" w:rsidRDefault="00BA600C">
      <w:pPr>
        <w:pStyle w:val="Abbildungsverzeichnis"/>
        <w:tabs>
          <w:tab w:val="right" w:leader="dot" w:pos="9062"/>
        </w:tabs>
        <w:rPr>
          <w:rFonts w:eastAsiaTheme="minorEastAsia"/>
          <w:noProof/>
          <w:lang w:val="de-DE" w:eastAsia="de-DE"/>
        </w:rPr>
      </w:pPr>
      <w:hyperlink w:anchor="_Toc435621160" w:history="1">
        <w:r w:rsidRPr="004C05A1">
          <w:rPr>
            <w:rStyle w:val="Hyperlink"/>
            <w:noProof/>
          </w:rPr>
          <w:t xml:space="preserve">Figure 42. </w:t>
        </w:r>
        <w:r w:rsidRPr="004C05A1">
          <w:rPr>
            <w:rStyle w:val="Hyperlink"/>
            <w:noProof/>
            <w:lang w:val="en-US"/>
          </w:rPr>
          <w:t xml:space="preserve">Protection of Col-0, but not </w:t>
        </w:r>
        <w:r w:rsidRPr="004C05A1">
          <w:rPr>
            <w:rStyle w:val="Hyperlink"/>
            <w:i/>
            <w:noProof/>
            <w:lang w:val="en-US"/>
          </w:rPr>
          <w:t>ald1, fmo1</w:t>
        </w:r>
        <w:r w:rsidRPr="004C05A1">
          <w:rPr>
            <w:rStyle w:val="Hyperlink"/>
            <w:noProof/>
            <w:lang w:val="en-US"/>
          </w:rPr>
          <w:t xml:space="preserve">, or </w:t>
        </w:r>
        <w:r w:rsidRPr="004C05A1">
          <w:rPr>
            <w:rStyle w:val="Hyperlink"/>
            <w:i/>
            <w:noProof/>
            <w:lang w:val="en-US"/>
          </w:rPr>
          <w:t>sid2</w:t>
        </w:r>
        <w:r w:rsidRPr="004C05A1">
          <w:rPr>
            <w:rStyle w:val="Hyperlink"/>
            <w:noProof/>
            <w:lang w:val="en-US"/>
          </w:rPr>
          <w:t xml:space="preserve"> against subsequent infection by </w:t>
        </w:r>
        <w:r w:rsidRPr="004C05A1">
          <w:rPr>
            <w:rStyle w:val="Hyperlink"/>
            <w:i/>
            <w:noProof/>
            <w:lang w:val="en-US"/>
          </w:rPr>
          <w:t>Hpa</w:t>
        </w:r>
        <w:r w:rsidRPr="004C05A1">
          <w:rPr>
            <w:rStyle w:val="Hyperlink"/>
            <w:noProof/>
            <w:lang w:val="en-US"/>
          </w:rPr>
          <w:t xml:space="preserve"> Noco2 by </w:t>
        </w:r>
        <w:r w:rsidRPr="004C05A1">
          <w:rPr>
            <w:rStyle w:val="Hyperlink"/>
            <w:i/>
            <w:noProof/>
            <w:lang w:val="en-US"/>
          </w:rPr>
          <w:t>Psm</w:t>
        </w:r>
        <w:r w:rsidRPr="004C05A1">
          <w:rPr>
            <w:rStyle w:val="Hyperlink"/>
            <w:noProof/>
            <w:lang w:val="en-US"/>
          </w:rPr>
          <w:t>-induced SAR.</w:t>
        </w:r>
        <w:r>
          <w:rPr>
            <w:noProof/>
            <w:webHidden/>
          </w:rPr>
          <w:tab/>
        </w:r>
        <w:r>
          <w:rPr>
            <w:noProof/>
            <w:webHidden/>
          </w:rPr>
          <w:fldChar w:fldCharType="begin"/>
        </w:r>
        <w:r>
          <w:rPr>
            <w:noProof/>
            <w:webHidden/>
          </w:rPr>
          <w:instrText xml:space="preserve"> PAGEREF _Toc435621160 \h </w:instrText>
        </w:r>
        <w:r>
          <w:rPr>
            <w:noProof/>
            <w:webHidden/>
          </w:rPr>
        </w:r>
        <w:r>
          <w:rPr>
            <w:noProof/>
            <w:webHidden/>
          </w:rPr>
          <w:fldChar w:fldCharType="separate"/>
        </w:r>
        <w:r>
          <w:rPr>
            <w:noProof/>
            <w:webHidden/>
          </w:rPr>
          <w:t>93</w:t>
        </w:r>
        <w:r>
          <w:rPr>
            <w:noProof/>
            <w:webHidden/>
          </w:rPr>
          <w:fldChar w:fldCharType="end"/>
        </w:r>
      </w:hyperlink>
    </w:p>
    <w:p w:rsidR="00BA600C" w:rsidRDefault="00BA600C">
      <w:pPr>
        <w:pStyle w:val="Abbildungsverzeichnis"/>
        <w:tabs>
          <w:tab w:val="right" w:leader="dot" w:pos="9062"/>
        </w:tabs>
        <w:rPr>
          <w:rFonts w:eastAsiaTheme="minorEastAsia"/>
          <w:noProof/>
          <w:lang w:val="de-DE" w:eastAsia="de-DE"/>
        </w:rPr>
      </w:pPr>
      <w:hyperlink w:anchor="_Toc435621161" w:history="1">
        <w:r w:rsidRPr="004C05A1">
          <w:rPr>
            <w:rStyle w:val="Hyperlink"/>
            <w:noProof/>
          </w:rPr>
          <w:t xml:space="preserve">Figure 43. </w:t>
        </w:r>
        <w:r w:rsidRPr="004C05A1">
          <w:rPr>
            <w:rStyle w:val="Hyperlink"/>
            <w:i/>
            <w:noProof/>
            <w:lang w:val="en-US"/>
          </w:rPr>
          <w:t>Psm</w:t>
        </w:r>
        <w:r w:rsidRPr="004C05A1">
          <w:rPr>
            <w:rStyle w:val="Hyperlink"/>
            <w:noProof/>
            <w:lang w:val="en-US"/>
          </w:rPr>
          <w:t xml:space="preserve"> infection induces SAR against </w:t>
        </w:r>
        <w:r w:rsidRPr="004C05A1">
          <w:rPr>
            <w:rStyle w:val="Hyperlink"/>
            <w:i/>
            <w:noProof/>
            <w:lang w:val="en-US"/>
          </w:rPr>
          <w:t>Hpa</w:t>
        </w:r>
        <w:r w:rsidRPr="004C05A1">
          <w:rPr>
            <w:rStyle w:val="Hyperlink"/>
            <w:noProof/>
            <w:lang w:val="en-US"/>
          </w:rPr>
          <w:t xml:space="preserve"> Noco2.</w:t>
        </w:r>
        <w:r>
          <w:rPr>
            <w:noProof/>
            <w:webHidden/>
          </w:rPr>
          <w:tab/>
        </w:r>
        <w:r>
          <w:rPr>
            <w:noProof/>
            <w:webHidden/>
          </w:rPr>
          <w:fldChar w:fldCharType="begin"/>
        </w:r>
        <w:r>
          <w:rPr>
            <w:noProof/>
            <w:webHidden/>
          </w:rPr>
          <w:instrText xml:space="preserve"> PAGEREF _Toc435621161 \h </w:instrText>
        </w:r>
        <w:r>
          <w:rPr>
            <w:noProof/>
            <w:webHidden/>
          </w:rPr>
        </w:r>
        <w:r>
          <w:rPr>
            <w:noProof/>
            <w:webHidden/>
          </w:rPr>
          <w:fldChar w:fldCharType="separate"/>
        </w:r>
        <w:r>
          <w:rPr>
            <w:noProof/>
            <w:webHidden/>
          </w:rPr>
          <w:t>94</w:t>
        </w:r>
        <w:r>
          <w:rPr>
            <w:noProof/>
            <w:webHidden/>
          </w:rPr>
          <w:fldChar w:fldCharType="end"/>
        </w:r>
      </w:hyperlink>
    </w:p>
    <w:p w:rsidR="00BA600C" w:rsidRDefault="00BA600C">
      <w:pPr>
        <w:pStyle w:val="Abbildungsverzeichnis"/>
        <w:tabs>
          <w:tab w:val="right" w:leader="dot" w:pos="9062"/>
        </w:tabs>
        <w:rPr>
          <w:rFonts w:eastAsiaTheme="minorEastAsia"/>
          <w:noProof/>
          <w:lang w:val="de-DE" w:eastAsia="de-DE"/>
        </w:rPr>
      </w:pPr>
      <w:hyperlink w:anchor="_Toc435621162" w:history="1">
        <w:r w:rsidRPr="004C05A1">
          <w:rPr>
            <w:rStyle w:val="Hyperlink"/>
            <w:noProof/>
          </w:rPr>
          <w:t xml:space="preserve">Figure 44. Pip-induced resistance against the avirulent </w:t>
        </w:r>
        <w:r w:rsidRPr="004C05A1">
          <w:rPr>
            <w:rStyle w:val="Hyperlink"/>
            <w:i/>
            <w:noProof/>
          </w:rPr>
          <w:t>Hpa</w:t>
        </w:r>
        <w:r w:rsidRPr="004C05A1">
          <w:rPr>
            <w:rStyle w:val="Hyperlink"/>
            <w:noProof/>
          </w:rPr>
          <w:t xml:space="preserve"> isolate Cala2.</w:t>
        </w:r>
        <w:r>
          <w:rPr>
            <w:noProof/>
            <w:webHidden/>
          </w:rPr>
          <w:tab/>
        </w:r>
        <w:r>
          <w:rPr>
            <w:noProof/>
            <w:webHidden/>
          </w:rPr>
          <w:fldChar w:fldCharType="begin"/>
        </w:r>
        <w:r>
          <w:rPr>
            <w:noProof/>
            <w:webHidden/>
          </w:rPr>
          <w:instrText xml:space="preserve"> PAGEREF _Toc435621162 \h </w:instrText>
        </w:r>
        <w:r>
          <w:rPr>
            <w:noProof/>
            <w:webHidden/>
          </w:rPr>
        </w:r>
        <w:r>
          <w:rPr>
            <w:noProof/>
            <w:webHidden/>
          </w:rPr>
          <w:fldChar w:fldCharType="separate"/>
        </w:r>
        <w:r>
          <w:rPr>
            <w:noProof/>
            <w:webHidden/>
          </w:rPr>
          <w:t>98</w:t>
        </w:r>
        <w:r>
          <w:rPr>
            <w:noProof/>
            <w:webHidden/>
          </w:rPr>
          <w:fldChar w:fldCharType="end"/>
        </w:r>
      </w:hyperlink>
    </w:p>
    <w:p w:rsidR="00BA600C" w:rsidRDefault="00BA600C">
      <w:pPr>
        <w:pStyle w:val="Abbildungsverzeichnis"/>
        <w:tabs>
          <w:tab w:val="right" w:leader="dot" w:pos="9062"/>
        </w:tabs>
        <w:rPr>
          <w:rFonts w:eastAsiaTheme="minorEastAsia"/>
          <w:noProof/>
          <w:lang w:val="de-DE" w:eastAsia="de-DE"/>
        </w:rPr>
      </w:pPr>
      <w:hyperlink w:anchor="_Toc435621163" w:history="1">
        <w:r w:rsidRPr="004C05A1">
          <w:rPr>
            <w:rStyle w:val="Hyperlink"/>
            <w:noProof/>
          </w:rPr>
          <w:t xml:space="preserve">Figure 45. </w:t>
        </w:r>
        <w:r w:rsidRPr="004C05A1">
          <w:rPr>
            <w:rStyle w:val="Hyperlink"/>
            <w:noProof/>
            <w:lang w:val="en-US"/>
          </w:rPr>
          <w:t xml:space="preserve">The avirulent </w:t>
        </w:r>
        <w:r w:rsidRPr="004C05A1">
          <w:rPr>
            <w:rStyle w:val="Hyperlink"/>
            <w:i/>
            <w:noProof/>
            <w:lang w:val="en-US"/>
          </w:rPr>
          <w:t>Hpa</w:t>
        </w:r>
        <w:r w:rsidRPr="004C05A1">
          <w:rPr>
            <w:rStyle w:val="Hyperlink"/>
            <w:noProof/>
            <w:lang w:val="en-US"/>
          </w:rPr>
          <w:t xml:space="preserve"> Cala2 is able to grow and proliferate on </w:t>
        </w:r>
        <w:r w:rsidRPr="004C05A1">
          <w:rPr>
            <w:rStyle w:val="Hyperlink"/>
            <w:i/>
            <w:noProof/>
            <w:lang w:val="en-US"/>
          </w:rPr>
          <w:t>sid2</w:t>
        </w:r>
        <w:r w:rsidRPr="004C05A1">
          <w:rPr>
            <w:rStyle w:val="Hyperlink"/>
            <w:noProof/>
            <w:lang w:val="en-US"/>
          </w:rPr>
          <w:t xml:space="preserve"> and </w:t>
        </w:r>
        <w:r w:rsidRPr="004C05A1">
          <w:rPr>
            <w:rStyle w:val="Hyperlink"/>
            <w:i/>
            <w:noProof/>
            <w:lang w:val="en-US"/>
          </w:rPr>
          <w:t>sid2 ald1</w:t>
        </w:r>
        <w:r w:rsidRPr="004C05A1">
          <w:rPr>
            <w:rStyle w:val="Hyperlink"/>
            <w:noProof/>
            <w:lang w:val="en-US"/>
          </w:rPr>
          <w:t>.</w:t>
        </w:r>
        <w:r>
          <w:rPr>
            <w:noProof/>
            <w:webHidden/>
          </w:rPr>
          <w:tab/>
        </w:r>
        <w:r>
          <w:rPr>
            <w:noProof/>
            <w:webHidden/>
          </w:rPr>
          <w:fldChar w:fldCharType="begin"/>
        </w:r>
        <w:r>
          <w:rPr>
            <w:noProof/>
            <w:webHidden/>
          </w:rPr>
          <w:instrText xml:space="preserve"> PAGEREF _Toc435621163 \h </w:instrText>
        </w:r>
        <w:r>
          <w:rPr>
            <w:noProof/>
            <w:webHidden/>
          </w:rPr>
        </w:r>
        <w:r>
          <w:rPr>
            <w:noProof/>
            <w:webHidden/>
          </w:rPr>
          <w:fldChar w:fldCharType="separate"/>
        </w:r>
        <w:r>
          <w:rPr>
            <w:noProof/>
            <w:webHidden/>
          </w:rPr>
          <w:t>99</w:t>
        </w:r>
        <w:r>
          <w:rPr>
            <w:noProof/>
            <w:webHidden/>
          </w:rPr>
          <w:fldChar w:fldCharType="end"/>
        </w:r>
      </w:hyperlink>
    </w:p>
    <w:p w:rsidR="00BA600C" w:rsidRDefault="00BA600C">
      <w:pPr>
        <w:pStyle w:val="Abbildungsverzeichnis"/>
        <w:tabs>
          <w:tab w:val="right" w:leader="dot" w:pos="9062"/>
        </w:tabs>
        <w:rPr>
          <w:rFonts w:eastAsiaTheme="minorEastAsia"/>
          <w:noProof/>
          <w:lang w:val="de-DE" w:eastAsia="de-DE"/>
        </w:rPr>
      </w:pPr>
      <w:hyperlink w:anchor="_Toc435621164" w:history="1">
        <w:r w:rsidRPr="004C05A1">
          <w:rPr>
            <w:rStyle w:val="Hyperlink"/>
            <w:noProof/>
          </w:rPr>
          <w:t xml:space="preserve">Figure 46. </w:t>
        </w:r>
        <w:r w:rsidRPr="004C05A1">
          <w:rPr>
            <w:rStyle w:val="Hyperlink"/>
            <w:noProof/>
            <w:lang w:val="en-US"/>
          </w:rPr>
          <w:t xml:space="preserve">Camalexin and Pip-accumulation after infection of </w:t>
        </w:r>
        <w:r w:rsidRPr="004C05A1">
          <w:rPr>
            <w:rStyle w:val="Hyperlink"/>
            <w:i/>
            <w:noProof/>
            <w:lang w:val="en-US"/>
          </w:rPr>
          <w:t>Arabidopsis</w:t>
        </w:r>
        <w:r w:rsidRPr="004C05A1">
          <w:rPr>
            <w:rStyle w:val="Hyperlink"/>
            <w:noProof/>
            <w:lang w:val="en-US"/>
          </w:rPr>
          <w:t xml:space="preserve"> with </w:t>
        </w:r>
        <w:r w:rsidRPr="004C05A1">
          <w:rPr>
            <w:rStyle w:val="Hyperlink"/>
            <w:i/>
            <w:noProof/>
            <w:lang w:val="en-US"/>
          </w:rPr>
          <w:t>G. orontii.</w:t>
        </w:r>
        <w:r>
          <w:rPr>
            <w:noProof/>
            <w:webHidden/>
          </w:rPr>
          <w:tab/>
        </w:r>
        <w:r>
          <w:rPr>
            <w:noProof/>
            <w:webHidden/>
          </w:rPr>
          <w:fldChar w:fldCharType="begin"/>
        </w:r>
        <w:r>
          <w:rPr>
            <w:noProof/>
            <w:webHidden/>
          </w:rPr>
          <w:instrText xml:space="preserve"> PAGEREF _Toc435621164 \h </w:instrText>
        </w:r>
        <w:r>
          <w:rPr>
            <w:noProof/>
            <w:webHidden/>
          </w:rPr>
        </w:r>
        <w:r>
          <w:rPr>
            <w:noProof/>
            <w:webHidden/>
          </w:rPr>
          <w:fldChar w:fldCharType="separate"/>
        </w:r>
        <w:r>
          <w:rPr>
            <w:noProof/>
            <w:webHidden/>
          </w:rPr>
          <w:t>101</w:t>
        </w:r>
        <w:r>
          <w:rPr>
            <w:noProof/>
            <w:webHidden/>
          </w:rPr>
          <w:fldChar w:fldCharType="end"/>
        </w:r>
      </w:hyperlink>
    </w:p>
    <w:p w:rsidR="00BA600C" w:rsidRDefault="00BA600C">
      <w:pPr>
        <w:pStyle w:val="Abbildungsverzeichnis"/>
        <w:tabs>
          <w:tab w:val="right" w:leader="dot" w:pos="9062"/>
        </w:tabs>
        <w:rPr>
          <w:rFonts w:eastAsiaTheme="minorEastAsia"/>
          <w:noProof/>
          <w:lang w:val="de-DE" w:eastAsia="de-DE"/>
        </w:rPr>
      </w:pPr>
      <w:hyperlink w:anchor="_Toc435621165" w:history="1">
        <w:r w:rsidRPr="004C05A1">
          <w:rPr>
            <w:rStyle w:val="Hyperlink"/>
            <w:noProof/>
          </w:rPr>
          <w:t xml:space="preserve">Figure 47. </w:t>
        </w:r>
        <w:r w:rsidRPr="004C05A1">
          <w:rPr>
            <w:rStyle w:val="Hyperlink"/>
            <w:noProof/>
            <w:lang w:val="en-US"/>
          </w:rPr>
          <w:t xml:space="preserve">Growth of the powdery mildew </w:t>
        </w:r>
        <w:r w:rsidRPr="004C05A1">
          <w:rPr>
            <w:rStyle w:val="Hyperlink"/>
            <w:i/>
            <w:noProof/>
            <w:lang w:val="en-US"/>
          </w:rPr>
          <w:t>G. orontii</w:t>
        </w:r>
        <w:r w:rsidRPr="004C05A1">
          <w:rPr>
            <w:rStyle w:val="Hyperlink"/>
            <w:noProof/>
            <w:lang w:val="en-US"/>
          </w:rPr>
          <w:t xml:space="preserve"> is not impaired by exogenously applied Pip.</w:t>
        </w:r>
        <w:r>
          <w:rPr>
            <w:noProof/>
            <w:webHidden/>
          </w:rPr>
          <w:tab/>
        </w:r>
        <w:r>
          <w:rPr>
            <w:noProof/>
            <w:webHidden/>
          </w:rPr>
          <w:fldChar w:fldCharType="begin"/>
        </w:r>
        <w:r>
          <w:rPr>
            <w:noProof/>
            <w:webHidden/>
          </w:rPr>
          <w:instrText xml:space="preserve"> PAGEREF _Toc435621165 \h </w:instrText>
        </w:r>
        <w:r>
          <w:rPr>
            <w:noProof/>
            <w:webHidden/>
          </w:rPr>
        </w:r>
        <w:r>
          <w:rPr>
            <w:noProof/>
            <w:webHidden/>
          </w:rPr>
          <w:fldChar w:fldCharType="separate"/>
        </w:r>
        <w:r>
          <w:rPr>
            <w:noProof/>
            <w:webHidden/>
          </w:rPr>
          <w:t>102</w:t>
        </w:r>
        <w:r>
          <w:rPr>
            <w:noProof/>
            <w:webHidden/>
          </w:rPr>
          <w:fldChar w:fldCharType="end"/>
        </w:r>
      </w:hyperlink>
    </w:p>
    <w:p w:rsidR="00C37652" w:rsidRDefault="00006348" w:rsidP="006B0405">
      <w:pPr>
        <w:spacing w:line="360" w:lineRule="auto"/>
        <w:rPr>
          <w:b/>
          <w:lang w:val="de-DE"/>
        </w:rPr>
      </w:pPr>
      <w:r>
        <w:rPr>
          <w:b/>
          <w:lang w:val="de-DE"/>
        </w:rPr>
        <w:fldChar w:fldCharType="end"/>
      </w:r>
    </w:p>
    <w:p w:rsidR="00006348" w:rsidRPr="00006348" w:rsidRDefault="00006348" w:rsidP="007B40AA">
      <w:pPr>
        <w:pStyle w:val="berschrift1"/>
        <w:spacing w:after="240"/>
        <w:rPr>
          <w:color w:val="000000" w:themeColor="text1"/>
          <w:lang w:val="de-DE"/>
        </w:rPr>
      </w:pPr>
      <w:bookmarkStart w:id="2" w:name="_Toc435621197"/>
      <w:r w:rsidRPr="00006348">
        <w:rPr>
          <w:color w:val="000000" w:themeColor="text1"/>
          <w:lang w:val="de-DE"/>
        </w:rPr>
        <w:t>List of tables</w:t>
      </w:r>
      <w:bookmarkEnd w:id="2"/>
    </w:p>
    <w:p w:rsidR="00795DDE" w:rsidRDefault="00006348">
      <w:pPr>
        <w:pStyle w:val="Abbildungsverzeichnis"/>
        <w:tabs>
          <w:tab w:val="right" w:leader="dot" w:pos="9062"/>
        </w:tabs>
        <w:rPr>
          <w:rFonts w:eastAsiaTheme="minorEastAsia"/>
          <w:noProof/>
          <w:lang w:val="de-DE" w:eastAsia="de-DE"/>
        </w:rPr>
      </w:pPr>
      <w:r>
        <w:rPr>
          <w:lang w:val="de-DE"/>
        </w:rPr>
        <w:fldChar w:fldCharType="begin"/>
      </w:r>
      <w:r>
        <w:rPr>
          <w:lang w:val="de-DE"/>
        </w:rPr>
        <w:instrText xml:space="preserve"> TOC \h \z \c "Table" </w:instrText>
      </w:r>
      <w:r>
        <w:rPr>
          <w:lang w:val="de-DE"/>
        </w:rPr>
        <w:fldChar w:fldCharType="separate"/>
      </w:r>
      <w:hyperlink w:anchor="_Toc419386445" w:history="1">
        <w:r w:rsidR="00795DDE" w:rsidRPr="0049651F">
          <w:rPr>
            <w:rStyle w:val="Hyperlink"/>
            <w:noProof/>
          </w:rPr>
          <w:t>Table 1. Overview of gene expression in defence priming.</w:t>
        </w:r>
        <w:r w:rsidR="00795DDE">
          <w:rPr>
            <w:noProof/>
            <w:webHidden/>
          </w:rPr>
          <w:tab/>
        </w:r>
        <w:r w:rsidR="00795DDE">
          <w:rPr>
            <w:noProof/>
            <w:webHidden/>
          </w:rPr>
          <w:fldChar w:fldCharType="begin"/>
        </w:r>
        <w:r w:rsidR="00795DDE">
          <w:rPr>
            <w:noProof/>
            <w:webHidden/>
          </w:rPr>
          <w:instrText xml:space="preserve"> PAGEREF _Toc419386445 \h </w:instrText>
        </w:r>
        <w:r w:rsidR="00795DDE">
          <w:rPr>
            <w:noProof/>
            <w:webHidden/>
          </w:rPr>
        </w:r>
        <w:r w:rsidR="00795DDE">
          <w:rPr>
            <w:noProof/>
            <w:webHidden/>
          </w:rPr>
          <w:fldChar w:fldCharType="separate"/>
        </w:r>
        <w:r w:rsidR="00CB17FE">
          <w:rPr>
            <w:noProof/>
            <w:webHidden/>
          </w:rPr>
          <w:t>60</w:t>
        </w:r>
        <w:r w:rsidR="00795DDE">
          <w:rPr>
            <w:noProof/>
            <w:webHidden/>
          </w:rPr>
          <w:fldChar w:fldCharType="end"/>
        </w:r>
      </w:hyperlink>
    </w:p>
    <w:p w:rsidR="00795DDE" w:rsidRDefault="00F865A3">
      <w:pPr>
        <w:pStyle w:val="Abbildungsverzeichnis"/>
        <w:tabs>
          <w:tab w:val="right" w:leader="dot" w:pos="9062"/>
        </w:tabs>
        <w:rPr>
          <w:rFonts w:eastAsiaTheme="minorEastAsia"/>
          <w:noProof/>
          <w:lang w:val="de-DE" w:eastAsia="de-DE"/>
        </w:rPr>
      </w:pPr>
      <w:hyperlink w:anchor="_Toc419386446" w:history="1">
        <w:r w:rsidR="00795DDE" w:rsidRPr="0049651F">
          <w:rPr>
            <w:rStyle w:val="Hyperlink"/>
            <w:noProof/>
          </w:rPr>
          <w:t xml:space="preserve">Table 2. Overview of unknown compounds found in interactions of </w:t>
        </w:r>
        <w:r w:rsidR="00795DDE" w:rsidRPr="0049651F">
          <w:rPr>
            <w:rStyle w:val="Hyperlink"/>
            <w:i/>
            <w:noProof/>
          </w:rPr>
          <w:t>Arabidopsis thaliana</w:t>
        </w:r>
        <w:r w:rsidR="00795DDE" w:rsidRPr="0049651F">
          <w:rPr>
            <w:rStyle w:val="Hyperlink"/>
            <w:noProof/>
          </w:rPr>
          <w:t xml:space="preserve"> with </w:t>
        </w:r>
        <w:r w:rsidR="00795DDE" w:rsidRPr="0049651F">
          <w:rPr>
            <w:rStyle w:val="Hyperlink"/>
            <w:i/>
            <w:noProof/>
          </w:rPr>
          <w:t>B. cinerea</w:t>
        </w:r>
        <w:r w:rsidR="00795DDE" w:rsidRPr="0049651F">
          <w:rPr>
            <w:rStyle w:val="Hyperlink"/>
            <w:noProof/>
          </w:rPr>
          <w:t xml:space="preserve">, </w:t>
        </w:r>
        <w:r w:rsidR="00795DDE" w:rsidRPr="0049651F">
          <w:rPr>
            <w:rStyle w:val="Hyperlink"/>
            <w:i/>
            <w:noProof/>
          </w:rPr>
          <w:t>H. arabidopsidis</w:t>
        </w:r>
        <w:r w:rsidR="00795DDE" w:rsidRPr="0049651F">
          <w:rPr>
            <w:rStyle w:val="Hyperlink"/>
            <w:noProof/>
          </w:rPr>
          <w:t xml:space="preserve">, and </w:t>
        </w:r>
        <w:r w:rsidR="00795DDE" w:rsidRPr="0049651F">
          <w:rPr>
            <w:rStyle w:val="Hyperlink"/>
            <w:i/>
            <w:noProof/>
          </w:rPr>
          <w:t>G. orontii</w:t>
        </w:r>
        <w:r w:rsidR="00795DDE" w:rsidRPr="0049651F">
          <w:rPr>
            <w:rStyle w:val="Hyperlink"/>
            <w:noProof/>
          </w:rPr>
          <w:t>.</w:t>
        </w:r>
        <w:r w:rsidR="00795DDE">
          <w:rPr>
            <w:noProof/>
            <w:webHidden/>
          </w:rPr>
          <w:tab/>
        </w:r>
        <w:r w:rsidR="00795DDE">
          <w:rPr>
            <w:noProof/>
            <w:webHidden/>
          </w:rPr>
          <w:fldChar w:fldCharType="begin"/>
        </w:r>
        <w:r w:rsidR="00795DDE">
          <w:rPr>
            <w:noProof/>
            <w:webHidden/>
          </w:rPr>
          <w:instrText xml:space="preserve"> PAGEREF _Toc419386446 \h </w:instrText>
        </w:r>
        <w:r w:rsidR="00795DDE">
          <w:rPr>
            <w:noProof/>
            <w:webHidden/>
          </w:rPr>
        </w:r>
        <w:r w:rsidR="00795DDE">
          <w:rPr>
            <w:noProof/>
            <w:webHidden/>
          </w:rPr>
          <w:fldChar w:fldCharType="separate"/>
        </w:r>
        <w:r w:rsidR="00CB17FE">
          <w:rPr>
            <w:noProof/>
            <w:webHidden/>
          </w:rPr>
          <w:t>104</w:t>
        </w:r>
        <w:r w:rsidR="00795DDE">
          <w:rPr>
            <w:noProof/>
            <w:webHidden/>
          </w:rPr>
          <w:fldChar w:fldCharType="end"/>
        </w:r>
      </w:hyperlink>
    </w:p>
    <w:p w:rsidR="00795DDE" w:rsidRDefault="00F865A3">
      <w:pPr>
        <w:pStyle w:val="Abbildungsverzeichnis"/>
        <w:tabs>
          <w:tab w:val="right" w:leader="dot" w:pos="9062"/>
        </w:tabs>
        <w:rPr>
          <w:rFonts w:eastAsiaTheme="minorEastAsia"/>
          <w:noProof/>
          <w:lang w:val="de-DE" w:eastAsia="de-DE"/>
        </w:rPr>
      </w:pPr>
      <w:hyperlink w:anchor="_Toc419386447" w:history="1">
        <w:r w:rsidR="00795DDE" w:rsidRPr="0049651F">
          <w:rPr>
            <w:rStyle w:val="Hyperlink"/>
            <w:noProof/>
          </w:rPr>
          <w:t xml:space="preserve">Table 3. Comparison of defence metabolite accumulation in </w:t>
        </w:r>
        <w:r w:rsidR="00795DDE" w:rsidRPr="0049651F">
          <w:rPr>
            <w:rStyle w:val="Hyperlink"/>
            <w:i/>
            <w:noProof/>
          </w:rPr>
          <w:t>Arabidopsis</w:t>
        </w:r>
        <w:r w:rsidR="00795DDE" w:rsidRPr="0049651F">
          <w:rPr>
            <w:rStyle w:val="Hyperlink"/>
            <w:noProof/>
          </w:rPr>
          <w:t xml:space="preserve"> after infection with different pathogens.</w:t>
        </w:r>
        <w:r w:rsidR="00795DDE">
          <w:rPr>
            <w:noProof/>
            <w:webHidden/>
          </w:rPr>
          <w:tab/>
        </w:r>
        <w:r w:rsidR="00795DDE">
          <w:rPr>
            <w:noProof/>
            <w:webHidden/>
          </w:rPr>
          <w:fldChar w:fldCharType="begin"/>
        </w:r>
        <w:r w:rsidR="00795DDE">
          <w:rPr>
            <w:noProof/>
            <w:webHidden/>
          </w:rPr>
          <w:instrText xml:space="preserve"> PAGEREF _Toc419386447 \h </w:instrText>
        </w:r>
        <w:r w:rsidR="00795DDE">
          <w:rPr>
            <w:noProof/>
            <w:webHidden/>
          </w:rPr>
        </w:r>
        <w:r w:rsidR="00795DDE">
          <w:rPr>
            <w:noProof/>
            <w:webHidden/>
          </w:rPr>
          <w:fldChar w:fldCharType="separate"/>
        </w:r>
        <w:r w:rsidR="00CB17FE">
          <w:rPr>
            <w:noProof/>
            <w:webHidden/>
          </w:rPr>
          <w:t>106</w:t>
        </w:r>
        <w:r w:rsidR="00795DDE">
          <w:rPr>
            <w:noProof/>
            <w:webHidden/>
          </w:rPr>
          <w:fldChar w:fldCharType="end"/>
        </w:r>
      </w:hyperlink>
    </w:p>
    <w:p w:rsidR="00795DDE" w:rsidRDefault="00F865A3">
      <w:pPr>
        <w:pStyle w:val="Abbildungsverzeichnis"/>
        <w:tabs>
          <w:tab w:val="right" w:leader="dot" w:pos="9062"/>
        </w:tabs>
        <w:rPr>
          <w:rFonts w:eastAsiaTheme="minorEastAsia"/>
          <w:noProof/>
          <w:lang w:val="de-DE" w:eastAsia="de-DE"/>
        </w:rPr>
      </w:pPr>
      <w:hyperlink w:anchor="_Toc419386448" w:history="1">
        <w:r w:rsidR="00795DDE" w:rsidRPr="0049651F">
          <w:rPr>
            <w:rStyle w:val="Hyperlink"/>
            <w:noProof/>
          </w:rPr>
          <w:t xml:space="preserve">Table 4. Comparison of amino acid accumulation in </w:t>
        </w:r>
        <w:r w:rsidR="00795DDE" w:rsidRPr="0049651F">
          <w:rPr>
            <w:rStyle w:val="Hyperlink"/>
            <w:i/>
            <w:noProof/>
          </w:rPr>
          <w:t>Arabidopsis</w:t>
        </w:r>
        <w:r w:rsidR="00795DDE" w:rsidRPr="0049651F">
          <w:rPr>
            <w:rStyle w:val="Hyperlink"/>
            <w:noProof/>
          </w:rPr>
          <w:t xml:space="preserve"> after infection with different pathogens.</w:t>
        </w:r>
        <w:r w:rsidR="00795DDE">
          <w:rPr>
            <w:noProof/>
            <w:webHidden/>
          </w:rPr>
          <w:tab/>
        </w:r>
        <w:r w:rsidR="00795DDE">
          <w:rPr>
            <w:noProof/>
            <w:webHidden/>
          </w:rPr>
          <w:fldChar w:fldCharType="begin"/>
        </w:r>
        <w:r w:rsidR="00795DDE">
          <w:rPr>
            <w:noProof/>
            <w:webHidden/>
          </w:rPr>
          <w:instrText xml:space="preserve"> PAGEREF _Toc419386448 \h </w:instrText>
        </w:r>
        <w:r w:rsidR="00795DDE">
          <w:rPr>
            <w:noProof/>
            <w:webHidden/>
          </w:rPr>
        </w:r>
        <w:r w:rsidR="00795DDE">
          <w:rPr>
            <w:noProof/>
            <w:webHidden/>
          </w:rPr>
          <w:fldChar w:fldCharType="separate"/>
        </w:r>
        <w:r w:rsidR="00CB17FE">
          <w:rPr>
            <w:noProof/>
            <w:webHidden/>
          </w:rPr>
          <w:t>107</w:t>
        </w:r>
        <w:r w:rsidR="00795DDE">
          <w:rPr>
            <w:noProof/>
            <w:webHidden/>
          </w:rPr>
          <w:fldChar w:fldCharType="end"/>
        </w:r>
      </w:hyperlink>
    </w:p>
    <w:p w:rsidR="00795DDE" w:rsidRDefault="00F865A3">
      <w:pPr>
        <w:pStyle w:val="Abbildungsverzeichnis"/>
        <w:tabs>
          <w:tab w:val="right" w:leader="dot" w:pos="9062"/>
        </w:tabs>
        <w:rPr>
          <w:rFonts w:eastAsiaTheme="minorEastAsia"/>
          <w:noProof/>
          <w:lang w:val="de-DE" w:eastAsia="de-DE"/>
        </w:rPr>
      </w:pPr>
      <w:hyperlink w:anchor="_Toc419386449" w:history="1">
        <w:r w:rsidR="00795DDE" w:rsidRPr="0049651F">
          <w:rPr>
            <w:rStyle w:val="Hyperlink"/>
            <w:noProof/>
          </w:rPr>
          <w:t xml:space="preserve">Table 5. Accumulation of unknown metabolites in </w:t>
        </w:r>
        <w:r w:rsidR="00795DDE" w:rsidRPr="0049651F">
          <w:rPr>
            <w:rStyle w:val="Hyperlink"/>
            <w:i/>
            <w:noProof/>
          </w:rPr>
          <w:t>Arabidopsis</w:t>
        </w:r>
        <w:r w:rsidR="00795DDE" w:rsidRPr="0049651F">
          <w:rPr>
            <w:rStyle w:val="Hyperlink"/>
            <w:noProof/>
          </w:rPr>
          <w:t xml:space="preserve"> after infection with different pathogens.</w:t>
        </w:r>
        <w:r w:rsidR="00795DDE">
          <w:rPr>
            <w:noProof/>
            <w:webHidden/>
          </w:rPr>
          <w:tab/>
        </w:r>
        <w:r w:rsidR="00795DDE">
          <w:rPr>
            <w:noProof/>
            <w:webHidden/>
          </w:rPr>
          <w:fldChar w:fldCharType="begin"/>
        </w:r>
        <w:r w:rsidR="00795DDE">
          <w:rPr>
            <w:noProof/>
            <w:webHidden/>
          </w:rPr>
          <w:instrText xml:space="preserve"> PAGEREF _Toc419386449 \h </w:instrText>
        </w:r>
        <w:r w:rsidR="00795DDE">
          <w:rPr>
            <w:noProof/>
            <w:webHidden/>
          </w:rPr>
        </w:r>
        <w:r w:rsidR="00795DDE">
          <w:rPr>
            <w:noProof/>
            <w:webHidden/>
          </w:rPr>
          <w:fldChar w:fldCharType="separate"/>
        </w:r>
        <w:r w:rsidR="00CB17FE">
          <w:rPr>
            <w:noProof/>
            <w:webHidden/>
          </w:rPr>
          <w:t>108</w:t>
        </w:r>
        <w:r w:rsidR="00795DDE">
          <w:rPr>
            <w:noProof/>
            <w:webHidden/>
          </w:rPr>
          <w:fldChar w:fldCharType="end"/>
        </w:r>
      </w:hyperlink>
    </w:p>
    <w:p w:rsidR="00795DDE" w:rsidRDefault="00F865A3">
      <w:pPr>
        <w:pStyle w:val="Abbildungsverzeichnis"/>
        <w:tabs>
          <w:tab w:val="right" w:leader="dot" w:pos="9062"/>
        </w:tabs>
        <w:rPr>
          <w:rFonts w:eastAsiaTheme="minorEastAsia"/>
          <w:noProof/>
          <w:lang w:val="de-DE" w:eastAsia="de-DE"/>
        </w:rPr>
      </w:pPr>
      <w:hyperlink w:anchor="_Toc419386450" w:history="1">
        <w:r w:rsidR="00795DDE" w:rsidRPr="0049651F">
          <w:rPr>
            <w:rStyle w:val="Hyperlink"/>
            <w:noProof/>
          </w:rPr>
          <w:t xml:space="preserve">Table 6. Analysis of amino acid accumulation in </w:t>
        </w:r>
        <w:r w:rsidR="00795DDE" w:rsidRPr="0049651F">
          <w:rPr>
            <w:rStyle w:val="Hyperlink"/>
            <w:i/>
            <w:noProof/>
          </w:rPr>
          <w:t>A. thaliana</w:t>
        </w:r>
        <w:r w:rsidR="00795DDE" w:rsidRPr="0049651F">
          <w:rPr>
            <w:rStyle w:val="Hyperlink"/>
            <w:noProof/>
          </w:rPr>
          <w:t xml:space="preserve"> Col-0 plants infected with the virulent </w:t>
        </w:r>
        <w:r w:rsidR="00795DDE" w:rsidRPr="0049651F">
          <w:rPr>
            <w:rStyle w:val="Hyperlink"/>
            <w:i/>
            <w:noProof/>
          </w:rPr>
          <w:t>Hpa</w:t>
        </w:r>
        <w:r w:rsidR="00795DDE" w:rsidRPr="0049651F">
          <w:rPr>
            <w:rStyle w:val="Hyperlink"/>
            <w:noProof/>
          </w:rPr>
          <w:t xml:space="preserve"> isolate Noco2 and the avirulent isolate Cala2.</w:t>
        </w:r>
        <w:r w:rsidR="00795DDE">
          <w:rPr>
            <w:noProof/>
            <w:webHidden/>
          </w:rPr>
          <w:tab/>
        </w:r>
        <w:r w:rsidR="00795DDE">
          <w:rPr>
            <w:noProof/>
            <w:webHidden/>
          </w:rPr>
          <w:fldChar w:fldCharType="begin"/>
        </w:r>
        <w:r w:rsidR="00795DDE">
          <w:rPr>
            <w:noProof/>
            <w:webHidden/>
          </w:rPr>
          <w:instrText xml:space="preserve"> PAGEREF _Toc419386450 \h </w:instrText>
        </w:r>
        <w:r w:rsidR="00795DDE">
          <w:rPr>
            <w:noProof/>
            <w:webHidden/>
          </w:rPr>
        </w:r>
        <w:r w:rsidR="00795DDE">
          <w:rPr>
            <w:noProof/>
            <w:webHidden/>
          </w:rPr>
          <w:fldChar w:fldCharType="separate"/>
        </w:r>
        <w:r w:rsidR="00CB17FE">
          <w:rPr>
            <w:noProof/>
            <w:webHidden/>
          </w:rPr>
          <w:t>156</w:t>
        </w:r>
        <w:r w:rsidR="00795DDE">
          <w:rPr>
            <w:noProof/>
            <w:webHidden/>
          </w:rPr>
          <w:fldChar w:fldCharType="end"/>
        </w:r>
      </w:hyperlink>
    </w:p>
    <w:p w:rsidR="00795DDE" w:rsidRDefault="00F865A3">
      <w:pPr>
        <w:pStyle w:val="Abbildungsverzeichnis"/>
        <w:tabs>
          <w:tab w:val="right" w:leader="dot" w:pos="9062"/>
        </w:tabs>
        <w:rPr>
          <w:rFonts w:eastAsiaTheme="minorEastAsia"/>
          <w:noProof/>
          <w:lang w:val="de-DE" w:eastAsia="de-DE"/>
        </w:rPr>
      </w:pPr>
      <w:hyperlink w:anchor="_Toc419386451" w:history="1">
        <w:r w:rsidR="00795DDE" w:rsidRPr="0049651F">
          <w:rPr>
            <w:rStyle w:val="Hyperlink"/>
            <w:noProof/>
          </w:rPr>
          <w:t xml:space="preserve">Table 7. Analysis of amino acid accumulation in wild type and mutant </w:t>
        </w:r>
        <w:r w:rsidR="00795DDE" w:rsidRPr="0049651F">
          <w:rPr>
            <w:rStyle w:val="Hyperlink"/>
            <w:i/>
            <w:noProof/>
          </w:rPr>
          <w:t>Arabidopsis thaliana</w:t>
        </w:r>
        <w:r w:rsidR="00795DDE" w:rsidRPr="0049651F">
          <w:rPr>
            <w:rStyle w:val="Hyperlink"/>
            <w:noProof/>
          </w:rPr>
          <w:t xml:space="preserve"> plants infected with the virulent </w:t>
        </w:r>
        <w:r w:rsidR="00795DDE" w:rsidRPr="0049651F">
          <w:rPr>
            <w:rStyle w:val="Hyperlink"/>
            <w:i/>
            <w:noProof/>
          </w:rPr>
          <w:t>Hpa</w:t>
        </w:r>
        <w:r w:rsidR="00795DDE" w:rsidRPr="0049651F">
          <w:rPr>
            <w:rStyle w:val="Hyperlink"/>
            <w:noProof/>
          </w:rPr>
          <w:t xml:space="preserve"> isolate Noco2.</w:t>
        </w:r>
        <w:r w:rsidR="00795DDE">
          <w:rPr>
            <w:noProof/>
            <w:webHidden/>
          </w:rPr>
          <w:tab/>
        </w:r>
        <w:r w:rsidR="00795DDE">
          <w:rPr>
            <w:noProof/>
            <w:webHidden/>
          </w:rPr>
          <w:fldChar w:fldCharType="begin"/>
        </w:r>
        <w:r w:rsidR="00795DDE">
          <w:rPr>
            <w:noProof/>
            <w:webHidden/>
          </w:rPr>
          <w:instrText xml:space="preserve"> PAGEREF _Toc419386451 \h </w:instrText>
        </w:r>
        <w:r w:rsidR="00795DDE">
          <w:rPr>
            <w:noProof/>
            <w:webHidden/>
          </w:rPr>
        </w:r>
        <w:r w:rsidR="00795DDE">
          <w:rPr>
            <w:noProof/>
            <w:webHidden/>
          </w:rPr>
          <w:fldChar w:fldCharType="separate"/>
        </w:r>
        <w:r w:rsidR="00CB17FE">
          <w:rPr>
            <w:noProof/>
            <w:webHidden/>
          </w:rPr>
          <w:t>157</w:t>
        </w:r>
        <w:r w:rsidR="00795DDE">
          <w:rPr>
            <w:noProof/>
            <w:webHidden/>
          </w:rPr>
          <w:fldChar w:fldCharType="end"/>
        </w:r>
      </w:hyperlink>
    </w:p>
    <w:p w:rsidR="00006348" w:rsidRDefault="00006348" w:rsidP="00006348">
      <w:pPr>
        <w:rPr>
          <w:lang w:val="de-DE"/>
        </w:rPr>
      </w:pPr>
      <w:r>
        <w:rPr>
          <w:lang w:val="de-DE"/>
        </w:rPr>
        <w:fldChar w:fldCharType="end"/>
      </w:r>
    </w:p>
    <w:p w:rsidR="00CB005D" w:rsidRDefault="00CB005D" w:rsidP="00006348">
      <w:pPr>
        <w:rPr>
          <w:lang w:val="de-DE"/>
        </w:rPr>
      </w:pPr>
    </w:p>
    <w:p w:rsidR="00CB005D" w:rsidRDefault="00CB005D" w:rsidP="00006348">
      <w:pPr>
        <w:rPr>
          <w:lang w:val="de-DE"/>
        </w:rPr>
      </w:pPr>
    </w:p>
    <w:p w:rsidR="00CB005D" w:rsidRDefault="00CB005D" w:rsidP="00006348">
      <w:pPr>
        <w:rPr>
          <w:lang w:val="de-DE"/>
        </w:rPr>
      </w:pPr>
    </w:p>
    <w:p w:rsidR="00CB005D" w:rsidRDefault="00CB005D" w:rsidP="00006348">
      <w:pPr>
        <w:rPr>
          <w:lang w:val="de-DE"/>
        </w:rPr>
      </w:pPr>
    </w:p>
    <w:p w:rsidR="00CB005D" w:rsidRDefault="00CB005D" w:rsidP="00006348">
      <w:pPr>
        <w:rPr>
          <w:lang w:val="de-DE"/>
        </w:rPr>
      </w:pPr>
    </w:p>
    <w:p w:rsidR="00CB005D" w:rsidRDefault="00CB005D" w:rsidP="00006348">
      <w:pPr>
        <w:rPr>
          <w:lang w:val="de-DE"/>
        </w:rPr>
      </w:pPr>
    </w:p>
    <w:p w:rsidR="00CB005D" w:rsidRDefault="00CB005D" w:rsidP="00006348">
      <w:pPr>
        <w:rPr>
          <w:lang w:val="de-DE"/>
        </w:rPr>
      </w:pPr>
    </w:p>
    <w:p w:rsidR="00CB005D" w:rsidRDefault="00CB005D" w:rsidP="00006348">
      <w:pPr>
        <w:rPr>
          <w:lang w:val="de-DE"/>
        </w:rPr>
      </w:pPr>
    </w:p>
    <w:p w:rsidR="00C37652" w:rsidRDefault="00A8044E" w:rsidP="007B40AA">
      <w:pPr>
        <w:pStyle w:val="berschrift1"/>
        <w:spacing w:after="240"/>
        <w:rPr>
          <w:color w:val="000000" w:themeColor="text1"/>
          <w:lang w:val="de-DE"/>
        </w:rPr>
      </w:pPr>
      <w:bookmarkStart w:id="3" w:name="_Toc435621198"/>
      <w:r w:rsidRPr="00A8044E">
        <w:rPr>
          <w:color w:val="000000" w:themeColor="text1"/>
          <w:lang w:val="de-DE"/>
        </w:rPr>
        <w:lastRenderedPageBreak/>
        <w:t>Supplemental figures</w:t>
      </w:r>
      <w:bookmarkEnd w:id="3"/>
    </w:p>
    <w:p w:rsidR="000471F8" w:rsidRDefault="007B40AA">
      <w:pPr>
        <w:pStyle w:val="Abbildungsverzeichnis"/>
        <w:tabs>
          <w:tab w:val="right" w:leader="dot" w:pos="9062"/>
        </w:tabs>
        <w:rPr>
          <w:rFonts w:eastAsiaTheme="minorEastAsia"/>
          <w:noProof/>
          <w:lang w:val="de-DE" w:eastAsia="de-DE"/>
        </w:rPr>
      </w:pPr>
      <w:r>
        <w:rPr>
          <w:lang w:val="de-DE"/>
        </w:rPr>
        <w:fldChar w:fldCharType="begin"/>
      </w:r>
      <w:r>
        <w:rPr>
          <w:lang w:val="de-DE"/>
        </w:rPr>
        <w:instrText xml:space="preserve"> TOC \h \z \c "Supplemental figure" </w:instrText>
      </w:r>
      <w:r>
        <w:rPr>
          <w:lang w:val="de-DE"/>
        </w:rPr>
        <w:fldChar w:fldCharType="separate"/>
      </w:r>
      <w:hyperlink w:anchor="_Toc435621166" w:history="1">
        <w:r w:rsidR="000471F8" w:rsidRPr="005E75F8">
          <w:rPr>
            <w:rStyle w:val="Hyperlink"/>
            <w:noProof/>
          </w:rPr>
          <w:t xml:space="preserve">Supplemental figure 1. </w:t>
        </w:r>
        <w:r w:rsidR="000471F8" w:rsidRPr="005E75F8">
          <w:rPr>
            <w:rStyle w:val="Hyperlink"/>
            <w:noProof/>
            <w:lang w:val="en-US"/>
          </w:rPr>
          <w:t xml:space="preserve">Analysis of defence priming in </w:t>
        </w:r>
        <w:r w:rsidR="000471F8" w:rsidRPr="005E75F8">
          <w:rPr>
            <w:rStyle w:val="Hyperlink"/>
            <w:i/>
            <w:noProof/>
            <w:lang w:val="en-US"/>
          </w:rPr>
          <w:t>Arabidopsis thaliana</w:t>
        </w:r>
        <w:r w:rsidR="000471F8" w:rsidRPr="005E75F8">
          <w:rPr>
            <w:rStyle w:val="Hyperlink"/>
            <w:noProof/>
            <w:lang w:val="en-US"/>
          </w:rPr>
          <w:t>.</w:t>
        </w:r>
        <w:r w:rsidR="000471F8">
          <w:rPr>
            <w:noProof/>
            <w:webHidden/>
          </w:rPr>
          <w:tab/>
        </w:r>
        <w:r w:rsidR="000471F8">
          <w:rPr>
            <w:noProof/>
            <w:webHidden/>
          </w:rPr>
          <w:fldChar w:fldCharType="begin"/>
        </w:r>
        <w:r w:rsidR="000471F8">
          <w:rPr>
            <w:noProof/>
            <w:webHidden/>
          </w:rPr>
          <w:instrText xml:space="preserve"> PAGEREF _Toc435621166 \h </w:instrText>
        </w:r>
        <w:r w:rsidR="000471F8">
          <w:rPr>
            <w:noProof/>
            <w:webHidden/>
          </w:rPr>
        </w:r>
        <w:r w:rsidR="000471F8">
          <w:rPr>
            <w:noProof/>
            <w:webHidden/>
          </w:rPr>
          <w:fldChar w:fldCharType="separate"/>
        </w:r>
        <w:r w:rsidR="000471F8">
          <w:rPr>
            <w:noProof/>
            <w:webHidden/>
          </w:rPr>
          <w:t>142</w:t>
        </w:r>
        <w:r w:rsidR="000471F8">
          <w:rPr>
            <w:noProof/>
            <w:webHidden/>
          </w:rPr>
          <w:fldChar w:fldCharType="end"/>
        </w:r>
      </w:hyperlink>
    </w:p>
    <w:p w:rsidR="000471F8" w:rsidRDefault="000471F8">
      <w:pPr>
        <w:pStyle w:val="Abbildungsverzeichnis"/>
        <w:tabs>
          <w:tab w:val="right" w:leader="dot" w:pos="9062"/>
        </w:tabs>
        <w:rPr>
          <w:rFonts w:eastAsiaTheme="minorEastAsia"/>
          <w:noProof/>
          <w:lang w:val="de-DE" w:eastAsia="de-DE"/>
        </w:rPr>
      </w:pPr>
      <w:hyperlink w:anchor="_Toc435621167" w:history="1">
        <w:r w:rsidRPr="005E75F8">
          <w:rPr>
            <w:rStyle w:val="Hyperlink"/>
            <w:noProof/>
          </w:rPr>
          <w:t xml:space="preserve">Supplemental figure 2. Analysis of defence priming in </w:t>
        </w:r>
        <w:r w:rsidRPr="005E75F8">
          <w:rPr>
            <w:rStyle w:val="Hyperlink"/>
            <w:i/>
            <w:noProof/>
          </w:rPr>
          <w:t>A. thaliana</w:t>
        </w:r>
        <w:r w:rsidRPr="005E75F8">
          <w:rPr>
            <w:rStyle w:val="Hyperlink"/>
            <w:noProof/>
          </w:rPr>
          <w:t xml:space="preserve"> (continued).</w:t>
        </w:r>
        <w:r>
          <w:rPr>
            <w:noProof/>
            <w:webHidden/>
          </w:rPr>
          <w:tab/>
        </w:r>
        <w:r>
          <w:rPr>
            <w:noProof/>
            <w:webHidden/>
          </w:rPr>
          <w:fldChar w:fldCharType="begin"/>
        </w:r>
        <w:r>
          <w:rPr>
            <w:noProof/>
            <w:webHidden/>
          </w:rPr>
          <w:instrText xml:space="preserve"> PAGEREF _Toc435621167 \h </w:instrText>
        </w:r>
        <w:r>
          <w:rPr>
            <w:noProof/>
            <w:webHidden/>
          </w:rPr>
        </w:r>
        <w:r>
          <w:rPr>
            <w:noProof/>
            <w:webHidden/>
          </w:rPr>
          <w:fldChar w:fldCharType="separate"/>
        </w:r>
        <w:r>
          <w:rPr>
            <w:noProof/>
            <w:webHidden/>
          </w:rPr>
          <w:t>143</w:t>
        </w:r>
        <w:r>
          <w:rPr>
            <w:noProof/>
            <w:webHidden/>
          </w:rPr>
          <w:fldChar w:fldCharType="end"/>
        </w:r>
      </w:hyperlink>
    </w:p>
    <w:p w:rsidR="000471F8" w:rsidRDefault="000471F8">
      <w:pPr>
        <w:pStyle w:val="Abbildungsverzeichnis"/>
        <w:tabs>
          <w:tab w:val="right" w:leader="dot" w:pos="9062"/>
        </w:tabs>
        <w:rPr>
          <w:rFonts w:eastAsiaTheme="minorEastAsia"/>
          <w:noProof/>
          <w:lang w:val="de-DE" w:eastAsia="de-DE"/>
        </w:rPr>
      </w:pPr>
      <w:hyperlink w:anchor="_Toc435621168" w:history="1">
        <w:r w:rsidRPr="005E75F8">
          <w:rPr>
            <w:rStyle w:val="Hyperlink"/>
            <w:noProof/>
          </w:rPr>
          <w:t xml:space="preserve">Supplemental figure 3. Analysis of defence priming in </w:t>
        </w:r>
        <w:r w:rsidRPr="005E75F8">
          <w:rPr>
            <w:rStyle w:val="Hyperlink"/>
            <w:i/>
            <w:noProof/>
          </w:rPr>
          <w:t>A. thaliana</w:t>
        </w:r>
        <w:r w:rsidRPr="005E75F8">
          <w:rPr>
            <w:rStyle w:val="Hyperlink"/>
            <w:noProof/>
          </w:rPr>
          <w:t xml:space="preserve"> (continued).</w:t>
        </w:r>
        <w:r>
          <w:rPr>
            <w:noProof/>
            <w:webHidden/>
          </w:rPr>
          <w:tab/>
        </w:r>
        <w:r>
          <w:rPr>
            <w:noProof/>
            <w:webHidden/>
          </w:rPr>
          <w:fldChar w:fldCharType="begin"/>
        </w:r>
        <w:r>
          <w:rPr>
            <w:noProof/>
            <w:webHidden/>
          </w:rPr>
          <w:instrText xml:space="preserve"> PAGEREF _Toc435621168 \h </w:instrText>
        </w:r>
        <w:r>
          <w:rPr>
            <w:noProof/>
            <w:webHidden/>
          </w:rPr>
        </w:r>
        <w:r>
          <w:rPr>
            <w:noProof/>
            <w:webHidden/>
          </w:rPr>
          <w:fldChar w:fldCharType="separate"/>
        </w:r>
        <w:r>
          <w:rPr>
            <w:noProof/>
            <w:webHidden/>
          </w:rPr>
          <w:t>144</w:t>
        </w:r>
        <w:r>
          <w:rPr>
            <w:noProof/>
            <w:webHidden/>
          </w:rPr>
          <w:fldChar w:fldCharType="end"/>
        </w:r>
      </w:hyperlink>
    </w:p>
    <w:p w:rsidR="000471F8" w:rsidRDefault="000471F8">
      <w:pPr>
        <w:pStyle w:val="Abbildungsverzeichnis"/>
        <w:tabs>
          <w:tab w:val="right" w:leader="dot" w:pos="9062"/>
        </w:tabs>
        <w:rPr>
          <w:rFonts w:eastAsiaTheme="minorEastAsia"/>
          <w:noProof/>
          <w:lang w:val="de-DE" w:eastAsia="de-DE"/>
        </w:rPr>
      </w:pPr>
      <w:hyperlink w:anchor="_Toc435621169" w:history="1">
        <w:r w:rsidRPr="005E75F8">
          <w:rPr>
            <w:rStyle w:val="Hyperlink"/>
            <w:noProof/>
          </w:rPr>
          <w:t xml:space="preserve">Supplemental figure 4. Analysis of defence priming in </w:t>
        </w:r>
        <w:r w:rsidRPr="005E75F8">
          <w:rPr>
            <w:rStyle w:val="Hyperlink"/>
            <w:i/>
            <w:noProof/>
          </w:rPr>
          <w:t>A. thaliana</w:t>
        </w:r>
        <w:r w:rsidRPr="005E75F8">
          <w:rPr>
            <w:rStyle w:val="Hyperlink"/>
            <w:noProof/>
          </w:rPr>
          <w:t xml:space="preserve"> (continued).</w:t>
        </w:r>
        <w:r>
          <w:rPr>
            <w:noProof/>
            <w:webHidden/>
          </w:rPr>
          <w:tab/>
        </w:r>
        <w:r>
          <w:rPr>
            <w:noProof/>
            <w:webHidden/>
          </w:rPr>
          <w:fldChar w:fldCharType="begin"/>
        </w:r>
        <w:r>
          <w:rPr>
            <w:noProof/>
            <w:webHidden/>
          </w:rPr>
          <w:instrText xml:space="preserve"> PAGEREF _Toc435621169 \h </w:instrText>
        </w:r>
        <w:r>
          <w:rPr>
            <w:noProof/>
            <w:webHidden/>
          </w:rPr>
        </w:r>
        <w:r>
          <w:rPr>
            <w:noProof/>
            <w:webHidden/>
          </w:rPr>
          <w:fldChar w:fldCharType="separate"/>
        </w:r>
        <w:r>
          <w:rPr>
            <w:noProof/>
            <w:webHidden/>
          </w:rPr>
          <w:t>145</w:t>
        </w:r>
        <w:r>
          <w:rPr>
            <w:noProof/>
            <w:webHidden/>
          </w:rPr>
          <w:fldChar w:fldCharType="end"/>
        </w:r>
      </w:hyperlink>
    </w:p>
    <w:p w:rsidR="000471F8" w:rsidRDefault="000471F8">
      <w:pPr>
        <w:pStyle w:val="Abbildungsverzeichnis"/>
        <w:tabs>
          <w:tab w:val="right" w:leader="dot" w:pos="9062"/>
        </w:tabs>
        <w:rPr>
          <w:rFonts w:eastAsiaTheme="minorEastAsia"/>
          <w:noProof/>
          <w:lang w:val="de-DE" w:eastAsia="de-DE"/>
        </w:rPr>
      </w:pPr>
      <w:hyperlink w:anchor="_Toc435621170" w:history="1">
        <w:r w:rsidRPr="005E75F8">
          <w:rPr>
            <w:rStyle w:val="Hyperlink"/>
            <w:noProof/>
          </w:rPr>
          <w:t xml:space="preserve">Supplemental figure 5. Analysis of defence priming in </w:t>
        </w:r>
        <w:r w:rsidRPr="005E75F8">
          <w:rPr>
            <w:rStyle w:val="Hyperlink"/>
            <w:i/>
            <w:noProof/>
          </w:rPr>
          <w:t>A. thaliana</w:t>
        </w:r>
        <w:r w:rsidRPr="005E75F8">
          <w:rPr>
            <w:rStyle w:val="Hyperlink"/>
            <w:noProof/>
          </w:rPr>
          <w:t xml:space="preserve"> (continued).</w:t>
        </w:r>
        <w:r>
          <w:rPr>
            <w:noProof/>
            <w:webHidden/>
          </w:rPr>
          <w:tab/>
        </w:r>
        <w:r>
          <w:rPr>
            <w:noProof/>
            <w:webHidden/>
          </w:rPr>
          <w:fldChar w:fldCharType="begin"/>
        </w:r>
        <w:r>
          <w:rPr>
            <w:noProof/>
            <w:webHidden/>
          </w:rPr>
          <w:instrText xml:space="preserve"> PAGEREF _Toc435621170 \h </w:instrText>
        </w:r>
        <w:r>
          <w:rPr>
            <w:noProof/>
            <w:webHidden/>
          </w:rPr>
        </w:r>
        <w:r>
          <w:rPr>
            <w:noProof/>
            <w:webHidden/>
          </w:rPr>
          <w:fldChar w:fldCharType="separate"/>
        </w:r>
        <w:r>
          <w:rPr>
            <w:noProof/>
            <w:webHidden/>
          </w:rPr>
          <w:t>146</w:t>
        </w:r>
        <w:r>
          <w:rPr>
            <w:noProof/>
            <w:webHidden/>
          </w:rPr>
          <w:fldChar w:fldCharType="end"/>
        </w:r>
      </w:hyperlink>
    </w:p>
    <w:p w:rsidR="000471F8" w:rsidRDefault="000471F8">
      <w:pPr>
        <w:pStyle w:val="Abbildungsverzeichnis"/>
        <w:tabs>
          <w:tab w:val="right" w:leader="dot" w:pos="9062"/>
        </w:tabs>
        <w:rPr>
          <w:rFonts w:eastAsiaTheme="minorEastAsia"/>
          <w:noProof/>
          <w:lang w:val="de-DE" w:eastAsia="de-DE"/>
        </w:rPr>
      </w:pPr>
      <w:hyperlink w:anchor="_Toc435621171" w:history="1">
        <w:r w:rsidRPr="005E75F8">
          <w:rPr>
            <w:rStyle w:val="Hyperlink"/>
            <w:noProof/>
          </w:rPr>
          <w:t xml:space="preserve">Supplemental figure 6. Analysis of defence priming in </w:t>
        </w:r>
        <w:r w:rsidRPr="005E75F8">
          <w:rPr>
            <w:rStyle w:val="Hyperlink"/>
            <w:i/>
            <w:noProof/>
          </w:rPr>
          <w:t>A. thaliana</w:t>
        </w:r>
        <w:r w:rsidRPr="005E75F8">
          <w:rPr>
            <w:rStyle w:val="Hyperlink"/>
            <w:noProof/>
          </w:rPr>
          <w:t xml:space="preserve"> (continued).</w:t>
        </w:r>
        <w:r>
          <w:rPr>
            <w:noProof/>
            <w:webHidden/>
          </w:rPr>
          <w:tab/>
        </w:r>
        <w:r>
          <w:rPr>
            <w:noProof/>
            <w:webHidden/>
          </w:rPr>
          <w:fldChar w:fldCharType="begin"/>
        </w:r>
        <w:r>
          <w:rPr>
            <w:noProof/>
            <w:webHidden/>
          </w:rPr>
          <w:instrText xml:space="preserve"> PAGEREF _Toc435621171 \h </w:instrText>
        </w:r>
        <w:r>
          <w:rPr>
            <w:noProof/>
            <w:webHidden/>
          </w:rPr>
        </w:r>
        <w:r>
          <w:rPr>
            <w:noProof/>
            <w:webHidden/>
          </w:rPr>
          <w:fldChar w:fldCharType="separate"/>
        </w:r>
        <w:r>
          <w:rPr>
            <w:noProof/>
            <w:webHidden/>
          </w:rPr>
          <w:t>147</w:t>
        </w:r>
        <w:r>
          <w:rPr>
            <w:noProof/>
            <w:webHidden/>
          </w:rPr>
          <w:fldChar w:fldCharType="end"/>
        </w:r>
      </w:hyperlink>
    </w:p>
    <w:p w:rsidR="000471F8" w:rsidRDefault="000471F8">
      <w:pPr>
        <w:pStyle w:val="Abbildungsverzeichnis"/>
        <w:tabs>
          <w:tab w:val="right" w:leader="dot" w:pos="9062"/>
        </w:tabs>
        <w:rPr>
          <w:rFonts w:eastAsiaTheme="minorEastAsia"/>
          <w:noProof/>
          <w:lang w:val="de-DE" w:eastAsia="de-DE"/>
        </w:rPr>
      </w:pPr>
      <w:hyperlink w:anchor="_Toc435621172" w:history="1">
        <w:r w:rsidRPr="005E75F8">
          <w:rPr>
            <w:rStyle w:val="Hyperlink"/>
            <w:noProof/>
          </w:rPr>
          <w:t xml:space="preserve">Supplemental figure 7. Analysis of defence priming in </w:t>
        </w:r>
        <w:r w:rsidRPr="005E75F8">
          <w:rPr>
            <w:rStyle w:val="Hyperlink"/>
            <w:i/>
            <w:noProof/>
          </w:rPr>
          <w:t>A. thaliana</w:t>
        </w:r>
        <w:r w:rsidRPr="005E75F8">
          <w:rPr>
            <w:rStyle w:val="Hyperlink"/>
            <w:noProof/>
          </w:rPr>
          <w:t xml:space="preserve"> (continued).</w:t>
        </w:r>
        <w:r>
          <w:rPr>
            <w:noProof/>
            <w:webHidden/>
          </w:rPr>
          <w:tab/>
        </w:r>
        <w:r>
          <w:rPr>
            <w:noProof/>
            <w:webHidden/>
          </w:rPr>
          <w:fldChar w:fldCharType="begin"/>
        </w:r>
        <w:r>
          <w:rPr>
            <w:noProof/>
            <w:webHidden/>
          </w:rPr>
          <w:instrText xml:space="preserve"> PAGEREF _Toc435621172 \h </w:instrText>
        </w:r>
        <w:r>
          <w:rPr>
            <w:noProof/>
            <w:webHidden/>
          </w:rPr>
        </w:r>
        <w:r>
          <w:rPr>
            <w:noProof/>
            <w:webHidden/>
          </w:rPr>
          <w:fldChar w:fldCharType="separate"/>
        </w:r>
        <w:r>
          <w:rPr>
            <w:noProof/>
            <w:webHidden/>
          </w:rPr>
          <w:t>148</w:t>
        </w:r>
        <w:r>
          <w:rPr>
            <w:noProof/>
            <w:webHidden/>
          </w:rPr>
          <w:fldChar w:fldCharType="end"/>
        </w:r>
      </w:hyperlink>
    </w:p>
    <w:p w:rsidR="000471F8" w:rsidRDefault="000471F8">
      <w:pPr>
        <w:pStyle w:val="Abbildungsverzeichnis"/>
        <w:tabs>
          <w:tab w:val="right" w:leader="dot" w:pos="9062"/>
        </w:tabs>
        <w:rPr>
          <w:rFonts w:eastAsiaTheme="minorEastAsia"/>
          <w:noProof/>
          <w:lang w:val="de-DE" w:eastAsia="de-DE"/>
        </w:rPr>
      </w:pPr>
      <w:hyperlink w:anchor="_Toc435621173" w:history="1">
        <w:r w:rsidRPr="005E75F8">
          <w:rPr>
            <w:rStyle w:val="Hyperlink"/>
            <w:noProof/>
          </w:rPr>
          <w:t xml:space="preserve">Supplemental figure 8. Analysis of defence priming in </w:t>
        </w:r>
        <w:r w:rsidRPr="005E75F8">
          <w:rPr>
            <w:rStyle w:val="Hyperlink"/>
            <w:i/>
            <w:noProof/>
          </w:rPr>
          <w:t>A. thaliana</w:t>
        </w:r>
        <w:r w:rsidRPr="005E75F8">
          <w:rPr>
            <w:rStyle w:val="Hyperlink"/>
            <w:noProof/>
          </w:rPr>
          <w:t xml:space="preserve"> (continued).</w:t>
        </w:r>
        <w:r>
          <w:rPr>
            <w:noProof/>
            <w:webHidden/>
          </w:rPr>
          <w:tab/>
        </w:r>
        <w:r>
          <w:rPr>
            <w:noProof/>
            <w:webHidden/>
          </w:rPr>
          <w:fldChar w:fldCharType="begin"/>
        </w:r>
        <w:r>
          <w:rPr>
            <w:noProof/>
            <w:webHidden/>
          </w:rPr>
          <w:instrText xml:space="preserve"> PAGEREF _Toc435621173 \h </w:instrText>
        </w:r>
        <w:r>
          <w:rPr>
            <w:noProof/>
            <w:webHidden/>
          </w:rPr>
        </w:r>
        <w:r>
          <w:rPr>
            <w:noProof/>
            <w:webHidden/>
          </w:rPr>
          <w:fldChar w:fldCharType="separate"/>
        </w:r>
        <w:r>
          <w:rPr>
            <w:noProof/>
            <w:webHidden/>
          </w:rPr>
          <w:t>149</w:t>
        </w:r>
        <w:r>
          <w:rPr>
            <w:noProof/>
            <w:webHidden/>
          </w:rPr>
          <w:fldChar w:fldCharType="end"/>
        </w:r>
      </w:hyperlink>
    </w:p>
    <w:p w:rsidR="000471F8" w:rsidRDefault="000471F8">
      <w:pPr>
        <w:pStyle w:val="Abbildungsverzeichnis"/>
        <w:tabs>
          <w:tab w:val="right" w:leader="dot" w:pos="9062"/>
        </w:tabs>
        <w:rPr>
          <w:rFonts w:eastAsiaTheme="minorEastAsia"/>
          <w:noProof/>
          <w:lang w:val="de-DE" w:eastAsia="de-DE"/>
        </w:rPr>
      </w:pPr>
      <w:hyperlink w:anchor="_Toc435621174" w:history="1">
        <w:r w:rsidRPr="005E75F8">
          <w:rPr>
            <w:rStyle w:val="Hyperlink"/>
            <w:noProof/>
          </w:rPr>
          <w:t>Supplemental figure 9. SA-dependency of genes analysed for defence priming.</w:t>
        </w:r>
        <w:r>
          <w:rPr>
            <w:noProof/>
            <w:webHidden/>
          </w:rPr>
          <w:tab/>
        </w:r>
        <w:r>
          <w:rPr>
            <w:noProof/>
            <w:webHidden/>
          </w:rPr>
          <w:fldChar w:fldCharType="begin"/>
        </w:r>
        <w:r>
          <w:rPr>
            <w:noProof/>
            <w:webHidden/>
          </w:rPr>
          <w:instrText xml:space="preserve"> PAGEREF _Toc435621174 \h </w:instrText>
        </w:r>
        <w:r>
          <w:rPr>
            <w:noProof/>
            <w:webHidden/>
          </w:rPr>
        </w:r>
        <w:r>
          <w:rPr>
            <w:noProof/>
            <w:webHidden/>
          </w:rPr>
          <w:fldChar w:fldCharType="separate"/>
        </w:r>
        <w:r>
          <w:rPr>
            <w:noProof/>
            <w:webHidden/>
          </w:rPr>
          <w:t>150</w:t>
        </w:r>
        <w:r>
          <w:rPr>
            <w:noProof/>
            <w:webHidden/>
          </w:rPr>
          <w:fldChar w:fldCharType="end"/>
        </w:r>
      </w:hyperlink>
    </w:p>
    <w:p w:rsidR="000471F8" w:rsidRDefault="000471F8">
      <w:pPr>
        <w:pStyle w:val="Abbildungsverzeichnis"/>
        <w:tabs>
          <w:tab w:val="right" w:leader="dot" w:pos="9062"/>
        </w:tabs>
        <w:rPr>
          <w:rFonts w:eastAsiaTheme="minorEastAsia"/>
          <w:noProof/>
          <w:lang w:val="de-DE" w:eastAsia="de-DE"/>
        </w:rPr>
      </w:pPr>
      <w:hyperlink w:anchor="_Toc435621175" w:history="1">
        <w:r w:rsidRPr="005E75F8">
          <w:rPr>
            <w:rStyle w:val="Hyperlink"/>
            <w:noProof/>
          </w:rPr>
          <w:t xml:space="preserve">Supplemental figure 10. Primed gene expression and camalexin accumulation by exogenously applied Pip is abolished in </w:t>
        </w:r>
        <w:r w:rsidRPr="005E75F8">
          <w:rPr>
            <w:rStyle w:val="Hyperlink"/>
            <w:i/>
            <w:noProof/>
          </w:rPr>
          <w:t>fmo1</w:t>
        </w:r>
        <w:r w:rsidRPr="005E75F8">
          <w:rPr>
            <w:rStyle w:val="Hyperlink"/>
            <w:noProof/>
          </w:rPr>
          <w:t>.</w:t>
        </w:r>
        <w:r>
          <w:rPr>
            <w:noProof/>
            <w:webHidden/>
          </w:rPr>
          <w:tab/>
        </w:r>
        <w:r>
          <w:rPr>
            <w:noProof/>
            <w:webHidden/>
          </w:rPr>
          <w:fldChar w:fldCharType="begin"/>
        </w:r>
        <w:r>
          <w:rPr>
            <w:noProof/>
            <w:webHidden/>
          </w:rPr>
          <w:instrText xml:space="preserve"> PAGEREF _Toc435621175 \h </w:instrText>
        </w:r>
        <w:r>
          <w:rPr>
            <w:noProof/>
            <w:webHidden/>
          </w:rPr>
        </w:r>
        <w:r>
          <w:rPr>
            <w:noProof/>
            <w:webHidden/>
          </w:rPr>
          <w:fldChar w:fldCharType="separate"/>
        </w:r>
        <w:r>
          <w:rPr>
            <w:noProof/>
            <w:webHidden/>
          </w:rPr>
          <w:t>151</w:t>
        </w:r>
        <w:r>
          <w:rPr>
            <w:noProof/>
            <w:webHidden/>
          </w:rPr>
          <w:fldChar w:fldCharType="end"/>
        </w:r>
      </w:hyperlink>
    </w:p>
    <w:p w:rsidR="000471F8" w:rsidRDefault="000471F8">
      <w:pPr>
        <w:pStyle w:val="Abbildungsverzeichnis"/>
        <w:tabs>
          <w:tab w:val="right" w:leader="dot" w:pos="9062"/>
        </w:tabs>
        <w:rPr>
          <w:rFonts w:eastAsiaTheme="minorEastAsia"/>
          <w:noProof/>
          <w:lang w:val="de-DE" w:eastAsia="de-DE"/>
        </w:rPr>
      </w:pPr>
      <w:hyperlink w:anchor="_Toc435621176" w:history="1">
        <w:r w:rsidRPr="005E75F8">
          <w:rPr>
            <w:rStyle w:val="Hyperlink"/>
            <w:noProof/>
          </w:rPr>
          <w:t>Supplemental figure 11. MPK3 and MPK6 are not involved in defence priming.</w:t>
        </w:r>
        <w:r>
          <w:rPr>
            <w:noProof/>
            <w:webHidden/>
          </w:rPr>
          <w:tab/>
        </w:r>
        <w:r>
          <w:rPr>
            <w:noProof/>
            <w:webHidden/>
          </w:rPr>
          <w:fldChar w:fldCharType="begin"/>
        </w:r>
        <w:r>
          <w:rPr>
            <w:noProof/>
            <w:webHidden/>
          </w:rPr>
          <w:instrText xml:space="preserve"> PAGEREF _Toc435621176 \h </w:instrText>
        </w:r>
        <w:r>
          <w:rPr>
            <w:noProof/>
            <w:webHidden/>
          </w:rPr>
        </w:r>
        <w:r>
          <w:rPr>
            <w:noProof/>
            <w:webHidden/>
          </w:rPr>
          <w:fldChar w:fldCharType="separate"/>
        </w:r>
        <w:r>
          <w:rPr>
            <w:noProof/>
            <w:webHidden/>
          </w:rPr>
          <w:t>152</w:t>
        </w:r>
        <w:r>
          <w:rPr>
            <w:noProof/>
            <w:webHidden/>
          </w:rPr>
          <w:fldChar w:fldCharType="end"/>
        </w:r>
      </w:hyperlink>
    </w:p>
    <w:p w:rsidR="000471F8" w:rsidRDefault="000471F8">
      <w:pPr>
        <w:pStyle w:val="Abbildungsverzeichnis"/>
        <w:tabs>
          <w:tab w:val="right" w:leader="dot" w:pos="9062"/>
        </w:tabs>
        <w:rPr>
          <w:rFonts w:eastAsiaTheme="minorEastAsia"/>
          <w:noProof/>
          <w:lang w:val="de-DE" w:eastAsia="de-DE"/>
        </w:rPr>
      </w:pPr>
      <w:hyperlink w:anchor="_Toc435621177" w:history="1">
        <w:r w:rsidRPr="005E75F8">
          <w:rPr>
            <w:rStyle w:val="Hyperlink"/>
            <w:noProof/>
          </w:rPr>
          <w:t xml:space="preserve">Supplemental figure 12. Metabolic profile of </w:t>
        </w:r>
        <w:r w:rsidRPr="005E75F8">
          <w:rPr>
            <w:rStyle w:val="Hyperlink"/>
            <w:i/>
            <w:noProof/>
          </w:rPr>
          <w:t>A. thaliana</w:t>
        </w:r>
        <w:r w:rsidRPr="005E75F8">
          <w:rPr>
            <w:rStyle w:val="Hyperlink"/>
            <w:noProof/>
          </w:rPr>
          <w:t xml:space="preserve"> plants infected with the necrotroph </w:t>
        </w:r>
        <w:r w:rsidRPr="005E75F8">
          <w:rPr>
            <w:rStyle w:val="Hyperlink"/>
            <w:i/>
            <w:noProof/>
          </w:rPr>
          <w:t>B. cinerea</w:t>
        </w:r>
        <w:r w:rsidRPr="005E75F8">
          <w:rPr>
            <w:rStyle w:val="Hyperlink"/>
            <w:noProof/>
          </w:rPr>
          <w:t>.</w:t>
        </w:r>
        <w:r>
          <w:rPr>
            <w:noProof/>
            <w:webHidden/>
          </w:rPr>
          <w:tab/>
        </w:r>
        <w:r>
          <w:rPr>
            <w:noProof/>
            <w:webHidden/>
          </w:rPr>
          <w:fldChar w:fldCharType="begin"/>
        </w:r>
        <w:r>
          <w:rPr>
            <w:noProof/>
            <w:webHidden/>
          </w:rPr>
          <w:instrText xml:space="preserve"> PAGEREF _Toc435621177 \h </w:instrText>
        </w:r>
        <w:r>
          <w:rPr>
            <w:noProof/>
            <w:webHidden/>
          </w:rPr>
        </w:r>
        <w:r>
          <w:rPr>
            <w:noProof/>
            <w:webHidden/>
          </w:rPr>
          <w:fldChar w:fldCharType="separate"/>
        </w:r>
        <w:r>
          <w:rPr>
            <w:noProof/>
            <w:webHidden/>
          </w:rPr>
          <w:t>153</w:t>
        </w:r>
        <w:r>
          <w:rPr>
            <w:noProof/>
            <w:webHidden/>
          </w:rPr>
          <w:fldChar w:fldCharType="end"/>
        </w:r>
      </w:hyperlink>
    </w:p>
    <w:p w:rsidR="000471F8" w:rsidRDefault="000471F8">
      <w:pPr>
        <w:pStyle w:val="Abbildungsverzeichnis"/>
        <w:tabs>
          <w:tab w:val="right" w:leader="dot" w:pos="9062"/>
        </w:tabs>
        <w:rPr>
          <w:rFonts w:eastAsiaTheme="minorEastAsia"/>
          <w:noProof/>
          <w:lang w:val="de-DE" w:eastAsia="de-DE"/>
        </w:rPr>
      </w:pPr>
      <w:hyperlink w:anchor="_Toc435621178" w:history="1">
        <w:r w:rsidRPr="005E75F8">
          <w:rPr>
            <w:rStyle w:val="Hyperlink"/>
            <w:noProof/>
          </w:rPr>
          <w:t xml:space="preserve">Supplemental figure 13. Defence signalling in the </w:t>
        </w:r>
        <w:r w:rsidRPr="005E75F8">
          <w:rPr>
            <w:rStyle w:val="Hyperlink"/>
            <w:i/>
            <w:noProof/>
          </w:rPr>
          <w:t>Arabidopsis-Botrytis</w:t>
        </w:r>
        <w:r w:rsidRPr="005E75F8">
          <w:rPr>
            <w:rStyle w:val="Hyperlink"/>
            <w:noProof/>
          </w:rPr>
          <w:t xml:space="preserve"> interaction.</w:t>
        </w:r>
        <w:r>
          <w:rPr>
            <w:noProof/>
            <w:webHidden/>
          </w:rPr>
          <w:tab/>
        </w:r>
        <w:r>
          <w:rPr>
            <w:noProof/>
            <w:webHidden/>
          </w:rPr>
          <w:fldChar w:fldCharType="begin"/>
        </w:r>
        <w:r>
          <w:rPr>
            <w:noProof/>
            <w:webHidden/>
          </w:rPr>
          <w:instrText xml:space="preserve"> PAGEREF _Toc435621178 \h </w:instrText>
        </w:r>
        <w:r>
          <w:rPr>
            <w:noProof/>
            <w:webHidden/>
          </w:rPr>
        </w:r>
        <w:r>
          <w:rPr>
            <w:noProof/>
            <w:webHidden/>
          </w:rPr>
          <w:fldChar w:fldCharType="separate"/>
        </w:r>
        <w:r>
          <w:rPr>
            <w:noProof/>
            <w:webHidden/>
          </w:rPr>
          <w:t>154</w:t>
        </w:r>
        <w:r>
          <w:rPr>
            <w:noProof/>
            <w:webHidden/>
          </w:rPr>
          <w:fldChar w:fldCharType="end"/>
        </w:r>
      </w:hyperlink>
    </w:p>
    <w:p w:rsidR="000471F8" w:rsidRDefault="000471F8">
      <w:pPr>
        <w:pStyle w:val="Abbildungsverzeichnis"/>
        <w:tabs>
          <w:tab w:val="right" w:leader="dot" w:pos="9062"/>
        </w:tabs>
        <w:rPr>
          <w:rFonts w:eastAsiaTheme="minorEastAsia"/>
          <w:noProof/>
          <w:lang w:val="de-DE" w:eastAsia="de-DE"/>
        </w:rPr>
      </w:pPr>
      <w:hyperlink w:anchor="_Toc435621179" w:history="1">
        <w:r w:rsidRPr="005E75F8">
          <w:rPr>
            <w:rStyle w:val="Hyperlink"/>
            <w:noProof/>
          </w:rPr>
          <w:t xml:space="preserve">Supplemental figure 14. Exogenous Pip induces resistance against </w:t>
        </w:r>
        <w:r w:rsidRPr="005E75F8">
          <w:rPr>
            <w:rStyle w:val="Hyperlink"/>
            <w:i/>
            <w:noProof/>
          </w:rPr>
          <w:t>B. cinerea</w:t>
        </w:r>
        <w:r w:rsidRPr="005E75F8">
          <w:rPr>
            <w:rStyle w:val="Hyperlink"/>
            <w:noProof/>
          </w:rPr>
          <w:t>.</w:t>
        </w:r>
        <w:r>
          <w:rPr>
            <w:noProof/>
            <w:webHidden/>
          </w:rPr>
          <w:tab/>
        </w:r>
        <w:r>
          <w:rPr>
            <w:noProof/>
            <w:webHidden/>
          </w:rPr>
          <w:fldChar w:fldCharType="begin"/>
        </w:r>
        <w:r>
          <w:rPr>
            <w:noProof/>
            <w:webHidden/>
          </w:rPr>
          <w:instrText xml:space="preserve"> PAGEREF _Toc435621179 \h </w:instrText>
        </w:r>
        <w:r>
          <w:rPr>
            <w:noProof/>
            <w:webHidden/>
          </w:rPr>
        </w:r>
        <w:r>
          <w:rPr>
            <w:noProof/>
            <w:webHidden/>
          </w:rPr>
          <w:fldChar w:fldCharType="separate"/>
        </w:r>
        <w:r>
          <w:rPr>
            <w:noProof/>
            <w:webHidden/>
          </w:rPr>
          <w:t>154</w:t>
        </w:r>
        <w:r>
          <w:rPr>
            <w:noProof/>
            <w:webHidden/>
          </w:rPr>
          <w:fldChar w:fldCharType="end"/>
        </w:r>
      </w:hyperlink>
    </w:p>
    <w:p w:rsidR="000471F8" w:rsidRDefault="000471F8">
      <w:pPr>
        <w:pStyle w:val="Abbildungsverzeichnis"/>
        <w:tabs>
          <w:tab w:val="right" w:leader="dot" w:pos="9062"/>
        </w:tabs>
        <w:rPr>
          <w:rFonts w:eastAsiaTheme="minorEastAsia"/>
          <w:noProof/>
          <w:lang w:val="de-DE" w:eastAsia="de-DE"/>
        </w:rPr>
      </w:pPr>
      <w:hyperlink w:anchor="_Toc435621180" w:history="1">
        <w:r w:rsidRPr="005E75F8">
          <w:rPr>
            <w:rStyle w:val="Hyperlink"/>
            <w:noProof/>
          </w:rPr>
          <w:t xml:space="preserve">Supplemental figure 15. Metabolite profiling of </w:t>
        </w:r>
        <w:r w:rsidRPr="005E75F8">
          <w:rPr>
            <w:rStyle w:val="Hyperlink"/>
            <w:i/>
            <w:noProof/>
          </w:rPr>
          <w:t>Arabidopsis</w:t>
        </w:r>
        <w:r w:rsidRPr="005E75F8">
          <w:rPr>
            <w:rStyle w:val="Hyperlink"/>
            <w:noProof/>
          </w:rPr>
          <w:t xml:space="preserve"> plants infected with the virulent </w:t>
        </w:r>
        <w:r w:rsidRPr="005E75F8">
          <w:rPr>
            <w:rStyle w:val="Hyperlink"/>
            <w:i/>
            <w:noProof/>
          </w:rPr>
          <w:t>Hpa</w:t>
        </w:r>
        <w:r w:rsidRPr="005E75F8">
          <w:rPr>
            <w:rStyle w:val="Hyperlink"/>
            <w:noProof/>
          </w:rPr>
          <w:t xml:space="preserve"> Noco2.</w:t>
        </w:r>
        <w:r>
          <w:rPr>
            <w:noProof/>
            <w:webHidden/>
          </w:rPr>
          <w:tab/>
        </w:r>
        <w:r>
          <w:rPr>
            <w:noProof/>
            <w:webHidden/>
          </w:rPr>
          <w:fldChar w:fldCharType="begin"/>
        </w:r>
        <w:r>
          <w:rPr>
            <w:noProof/>
            <w:webHidden/>
          </w:rPr>
          <w:instrText xml:space="preserve"> PAGEREF _Toc435621180 \h </w:instrText>
        </w:r>
        <w:r>
          <w:rPr>
            <w:noProof/>
            <w:webHidden/>
          </w:rPr>
        </w:r>
        <w:r>
          <w:rPr>
            <w:noProof/>
            <w:webHidden/>
          </w:rPr>
          <w:fldChar w:fldCharType="separate"/>
        </w:r>
        <w:r>
          <w:rPr>
            <w:noProof/>
            <w:webHidden/>
          </w:rPr>
          <w:t>155</w:t>
        </w:r>
        <w:r>
          <w:rPr>
            <w:noProof/>
            <w:webHidden/>
          </w:rPr>
          <w:fldChar w:fldCharType="end"/>
        </w:r>
      </w:hyperlink>
    </w:p>
    <w:p w:rsidR="000471F8" w:rsidRDefault="000471F8">
      <w:pPr>
        <w:pStyle w:val="Abbildungsverzeichnis"/>
        <w:tabs>
          <w:tab w:val="right" w:leader="dot" w:pos="9062"/>
        </w:tabs>
        <w:rPr>
          <w:rFonts w:eastAsiaTheme="minorEastAsia"/>
          <w:noProof/>
          <w:lang w:val="de-DE" w:eastAsia="de-DE"/>
        </w:rPr>
      </w:pPr>
      <w:hyperlink w:anchor="_Toc435621181" w:history="1">
        <w:r w:rsidRPr="005E75F8">
          <w:rPr>
            <w:rStyle w:val="Hyperlink"/>
            <w:noProof/>
          </w:rPr>
          <w:t xml:space="preserve">Supplemental figure 16. Exogenously applied Pip induces resistance against the virulent </w:t>
        </w:r>
        <w:r w:rsidRPr="005E75F8">
          <w:rPr>
            <w:rStyle w:val="Hyperlink"/>
            <w:i/>
            <w:noProof/>
          </w:rPr>
          <w:t>Hpa</w:t>
        </w:r>
        <w:r w:rsidRPr="005E75F8">
          <w:rPr>
            <w:rStyle w:val="Hyperlink"/>
            <w:noProof/>
          </w:rPr>
          <w:t xml:space="preserve"> isolate Noco2 in Col-0 and </w:t>
        </w:r>
        <w:r w:rsidRPr="005E75F8">
          <w:rPr>
            <w:rStyle w:val="Hyperlink"/>
            <w:i/>
            <w:noProof/>
          </w:rPr>
          <w:t>ald1</w:t>
        </w:r>
        <w:r w:rsidRPr="005E75F8">
          <w:rPr>
            <w:rStyle w:val="Hyperlink"/>
            <w:noProof/>
          </w:rPr>
          <w:t xml:space="preserve">, but not in </w:t>
        </w:r>
        <w:r w:rsidRPr="005E75F8">
          <w:rPr>
            <w:rStyle w:val="Hyperlink"/>
            <w:i/>
            <w:noProof/>
          </w:rPr>
          <w:t>fmo1</w:t>
        </w:r>
        <w:r w:rsidRPr="005E75F8">
          <w:rPr>
            <w:rStyle w:val="Hyperlink"/>
            <w:noProof/>
          </w:rPr>
          <w:t xml:space="preserve"> and </w:t>
        </w:r>
        <w:r w:rsidRPr="005E75F8">
          <w:rPr>
            <w:rStyle w:val="Hyperlink"/>
            <w:i/>
            <w:noProof/>
          </w:rPr>
          <w:t>sid2</w:t>
        </w:r>
        <w:r w:rsidRPr="005E75F8">
          <w:rPr>
            <w:rStyle w:val="Hyperlink"/>
            <w:noProof/>
          </w:rPr>
          <w:t>.</w:t>
        </w:r>
        <w:r>
          <w:rPr>
            <w:noProof/>
            <w:webHidden/>
          </w:rPr>
          <w:tab/>
        </w:r>
        <w:r>
          <w:rPr>
            <w:noProof/>
            <w:webHidden/>
          </w:rPr>
          <w:fldChar w:fldCharType="begin"/>
        </w:r>
        <w:r>
          <w:rPr>
            <w:noProof/>
            <w:webHidden/>
          </w:rPr>
          <w:instrText xml:space="preserve"> PAGEREF _Toc435621181 \h </w:instrText>
        </w:r>
        <w:r>
          <w:rPr>
            <w:noProof/>
            <w:webHidden/>
          </w:rPr>
        </w:r>
        <w:r>
          <w:rPr>
            <w:noProof/>
            <w:webHidden/>
          </w:rPr>
          <w:fldChar w:fldCharType="separate"/>
        </w:r>
        <w:r>
          <w:rPr>
            <w:noProof/>
            <w:webHidden/>
          </w:rPr>
          <w:t>159</w:t>
        </w:r>
        <w:r>
          <w:rPr>
            <w:noProof/>
            <w:webHidden/>
          </w:rPr>
          <w:fldChar w:fldCharType="end"/>
        </w:r>
      </w:hyperlink>
    </w:p>
    <w:p w:rsidR="000471F8" w:rsidRDefault="000471F8">
      <w:pPr>
        <w:pStyle w:val="Abbildungsverzeichnis"/>
        <w:tabs>
          <w:tab w:val="right" w:leader="dot" w:pos="9062"/>
        </w:tabs>
        <w:rPr>
          <w:rFonts w:eastAsiaTheme="minorEastAsia"/>
          <w:noProof/>
          <w:lang w:val="de-DE" w:eastAsia="de-DE"/>
        </w:rPr>
      </w:pPr>
      <w:hyperlink w:anchor="_Toc435621182" w:history="1">
        <w:r w:rsidRPr="005E75F8">
          <w:rPr>
            <w:rStyle w:val="Hyperlink"/>
            <w:noProof/>
          </w:rPr>
          <w:t xml:space="preserve">Supplemental figure 17. Pip-induced resistance against </w:t>
        </w:r>
        <w:r w:rsidRPr="005E75F8">
          <w:rPr>
            <w:rStyle w:val="Hyperlink"/>
            <w:i/>
            <w:noProof/>
          </w:rPr>
          <w:t>Hpa</w:t>
        </w:r>
        <w:r w:rsidRPr="005E75F8">
          <w:rPr>
            <w:rStyle w:val="Hyperlink"/>
            <w:noProof/>
          </w:rPr>
          <w:t xml:space="preserve"> Noco2.</w:t>
        </w:r>
        <w:r>
          <w:rPr>
            <w:noProof/>
            <w:webHidden/>
          </w:rPr>
          <w:tab/>
        </w:r>
        <w:r>
          <w:rPr>
            <w:noProof/>
            <w:webHidden/>
          </w:rPr>
          <w:fldChar w:fldCharType="begin"/>
        </w:r>
        <w:r>
          <w:rPr>
            <w:noProof/>
            <w:webHidden/>
          </w:rPr>
          <w:instrText xml:space="preserve"> PAGEREF _Toc435621182 \h </w:instrText>
        </w:r>
        <w:r>
          <w:rPr>
            <w:noProof/>
            <w:webHidden/>
          </w:rPr>
        </w:r>
        <w:r>
          <w:rPr>
            <w:noProof/>
            <w:webHidden/>
          </w:rPr>
          <w:fldChar w:fldCharType="separate"/>
        </w:r>
        <w:r>
          <w:rPr>
            <w:noProof/>
            <w:webHidden/>
          </w:rPr>
          <w:t>160</w:t>
        </w:r>
        <w:r>
          <w:rPr>
            <w:noProof/>
            <w:webHidden/>
          </w:rPr>
          <w:fldChar w:fldCharType="end"/>
        </w:r>
      </w:hyperlink>
    </w:p>
    <w:p w:rsidR="000471F8" w:rsidRDefault="000471F8">
      <w:pPr>
        <w:pStyle w:val="Abbildungsverzeichnis"/>
        <w:tabs>
          <w:tab w:val="right" w:leader="dot" w:pos="9062"/>
        </w:tabs>
        <w:rPr>
          <w:rFonts w:eastAsiaTheme="minorEastAsia"/>
          <w:noProof/>
          <w:lang w:val="de-DE" w:eastAsia="de-DE"/>
        </w:rPr>
      </w:pPr>
      <w:hyperlink w:anchor="_Toc435621183" w:history="1">
        <w:r w:rsidRPr="005E75F8">
          <w:rPr>
            <w:rStyle w:val="Hyperlink"/>
            <w:noProof/>
          </w:rPr>
          <w:t xml:space="preserve">Supplemental figure 18. Metabolic profile of </w:t>
        </w:r>
        <w:r w:rsidRPr="005E75F8">
          <w:rPr>
            <w:rStyle w:val="Hyperlink"/>
            <w:i/>
            <w:noProof/>
          </w:rPr>
          <w:t>Arabidopsis</w:t>
        </w:r>
        <w:r w:rsidRPr="005E75F8">
          <w:rPr>
            <w:rStyle w:val="Hyperlink"/>
            <w:noProof/>
          </w:rPr>
          <w:t xml:space="preserve"> plants infected with the powdery mildew fungus </w:t>
        </w:r>
        <w:r w:rsidRPr="005E75F8">
          <w:rPr>
            <w:rStyle w:val="Hyperlink"/>
            <w:i/>
            <w:noProof/>
          </w:rPr>
          <w:t>G. orontii.</w:t>
        </w:r>
        <w:r>
          <w:rPr>
            <w:noProof/>
            <w:webHidden/>
          </w:rPr>
          <w:tab/>
        </w:r>
        <w:r>
          <w:rPr>
            <w:noProof/>
            <w:webHidden/>
          </w:rPr>
          <w:fldChar w:fldCharType="begin"/>
        </w:r>
        <w:r>
          <w:rPr>
            <w:noProof/>
            <w:webHidden/>
          </w:rPr>
          <w:instrText xml:space="preserve"> PAGEREF _Toc435621183 \h </w:instrText>
        </w:r>
        <w:r>
          <w:rPr>
            <w:noProof/>
            <w:webHidden/>
          </w:rPr>
        </w:r>
        <w:r>
          <w:rPr>
            <w:noProof/>
            <w:webHidden/>
          </w:rPr>
          <w:fldChar w:fldCharType="separate"/>
        </w:r>
        <w:r>
          <w:rPr>
            <w:noProof/>
            <w:webHidden/>
          </w:rPr>
          <w:t>161</w:t>
        </w:r>
        <w:r>
          <w:rPr>
            <w:noProof/>
            <w:webHidden/>
          </w:rPr>
          <w:fldChar w:fldCharType="end"/>
        </w:r>
      </w:hyperlink>
    </w:p>
    <w:p w:rsidR="000471F8" w:rsidRDefault="000471F8">
      <w:pPr>
        <w:pStyle w:val="Abbildungsverzeichnis"/>
        <w:tabs>
          <w:tab w:val="right" w:leader="dot" w:pos="9062"/>
        </w:tabs>
        <w:rPr>
          <w:rFonts w:eastAsiaTheme="minorEastAsia"/>
          <w:noProof/>
          <w:lang w:val="de-DE" w:eastAsia="de-DE"/>
        </w:rPr>
      </w:pPr>
      <w:hyperlink w:anchor="_Toc435621184" w:history="1">
        <w:r w:rsidRPr="005E75F8">
          <w:rPr>
            <w:rStyle w:val="Hyperlink"/>
            <w:noProof/>
          </w:rPr>
          <w:t xml:space="preserve">Supplemental figure 19. Exogenously applied Pip induces resistance against </w:t>
        </w:r>
        <w:r w:rsidRPr="005E75F8">
          <w:rPr>
            <w:rStyle w:val="Hyperlink"/>
            <w:i/>
            <w:noProof/>
          </w:rPr>
          <w:t>G. orontii</w:t>
        </w:r>
        <w:r w:rsidRPr="005E75F8">
          <w:rPr>
            <w:rStyle w:val="Hyperlink"/>
            <w:noProof/>
          </w:rPr>
          <w:t xml:space="preserve"> in plants impaired in penetration resistance and SA-signalling.</w:t>
        </w:r>
        <w:r>
          <w:rPr>
            <w:noProof/>
            <w:webHidden/>
          </w:rPr>
          <w:tab/>
        </w:r>
        <w:r>
          <w:rPr>
            <w:noProof/>
            <w:webHidden/>
          </w:rPr>
          <w:fldChar w:fldCharType="begin"/>
        </w:r>
        <w:r>
          <w:rPr>
            <w:noProof/>
            <w:webHidden/>
          </w:rPr>
          <w:instrText xml:space="preserve"> PAGEREF _Toc435621184 \h </w:instrText>
        </w:r>
        <w:r>
          <w:rPr>
            <w:noProof/>
            <w:webHidden/>
          </w:rPr>
        </w:r>
        <w:r>
          <w:rPr>
            <w:noProof/>
            <w:webHidden/>
          </w:rPr>
          <w:fldChar w:fldCharType="separate"/>
        </w:r>
        <w:r>
          <w:rPr>
            <w:noProof/>
            <w:webHidden/>
          </w:rPr>
          <w:t>162</w:t>
        </w:r>
        <w:r>
          <w:rPr>
            <w:noProof/>
            <w:webHidden/>
          </w:rPr>
          <w:fldChar w:fldCharType="end"/>
        </w:r>
      </w:hyperlink>
    </w:p>
    <w:p w:rsidR="000471F8" w:rsidRDefault="000471F8">
      <w:pPr>
        <w:pStyle w:val="Abbildungsverzeichnis"/>
        <w:tabs>
          <w:tab w:val="right" w:leader="dot" w:pos="9062"/>
        </w:tabs>
        <w:rPr>
          <w:rFonts w:eastAsiaTheme="minorEastAsia"/>
          <w:noProof/>
          <w:lang w:val="de-DE" w:eastAsia="de-DE"/>
        </w:rPr>
      </w:pPr>
      <w:hyperlink w:anchor="_Toc435621185" w:history="1">
        <w:r w:rsidRPr="005E75F8">
          <w:rPr>
            <w:rStyle w:val="Hyperlink"/>
            <w:noProof/>
          </w:rPr>
          <w:t>Supplemental figure 20. Mass spectrum for hydroxyterephthalic acid.</w:t>
        </w:r>
        <w:r>
          <w:rPr>
            <w:noProof/>
            <w:webHidden/>
          </w:rPr>
          <w:tab/>
        </w:r>
        <w:r>
          <w:rPr>
            <w:noProof/>
            <w:webHidden/>
          </w:rPr>
          <w:fldChar w:fldCharType="begin"/>
        </w:r>
        <w:r>
          <w:rPr>
            <w:noProof/>
            <w:webHidden/>
          </w:rPr>
          <w:instrText xml:space="preserve"> PAGEREF _Toc435621185 \h </w:instrText>
        </w:r>
        <w:r>
          <w:rPr>
            <w:noProof/>
            <w:webHidden/>
          </w:rPr>
        </w:r>
        <w:r>
          <w:rPr>
            <w:noProof/>
            <w:webHidden/>
          </w:rPr>
          <w:fldChar w:fldCharType="separate"/>
        </w:r>
        <w:r>
          <w:rPr>
            <w:noProof/>
            <w:webHidden/>
          </w:rPr>
          <w:t>162</w:t>
        </w:r>
        <w:r>
          <w:rPr>
            <w:noProof/>
            <w:webHidden/>
          </w:rPr>
          <w:fldChar w:fldCharType="end"/>
        </w:r>
      </w:hyperlink>
    </w:p>
    <w:p w:rsidR="000471F8" w:rsidRDefault="000471F8">
      <w:pPr>
        <w:pStyle w:val="Abbildungsverzeichnis"/>
        <w:tabs>
          <w:tab w:val="right" w:leader="dot" w:pos="9062"/>
        </w:tabs>
        <w:rPr>
          <w:rFonts w:eastAsiaTheme="minorEastAsia"/>
          <w:noProof/>
          <w:lang w:val="de-DE" w:eastAsia="de-DE"/>
        </w:rPr>
      </w:pPr>
      <w:hyperlink w:anchor="_Toc435621186" w:history="1">
        <w:r w:rsidRPr="005E75F8">
          <w:rPr>
            <w:rStyle w:val="Hyperlink"/>
            <w:noProof/>
          </w:rPr>
          <w:t>Supplemental figure 21. Mass spectrum for neophytadien.</w:t>
        </w:r>
        <w:r>
          <w:rPr>
            <w:noProof/>
            <w:webHidden/>
          </w:rPr>
          <w:tab/>
        </w:r>
        <w:r>
          <w:rPr>
            <w:noProof/>
            <w:webHidden/>
          </w:rPr>
          <w:fldChar w:fldCharType="begin"/>
        </w:r>
        <w:r>
          <w:rPr>
            <w:noProof/>
            <w:webHidden/>
          </w:rPr>
          <w:instrText xml:space="preserve"> PAGEREF _Toc435621186 \h </w:instrText>
        </w:r>
        <w:r>
          <w:rPr>
            <w:noProof/>
            <w:webHidden/>
          </w:rPr>
        </w:r>
        <w:r>
          <w:rPr>
            <w:noProof/>
            <w:webHidden/>
          </w:rPr>
          <w:fldChar w:fldCharType="separate"/>
        </w:r>
        <w:r>
          <w:rPr>
            <w:noProof/>
            <w:webHidden/>
          </w:rPr>
          <w:t>163</w:t>
        </w:r>
        <w:r>
          <w:rPr>
            <w:noProof/>
            <w:webHidden/>
          </w:rPr>
          <w:fldChar w:fldCharType="end"/>
        </w:r>
      </w:hyperlink>
    </w:p>
    <w:p w:rsidR="000471F8" w:rsidRDefault="000471F8">
      <w:pPr>
        <w:pStyle w:val="Abbildungsverzeichnis"/>
        <w:tabs>
          <w:tab w:val="right" w:leader="dot" w:pos="9062"/>
        </w:tabs>
        <w:rPr>
          <w:rFonts w:eastAsiaTheme="minorEastAsia"/>
          <w:noProof/>
          <w:lang w:val="de-DE" w:eastAsia="de-DE"/>
        </w:rPr>
      </w:pPr>
      <w:hyperlink w:anchor="_Toc435621187" w:history="1">
        <w:r w:rsidRPr="005E75F8">
          <w:rPr>
            <w:rStyle w:val="Hyperlink"/>
            <w:noProof/>
          </w:rPr>
          <w:t>Supplemental figure 22. Mass spectrum for “unknown 1”.</w:t>
        </w:r>
        <w:r>
          <w:rPr>
            <w:noProof/>
            <w:webHidden/>
          </w:rPr>
          <w:tab/>
        </w:r>
        <w:r>
          <w:rPr>
            <w:noProof/>
            <w:webHidden/>
          </w:rPr>
          <w:fldChar w:fldCharType="begin"/>
        </w:r>
        <w:r>
          <w:rPr>
            <w:noProof/>
            <w:webHidden/>
          </w:rPr>
          <w:instrText xml:space="preserve"> PAGEREF _Toc435621187 \h </w:instrText>
        </w:r>
        <w:r>
          <w:rPr>
            <w:noProof/>
            <w:webHidden/>
          </w:rPr>
        </w:r>
        <w:r>
          <w:rPr>
            <w:noProof/>
            <w:webHidden/>
          </w:rPr>
          <w:fldChar w:fldCharType="separate"/>
        </w:r>
        <w:r>
          <w:rPr>
            <w:noProof/>
            <w:webHidden/>
          </w:rPr>
          <w:t>163</w:t>
        </w:r>
        <w:r>
          <w:rPr>
            <w:noProof/>
            <w:webHidden/>
          </w:rPr>
          <w:fldChar w:fldCharType="end"/>
        </w:r>
      </w:hyperlink>
    </w:p>
    <w:p w:rsidR="000471F8" w:rsidRDefault="000471F8">
      <w:pPr>
        <w:pStyle w:val="Abbildungsverzeichnis"/>
        <w:tabs>
          <w:tab w:val="right" w:leader="dot" w:pos="9062"/>
        </w:tabs>
        <w:rPr>
          <w:rFonts w:eastAsiaTheme="minorEastAsia"/>
          <w:noProof/>
          <w:lang w:val="de-DE" w:eastAsia="de-DE"/>
        </w:rPr>
      </w:pPr>
      <w:hyperlink w:anchor="_Toc435621188" w:history="1">
        <w:r w:rsidRPr="005E75F8">
          <w:rPr>
            <w:rStyle w:val="Hyperlink"/>
            <w:noProof/>
          </w:rPr>
          <w:t>Supplemental figure 23. Mass spectrum for “unknown 2”.</w:t>
        </w:r>
        <w:r>
          <w:rPr>
            <w:noProof/>
            <w:webHidden/>
          </w:rPr>
          <w:tab/>
        </w:r>
        <w:r>
          <w:rPr>
            <w:noProof/>
            <w:webHidden/>
          </w:rPr>
          <w:fldChar w:fldCharType="begin"/>
        </w:r>
        <w:r>
          <w:rPr>
            <w:noProof/>
            <w:webHidden/>
          </w:rPr>
          <w:instrText xml:space="preserve"> PAGEREF _Toc435621188 \h </w:instrText>
        </w:r>
        <w:r>
          <w:rPr>
            <w:noProof/>
            <w:webHidden/>
          </w:rPr>
        </w:r>
        <w:r>
          <w:rPr>
            <w:noProof/>
            <w:webHidden/>
          </w:rPr>
          <w:fldChar w:fldCharType="separate"/>
        </w:r>
        <w:r>
          <w:rPr>
            <w:noProof/>
            <w:webHidden/>
          </w:rPr>
          <w:t>164</w:t>
        </w:r>
        <w:r>
          <w:rPr>
            <w:noProof/>
            <w:webHidden/>
          </w:rPr>
          <w:fldChar w:fldCharType="end"/>
        </w:r>
      </w:hyperlink>
    </w:p>
    <w:p w:rsidR="000471F8" w:rsidRDefault="000471F8">
      <w:pPr>
        <w:pStyle w:val="Abbildungsverzeichnis"/>
        <w:tabs>
          <w:tab w:val="right" w:leader="dot" w:pos="9062"/>
        </w:tabs>
        <w:rPr>
          <w:rFonts w:eastAsiaTheme="minorEastAsia"/>
          <w:noProof/>
          <w:lang w:val="de-DE" w:eastAsia="de-DE"/>
        </w:rPr>
      </w:pPr>
      <w:hyperlink w:anchor="_Toc435621189" w:history="1">
        <w:r w:rsidRPr="005E75F8">
          <w:rPr>
            <w:rStyle w:val="Hyperlink"/>
            <w:noProof/>
          </w:rPr>
          <w:t>Supplemental figure 24. Mass spectrum for “unknown 3”.</w:t>
        </w:r>
        <w:r>
          <w:rPr>
            <w:noProof/>
            <w:webHidden/>
          </w:rPr>
          <w:tab/>
        </w:r>
        <w:r>
          <w:rPr>
            <w:noProof/>
            <w:webHidden/>
          </w:rPr>
          <w:fldChar w:fldCharType="begin"/>
        </w:r>
        <w:r>
          <w:rPr>
            <w:noProof/>
            <w:webHidden/>
          </w:rPr>
          <w:instrText xml:space="preserve"> PAGEREF _Toc435621189 \h </w:instrText>
        </w:r>
        <w:r>
          <w:rPr>
            <w:noProof/>
            <w:webHidden/>
          </w:rPr>
        </w:r>
        <w:r>
          <w:rPr>
            <w:noProof/>
            <w:webHidden/>
          </w:rPr>
          <w:fldChar w:fldCharType="separate"/>
        </w:r>
        <w:r>
          <w:rPr>
            <w:noProof/>
            <w:webHidden/>
          </w:rPr>
          <w:t>164</w:t>
        </w:r>
        <w:r>
          <w:rPr>
            <w:noProof/>
            <w:webHidden/>
          </w:rPr>
          <w:fldChar w:fldCharType="end"/>
        </w:r>
      </w:hyperlink>
    </w:p>
    <w:p w:rsidR="000471F8" w:rsidRDefault="000471F8">
      <w:pPr>
        <w:pStyle w:val="Abbildungsverzeichnis"/>
        <w:tabs>
          <w:tab w:val="right" w:leader="dot" w:pos="9062"/>
        </w:tabs>
        <w:rPr>
          <w:rFonts w:eastAsiaTheme="minorEastAsia"/>
          <w:noProof/>
          <w:lang w:val="de-DE" w:eastAsia="de-DE"/>
        </w:rPr>
      </w:pPr>
      <w:hyperlink w:anchor="_Toc435621190" w:history="1">
        <w:r w:rsidRPr="005E75F8">
          <w:rPr>
            <w:rStyle w:val="Hyperlink"/>
            <w:noProof/>
          </w:rPr>
          <w:t>Supplemental figure 25. Mass spectrum for “unknown 9”.</w:t>
        </w:r>
        <w:r>
          <w:rPr>
            <w:noProof/>
            <w:webHidden/>
          </w:rPr>
          <w:tab/>
        </w:r>
        <w:r>
          <w:rPr>
            <w:noProof/>
            <w:webHidden/>
          </w:rPr>
          <w:fldChar w:fldCharType="begin"/>
        </w:r>
        <w:r>
          <w:rPr>
            <w:noProof/>
            <w:webHidden/>
          </w:rPr>
          <w:instrText xml:space="preserve"> PAGEREF _Toc435621190 \h </w:instrText>
        </w:r>
        <w:r>
          <w:rPr>
            <w:noProof/>
            <w:webHidden/>
          </w:rPr>
        </w:r>
        <w:r>
          <w:rPr>
            <w:noProof/>
            <w:webHidden/>
          </w:rPr>
          <w:fldChar w:fldCharType="separate"/>
        </w:r>
        <w:r>
          <w:rPr>
            <w:noProof/>
            <w:webHidden/>
          </w:rPr>
          <w:t>165</w:t>
        </w:r>
        <w:r>
          <w:rPr>
            <w:noProof/>
            <w:webHidden/>
          </w:rPr>
          <w:fldChar w:fldCharType="end"/>
        </w:r>
      </w:hyperlink>
    </w:p>
    <w:p w:rsidR="000471F8" w:rsidRDefault="000471F8">
      <w:pPr>
        <w:pStyle w:val="Abbildungsverzeichnis"/>
        <w:tabs>
          <w:tab w:val="right" w:leader="dot" w:pos="9062"/>
        </w:tabs>
        <w:rPr>
          <w:rFonts w:eastAsiaTheme="minorEastAsia"/>
          <w:noProof/>
          <w:lang w:val="de-DE" w:eastAsia="de-DE"/>
        </w:rPr>
      </w:pPr>
      <w:hyperlink w:anchor="_Toc435621191" w:history="1">
        <w:r w:rsidRPr="005E75F8">
          <w:rPr>
            <w:rStyle w:val="Hyperlink"/>
            <w:noProof/>
          </w:rPr>
          <w:t>Supplemental figure 26. Mass spectrum for “unknown 13”.</w:t>
        </w:r>
        <w:r>
          <w:rPr>
            <w:noProof/>
            <w:webHidden/>
          </w:rPr>
          <w:tab/>
        </w:r>
        <w:r>
          <w:rPr>
            <w:noProof/>
            <w:webHidden/>
          </w:rPr>
          <w:fldChar w:fldCharType="begin"/>
        </w:r>
        <w:r>
          <w:rPr>
            <w:noProof/>
            <w:webHidden/>
          </w:rPr>
          <w:instrText xml:space="preserve"> PAGEREF _Toc435621191 \h </w:instrText>
        </w:r>
        <w:r>
          <w:rPr>
            <w:noProof/>
            <w:webHidden/>
          </w:rPr>
        </w:r>
        <w:r>
          <w:rPr>
            <w:noProof/>
            <w:webHidden/>
          </w:rPr>
          <w:fldChar w:fldCharType="separate"/>
        </w:r>
        <w:r>
          <w:rPr>
            <w:noProof/>
            <w:webHidden/>
          </w:rPr>
          <w:t>165</w:t>
        </w:r>
        <w:r>
          <w:rPr>
            <w:noProof/>
            <w:webHidden/>
          </w:rPr>
          <w:fldChar w:fldCharType="end"/>
        </w:r>
      </w:hyperlink>
    </w:p>
    <w:p w:rsidR="000471F8" w:rsidRDefault="000471F8">
      <w:pPr>
        <w:pStyle w:val="Abbildungsverzeichnis"/>
        <w:tabs>
          <w:tab w:val="right" w:leader="dot" w:pos="9062"/>
        </w:tabs>
        <w:rPr>
          <w:rFonts w:eastAsiaTheme="minorEastAsia"/>
          <w:noProof/>
          <w:lang w:val="de-DE" w:eastAsia="de-DE"/>
        </w:rPr>
      </w:pPr>
      <w:hyperlink w:anchor="_Toc435621192" w:history="1">
        <w:r w:rsidRPr="005E75F8">
          <w:rPr>
            <w:rStyle w:val="Hyperlink"/>
            <w:noProof/>
          </w:rPr>
          <w:t>Supplemental figure 27. Mass spectrum for “unknown 15”.</w:t>
        </w:r>
        <w:r>
          <w:rPr>
            <w:noProof/>
            <w:webHidden/>
          </w:rPr>
          <w:tab/>
        </w:r>
        <w:r>
          <w:rPr>
            <w:noProof/>
            <w:webHidden/>
          </w:rPr>
          <w:fldChar w:fldCharType="begin"/>
        </w:r>
        <w:r>
          <w:rPr>
            <w:noProof/>
            <w:webHidden/>
          </w:rPr>
          <w:instrText xml:space="preserve"> PAGEREF _Toc435621192 \h </w:instrText>
        </w:r>
        <w:r>
          <w:rPr>
            <w:noProof/>
            <w:webHidden/>
          </w:rPr>
        </w:r>
        <w:r>
          <w:rPr>
            <w:noProof/>
            <w:webHidden/>
          </w:rPr>
          <w:fldChar w:fldCharType="separate"/>
        </w:r>
        <w:r>
          <w:rPr>
            <w:noProof/>
            <w:webHidden/>
          </w:rPr>
          <w:t>166</w:t>
        </w:r>
        <w:r>
          <w:rPr>
            <w:noProof/>
            <w:webHidden/>
          </w:rPr>
          <w:fldChar w:fldCharType="end"/>
        </w:r>
      </w:hyperlink>
    </w:p>
    <w:p w:rsidR="000471F8" w:rsidRDefault="000471F8">
      <w:pPr>
        <w:pStyle w:val="Abbildungsverzeichnis"/>
        <w:tabs>
          <w:tab w:val="right" w:leader="dot" w:pos="9062"/>
        </w:tabs>
        <w:rPr>
          <w:rFonts w:eastAsiaTheme="minorEastAsia"/>
          <w:noProof/>
          <w:lang w:val="de-DE" w:eastAsia="de-DE"/>
        </w:rPr>
      </w:pPr>
      <w:hyperlink w:anchor="_Toc435621193" w:history="1">
        <w:r w:rsidRPr="005E75F8">
          <w:rPr>
            <w:rStyle w:val="Hyperlink"/>
            <w:noProof/>
          </w:rPr>
          <w:t>Supplemental figure 28. Mass spectrum of eicosanoic acid.</w:t>
        </w:r>
        <w:r>
          <w:rPr>
            <w:noProof/>
            <w:webHidden/>
          </w:rPr>
          <w:tab/>
        </w:r>
        <w:r>
          <w:rPr>
            <w:noProof/>
            <w:webHidden/>
          </w:rPr>
          <w:fldChar w:fldCharType="begin"/>
        </w:r>
        <w:r>
          <w:rPr>
            <w:noProof/>
            <w:webHidden/>
          </w:rPr>
          <w:instrText xml:space="preserve"> PAGEREF _Toc435621193 \h </w:instrText>
        </w:r>
        <w:r>
          <w:rPr>
            <w:noProof/>
            <w:webHidden/>
          </w:rPr>
        </w:r>
        <w:r>
          <w:rPr>
            <w:noProof/>
            <w:webHidden/>
          </w:rPr>
          <w:fldChar w:fldCharType="separate"/>
        </w:r>
        <w:r>
          <w:rPr>
            <w:noProof/>
            <w:webHidden/>
          </w:rPr>
          <w:t>166</w:t>
        </w:r>
        <w:r>
          <w:rPr>
            <w:noProof/>
            <w:webHidden/>
          </w:rPr>
          <w:fldChar w:fldCharType="end"/>
        </w:r>
      </w:hyperlink>
    </w:p>
    <w:p w:rsidR="000471F8" w:rsidRDefault="000471F8">
      <w:pPr>
        <w:pStyle w:val="Abbildungsverzeichnis"/>
        <w:tabs>
          <w:tab w:val="right" w:leader="dot" w:pos="9062"/>
        </w:tabs>
        <w:rPr>
          <w:rFonts w:eastAsiaTheme="minorEastAsia"/>
          <w:noProof/>
          <w:lang w:val="de-DE" w:eastAsia="de-DE"/>
        </w:rPr>
      </w:pPr>
      <w:hyperlink w:anchor="_Toc435621194" w:history="1">
        <w:r w:rsidRPr="005E75F8">
          <w:rPr>
            <w:rStyle w:val="Hyperlink"/>
            <w:noProof/>
          </w:rPr>
          <w:t>Supplemental figure 29. Mass spectrum for “unknown 22”.</w:t>
        </w:r>
        <w:r>
          <w:rPr>
            <w:noProof/>
            <w:webHidden/>
          </w:rPr>
          <w:tab/>
        </w:r>
        <w:r>
          <w:rPr>
            <w:noProof/>
            <w:webHidden/>
          </w:rPr>
          <w:fldChar w:fldCharType="begin"/>
        </w:r>
        <w:r>
          <w:rPr>
            <w:noProof/>
            <w:webHidden/>
          </w:rPr>
          <w:instrText xml:space="preserve"> PAGEREF _Toc435621194 \h </w:instrText>
        </w:r>
        <w:r>
          <w:rPr>
            <w:noProof/>
            <w:webHidden/>
          </w:rPr>
        </w:r>
        <w:r>
          <w:rPr>
            <w:noProof/>
            <w:webHidden/>
          </w:rPr>
          <w:fldChar w:fldCharType="separate"/>
        </w:r>
        <w:r>
          <w:rPr>
            <w:noProof/>
            <w:webHidden/>
          </w:rPr>
          <w:t>167</w:t>
        </w:r>
        <w:r>
          <w:rPr>
            <w:noProof/>
            <w:webHidden/>
          </w:rPr>
          <w:fldChar w:fldCharType="end"/>
        </w:r>
      </w:hyperlink>
    </w:p>
    <w:p w:rsidR="000471F8" w:rsidRDefault="000471F8">
      <w:pPr>
        <w:pStyle w:val="Abbildungsverzeichnis"/>
        <w:tabs>
          <w:tab w:val="right" w:leader="dot" w:pos="9062"/>
        </w:tabs>
        <w:rPr>
          <w:rFonts w:eastAsiaTheme="minorEastAsia"/>
          <w:noProof/>
          <w:lang w:val="de-DE" w:eastAsia="de-DE"/>
        </w:rPr>
      </w:pPr>
      <w:hyperlink w:anchor="_Toc435621195" w:history="1">
        <w:r w:rsidRPr="005E75F8">
          <w:rPr>
            <w:rStyle w:val="Hyperlink"/>
            <w:noProof/>
          </w:rPr>
          <w:t>Supplemental figure 30. Mass spectrum for “unknown 28”.</w:t>
        </w:r>
        <w:r>
          <w:rPr>
            <w:noProof/>
            <w:webHidden/>
          </w:rPr>
          <w:tab/>
        </w:r>
        <w:r>
          <w:rPr>
            <w:noProof/>
            <w:webHidden/>
          </w:rPr>
          <w:fldChar w:fldCharType="begin"/>
        </w:r>
        <w:r>
          <w:rPr>
            <w:noProof/>
            <w:webHidden/>
          </w:rPr>
          <w:instrText xml:space="preserve"> PAGEREF _Toc435621195 \h </w:instrText>
        </w:r>
        <w:r>
          <w:rPr>
            <w:noProof/>
            <w:webHidden/>
          </w:rPr>
        </w:r>
        <w:r>
          <w:rPr>
            <w:noProof/>
            <w:webHidden/>
          </w:rPr>
          <w:fldChar w:fldCharType="separate"/>
        </w:r>
        <w:r>
          <w:rPr>
            <w:noProof/>
            <w:webHidden/>
          </w:rPr>
          <w:t>167</w:t>
        </w:r>
        <w:r>
          <w:rPr>
            <w:noProof/>
            <w:webHidden/>
          </w:rPr>
          <w:fldChar w:fldCharType="end"/>
        </w:r>
      </w:hyperlink>
    </w:p>
    <w:p w:rsidR="00A8044E" w:rsidRPr="00A8044E" w:rsidRDefault="007B40AA" w:rsidP="00A8044E">
      <w:pPr>
        <w:rPr>
          <w:lang w:val="de-DE"/>
        </w:rPr>
      </w:pPr>
      <w:r>
        <w:rPr>
          <w:lang w:val="de-DE"/>
        </w:rPr>
        <w:fldChar w:fldCharType="end"/>
      </w:r>
    </w:p>
    <w:p w:rsidR="00C37652" w:rsidRPr="0009186D" w:rsidRDefault="00C37652" w:rsidP="00006348">
      <w:pPr>
        <w:rPr>
          <w:lang w:val="de-DE"/>
        </w:rPr>
      </w:pPr>
    </w:p>
    <w:p w:rsidR="00C37652" w:rsidRPr="0009186D" w:rsidRDefault="00C37652" w:rsidP="00006348">
      <w:pPr>
        <w:rPr>
          <w:lang w:val="de-DE"/>
        </w:rPr>
      </w:pPr>
    </w:p>
    <w:p w:rsidR="00CB005D" w:rsidRDefault="00CB005D" w:rsidP="00CB005D">
      <w:pPr>
        <w:rPr>
          <w:lang w:val="en-US"/>
        </w:rPr>
      </w:pPr>
    </w:p>
    <w:p w:rsidR="00CB005D" w:rsidRDefault="00CB005D" w:rsidP="00CB005D">
      <w:pPr>
        <w:rPr>
          <w:lang w:val="en-US"/>
        </w:rPr>
      </w:pPr>
    </w:p>
    <w:p w:rsidR="00CB005D" w:rsidRDefault="00CB005D" w:rsidP="00CB005D">
      <w:pPr>
        <w:rPr>
          <w:lang w:val="en-US"/>
        </w:rPr>
      </w:pPr>
    </w:p>
    <w:p w:rsidR="00C37652" w:rsidRDefault="00C37652" w:rsidP="00B0242D">
      <w:pPr>
        <w:pStyle w:val="berschrift1"/>
        <w:spacing w:after="240"/>
        <w:rPr>
          <w:color w:val="auto"/>
          <w:lang w:val="en-US"/>
        </w:rPr>
      </w:pPr>
      <w:bookmarkStart w:id="4" w:name="_Toc435621199"/>
      <w:r w:rsidRPr="00F22501">
        <w:rPr>
          <w:color w:val="auto"/>
          <w:lang w:val="en-US"/>
        </w:rPr>
        <w:lastRenderedPageBreak/>
        <w:t>Abbrevations</w:t>
      </w:r>
      <w:bookmarkEnd w:id="4"/>
    </w:p>
    <w:tbl>
      <w:tblPr>
        <w:tblW w:w="7100" w:type="dxa"/>
        <w:tblInd w:w="55" w:type="dxa"/>
        <w:tblCellMar>
          <w:left w:w="70" w:type="dxa"/>
          <w:right w:w="70" w:type="dxa"/>
        </w:tblCellMar>
        <w:tblLook w:val="04A0" w:firstRow="1" w:lastRow="0" w:firstColumn="1" w:lastColumn="0" w:noHBand="0" w:noVBand="1"/>
      </w:tblPr>
      <w:tblGrid>
        <w:gridCol w:w="1460"/>
        <w:gridCol w:w="5640"/>
      </w:tblGrid>
      <w:tr w:rsidR="00181BBF" w:rsidRPr="00181BBF" w:rsidTr="00181BBF">
        <w:trPr>
          <w:trHeight w:val="300"/>
        </w:trPr>
        <w:tc>
          <w:tcPr>
            <w:tcW w:w="146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Aad</w:t>
            </w:r>
          </w:p>
        </w:tc>
        <w:tc>
          <w:tcPr>
            <w:tcW w:w="564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i/>
                <w:color w:val="000000"/>
                <w:lang w:val="de-DE" w:eastAsia="de-DE"/>
              </w:rPr>
              <w:t>α</w:t>
            </w:r>
            <w:r w:rsidRPr="00181BBF">
              <w:rPr>
                <w:rFonts w:ascii="Calibri" w:eastAsia="Times New Roman" w:hAnsi="Calibri" w:cs="Times New Roman"/>
                <w:color w:val="000000"/>
                <w:lang w:val="de-DE" w:eastAsia="de-DE"/>
              </w:rPr>
              <w:t>-Aminoadipic acid</w:t>
            </w:r>
          </w:p>
        </w:tc>
      </w:tr>
      <w:tr w:rsidR="00181BBF" w:rsidRPr="00181BBF" w:rsidTr="00181BBF">
        <w:trPr>
          <w:trHeight w:val="300"/>
        </w:trPr>
        <w:tc>
          <w:tcPr>
            <w:tcW w:w="146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 xml:space="preserve">ABA </w:t>
            </w:r>
          </w:p>
        </w:tc>
        <w:tc>
          <w:tcPr>
            <w:tcW w:w="564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Abscisic acid</w:t>
            </w:r>
          </w:p>
        </w:tc>
      </w:tr>
      <w:tr w:rsidR="00181BBF" w:rsidRPr="00181BBF" w:rsidTr="00181BBF">
        <w:trPr>
          <w:trHeight w:val="300"/>
        </w:trPr>
        <w:tc>
          <w:tcPr>
            <w:tcW w:w="146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AGO</w:t>
            </w:r>
          </w:p>
        </w:tc>
        <w:tc>
          <w:tcPr>
            <w:tcW w:w="564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Argonaute</w:t>
            </w:r>
          </w:p>
        </w:tc>
      </w:tr>
      <w:tr w:rsidR="00181BBF" w:rsidRPr="00181BBF" w:rsidTr="00181BBF">
        <w:trPr>
          <w:trHeight w:val="300"/>
        </w:trPr>
        <w:tc>
          <w:tcPr>
            <w:tcW w:w="146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i/>
                <w:iCs/>
                <w:color w:val="000000"/>
                <w:lang w:val="de-DE" w:eastAsia="de-DE"/>
              </w:rPr>
            </w:pPr>
            <w:r w:rsidRPr="00181BBF">
              <w:rPr>
                <w:rFonts w:ascii="Calibri" w:eastAsia="Times New Roman" w:hAnsi="Calibri" w:cs="Times New Roman"/>
                <w:i/>
                <w:iCs/>
                <w:color w:val="000000"/>
                <w:lang w:val="de-DE" w:eastAsia="de-DE"/>
              </w:rPr>
              <w:t>ALD1</w:t>
            </w:r>
          </w:p>
        </w:tc>
        <w:tc>
          <w:tcPr>
            <w:tcW w:w="564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i/>
                <w:iCs/>
                <w:color w:val="000000"/>
                <w:lang w:val="en-US" w:eastAsia="de-DE"/>
              </w:rPr>
            </w:pPr>
            <w:r w:rsidRPr="00181BBF">
              <w:rPr>
                <w:rFonts w:ascii="Calibri" w:eastAsia="Times New Roman" w:hAnsi="Calibri" w:cs="Times New Roman"/>
                <w:i/>
                <w:iCs/>
                <w:color w:val="000000"/>
                <w:lang w:val="en-US" w:eastAsia="de-DE"/>
              </w:rPr>
              <w:t>AGD2-LIKE DEFENCE RESPONSE PROTEIN 1</w:t>
            </w:r>
          </w:p>
        </w:tc>
      </w:tr>
      <w:tr w:rsidR="00181BBF" w:rsidRPr="00181BBF" w:rsidTr="00181BBF">
        <w:trPr>
          <w:trHeight w:val="300"/>
        </w:trPr>
        <w:tc>
          <w:tcPr>
            <w:tcW w:w="146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Arg</w:t>
            </w:r>
          </w:p>
        </w:tc>
        <w:tc>
          <w:tcPr>
            <w:tcW w:w="564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Arginine</w:t>
            </w:r>
          </w:p>
        </w:tc>
      </w:tr>
      <w:tr w:rsidR="00181BBF" w:rsidRPr="00181BBF" w:rsidTr="00181BBF">
        <w:trPr>
          <w:trHeight w:val="300"/>
        </w:trPr>
        <w:tc>
          <w:tcPr>
            <w:tcW w:w="146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 xml:space="preserve">AS </w:t>
            </w:r>
          </w:p>
        </w:tc>
        <w:tc>
          <w:tcPr>
            <w:tcW w:w="564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Anthranilate synthase</w:t>
            </w:r>
          </w:p>
        </w:tc>
      </w:tr>
      <w:tr w:rsidR="00181BBF" w:rsidRPr="00181BBF" w:rsidTr="00181BBF">
        <w:trPr>
          <w:trHeight w:val="300"/>
        </w:trPr>
        <w:tc>
          <w:tcPr>
            <w:tcW w:w="146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Asp</w:t>
            </w:r>
          </w:p>
        </w:tc>
        <w:tc>
          <w:tcPr>
            <w:tcW w:w="564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Aspartic acid</w:t>
            </w:r>
          </w:p>
        </w:tc>
      </w:tr>
      <w:tr w:rsidR="00181BBF" w:rsidRPr="00181BBF" w:rsidTr="00181BBF">
        <w:trPr>
          <w:trHeight w:val="300"/>
        </w:trPr>
        <w:tc>
          <w:tcPr>
            <w:tcW w:w="146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 xml:space="preserve">Avr </w:t>
            </w:r>
          </w:p>
        </w:tc>
        <w:tc>
          <w:tcPr>
            <w:tcW w:w="564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Avirulence</w:t>
            </w:r>
          </w:p>
        </w:tc>
      </w:tr>
      <w:tr w:rsidR="00181BBF" w:rsidRPr="00181BBF" w:rsidTr="00181BBF">
        <w:trPr>
          <w:trHeight w:val="300"/>
        </w:trPr>
        <w:tc>
          <w:tcPr>
            <w:tcW w:w="146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 xml:space="preserve">BABA </w:t>
            </w:r>
          </w:p>
        </w:tc>
        <w:tc>
          <w:tcPr>
            <w:tcW w:w="564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i/>
                <w:iCs/>
                <w:color w:val="000000"/>
                <w:lang w:val="de-DE" w:eastAsia="de-DE"/>
              </w:rPr>
            </w:pPr>
            <w:r w:rsidRPr="00181BBF">
              <w:rPr>
                <w:rFonts w:ascii="Calibri" w:eastAsia="Times New Roman" w:hAnsi="Calibri" w:cs="Times New Roman"/>
                <w:i/>
                <w:iCs/>
                <w:color w:val="000000"/>
                <w:lang w:val="de-DE" w:eastAsia="de-DE"/>
              </w:rPr>
              <w:t>ß</w:t>
            </w:r>
            <w:r w:rsidRPr="00181BBF">
              <w:rPr>
                <w:rFonts w:ascii="Calibri" w:eastAsia="Times New Roman" w:hAnsi="Calibri" w:cs="Times New Roman"/>
                <w:color w:val="000000"/>
                <w:lang w:val="de-DE" w:eastAsia="de-DE"/>
              </w:rPr>
              <w:t>-Aminobutyric acid</w:t>
            </w:r>
          </w:p>
        </w:tc>
      </w:tr>
      <w:tr w:rsidR="00181BBF" w:rsidRPr="00181BBF" w:rsidTr="00181BBF">
        <w:trPr>
          <w:trHeight w:val="300"/>
        </w:trPr>
        <w:tc>
          <w:tcPr>
            <w:tcW w:w="146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i/>
                <w:iCs/>
                <w:color w:val="000000"/>
                <w:lang w:val="de-DE" w:eastAsia="de-DE"/>
              </w:rPr>
            </w:pPr>
            <w:r w:rsidRPr="00181BBF">
              <w:rPr>
                <w:rFonts w:ascii="Calibri" w:eastAsia="Times New Roman" w:hAnsi="Calibri" w:cs="Times New Roman"/>
                <w:i/>
                <w:iCs/>
                <w:color w:val="000000"/>
                <w:lang w:val="de-DE" w:eastAsia="de-DE"/>
              </w:rPr>
              <w:t xml:space="preserve">BAK </w:t>
            </w:r>
          </w:p>
        </w:tc>
        <w:tc>
          <w:tcPr>
            <w:tcW w:w="564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i/>
                <w:iCs/>
                <w:color w:val="000000"/>
                <w:lang w:val="de-DE" w:eastAsia="de-DE"/>
              </w:rPr>
            </w:pPr>
            <w:r w:rsidRPr="00181BBF">
              <w:rPr>
                <w:rFonts w:ascii="Calibri" w:eastAsia="Times New Roman" w:hAnsi="Calibri" w:cs="Times New Roman"/>
                <w:i/>
                <w:iCs/>
                <w:color w:val="000000"/>
                <w:lang w:val="de-DE" w:eastAsia="de-DE"/>
              </w:rPr>
              <w:t>BRASSINOSTEROID INSENSITIVE 1-ASSOCIATED KINASE</w:t>
            </w:r>
          </w:p>
        </w:tc>
      </w:tr>
      <w:tr w:rsidR="00181BBF" w:rsidRPr="00181BBF" w:rsidTr="00181BBF">
        <w:trPr>
          <w:trHeight w:val="300"/>
        </w:trPr>
        <w:tc>
          <w:tcPr>
            <w:tcW w:w="146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i/>
                <w:iCs/>
                <w:color w:val="000000"/>
                <w:lang w:val="de-DE" w:eastAsia="de-DE"/>
              </w:rPr>
            </w:pPr>
            <w:r w:rsidRPr="00181BBF">
              <w:rPr>
                <w:rFonts w:ascii="Calibri" w:eastAsia="Times New Roman" w:hAnsi="Calibri" w:cs="Times New Roman"/>
                <w:i/>
                <w:iCs/>
                <w:color w:val="000000"/>
                <w:lang w:val="de-DE" w:eastAsia="de-DE"/>
              </w:rPr>
              <w:t>Bc</w:t>
            </w:r>
          </w:p>
        </w:tc>
        <w:tc>
          <w:tcPr>
            <w:tcW w:w="564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i/>
                <w:iCs/>
                <w:color w:val="000000"/>
                <w:lang w:val="de-DE" w:eastAsia="de-DE"/>
              </w:rPr>
            </w:pPr>
            <w:r w:rsidRPr="00181BBF">
              <w:rPr>
                <w:rFonts w:ascii="Calibri" w:eastAsia="Times New Roman" w:hAnsi="Calibri" w:cs="Times New Roman"/>
                <w:i/>
                <w:iCs/>
                <w:color w:val="000000"/>
                <w:lang w:val="de-DE" w:eastAsia="de-DE"/>
              </w:rPr>
              <w:t>Botrytis cinerea</w:t>
            </w:r>
          </w:p>
        </w:tc>
      </w:tr>
      <w:tr w:rsidR="00181BBF" w:rsidRPr="00181BBF" w:rsidTr="00181BBF">
        <w:trPr>
          <w:trHeight w:val="300"/>
        </w:trPr>
        <w:tc>
          <w:tcPr>
            <w:tcW w:w="146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i/>
                <w:iCs/>
                <w:color w:val="000000"/>
                <w:lang w:val="de-DE" w:eastAsia="de-DE"/>
              </w:rPr>
            </w:pPr>
            <w:r w:rsidRPr="00181BBF">
              <w:rPr>
                <w:rFonts w:ascii="Calibri" w:eastAsia="Times New Roman" w:hAnsi="Calibri" w:cs="Times New Roman"/>
                <w:i/>
                <w:iCs/>
                <w:color w:val="000000"/>
                <w:lang w:val="de-DE" w:eastAsia="de-DE"/>
              </w:rPr>
              <w:t>BIK</w:t>
            </w:r>
          </w:p>
        </w:tc>
        <w:tc>
          <w:tcPr>
            <w:tcW w:w="564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i/>
                <w:iCs/>
                <w:color w:val="000000"/>
                <w:lang w:val="de-DE" w:eastAsia="de-DE"/>
              </w:rPr>
            </w:pPr>
            <w:r w:rsidRPr="00181BBF">
              <w:rPr>
                <w:rFonts w:ascii="Calibri" w:eastAsia="Times New Roman" w:hAnsi="Calibri" w:cs="Times New Roman"/>
                <w:i/>
                <w:iCs/>
                <w:color w:val="000000"/>
                <w:lang w:val="de-DE" w:eastAsia="de-DE"/>
              </w:rPr>
              <w:t>BOTRYTIS-INDUCED KINASE</w:t>
            </w:r>
          </w:p>
        </w:tc>
      </w:tr>
      <w:tr w:rsidR="00181BBF" w:rsidRPr="00181BBF" w:rsidTr="00181BBF">
        <w:trPr>
          <w:trHeight w:val="300"/>
        </w:trPr>
        <w:tc>
          <w:tcPr>
            <w:tcW w:w="146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i/>
                <w:iCs/>
                <w:color w:val="000000"/>
                <w:lang w:val="de-DE" w:eastAsia="de-DE"/>
              </w:rPr>
            </w:pPr>
            <w:r w:rsidRPr="00181BBF">
              <w:rPr>
                <w:rFonts w:ascii="Calibri" w:eastAsia="Times New Roman" w:hAnsi="Calibri" w:cs="Times New Roman"/>
                <w:i/>
                <w:iCs/>
                <w:color w:val="000000"/>
                <w:lang w:val="de-DE" w:eastAsia="de-DE"/>
              </w:rPr>
              <w:t xml:space="preserve">BRI </w:t>
            </w:r>
          </w:p>
        </w:tc>
        <w:tc>
          <w:tcPr>
            <w:tcW w:w="564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i/>
                <w:iCs/>
                <w:color w:val="000000"/>
                <w:lang w:val="de-DE" w:eastAsia="de-DE"/>
              </w:rPr>
            </w:pPr>
            <w:r w:rsidRPr="00181BBF">
              <w:rPr>
                <w:rFonts w:ascii="Calibri" w:eastAsia="Times New Roman" w:hAnsi="Calibri" w:cs="Times New Roman"/>
                <w:i/>
                <w:iCs/>
                <w:color w:val="000000"/>
                <w:lang w:val="de-DE" w:eastAsia="de-DE"/>
              </w:rPr>
              <w:t>BRASSINOSTEROID-INSENSITIVE</w:t>
            </w:r>
          </w:p>
        </w:tc>
      </w:tr>
      <w:tr w:rsidR="00181BBF" w:rsidRPr="00181BBF" w:rsidTr="00181BBF">
        <w:trPr>
          <w:trHeight w:val="300"/>
        </w:trPr>
        <w:tc>
          <w:tcPr>
            <w:tcW w:w="146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BSA</w:t>
            </w:r>
          </w:p>
        </w:tc>
        <w:tc>
          <w:tcPr>
            <w:tcW w:w="564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Bovine serumalbumine</w:t>
            </w:r>
          </w:p>
        </w:tc>
      </w:tr>
      <w:tr w:rsidR="00181BBF" w:rsidRPr="00181BBF" w:rsidTr="00181BBF">
        <w:trPr>
          <w:trHeight w:val="300"/>
        </w:trPr>
        <w:tc>
          <w:tcPr>
            <w:tcW w:w="146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i/>
                <w:iCs/>
                <w:color w:val="000000"/>
                <w:lang w:val="de-DE" w:eastAsia="de-DE"/>
              </w:rPr>
            </w:pPr>
            <w:r w:rsidRPr="00181BBF">
              <w:rPr>
                <w:rFonts w:ascii="Calibri" w:eastAsia="Times New Roman" w:hAnsi="Calibri" w:cs="Times New Roman"/>
                <w:i/>
                <w:iCs/>
                <w:color w:val="000000"/>
                <w:lang w:val="de-DE" w:eastAsia="de-DE"/>
              </w:rPr>
              <w:t>BSMT</w:t>
            </w:r>
          </w:p>
        </w:tc>
        <w:tc>
          <w:tcPr>
            <w:tcW w:w="564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i/>
                <w:iCs/>
                <w:color w:val="000000"/>
                <w:lang w:val="de-DE" w:eastAsia="de-DE"/>
              </w:rPr>
            </w:pPr>
            <w:r w:rsidRPr="00181BBF">
              <w:rPr>
                <w:rFonts w:ascii="Calibri" w:eastAsia="Times New Roman" w:hAnsi="Calibri" w:cs="Times New Roman"/>
                <w:i/>
                <w:iCs/>
                <w:color w:val="000000"/>
                <w:lang w:val="de-DE" w:eastAsia="de-DE"/>
              </w:rPr>
              <w:t xml:space="preserve">SAM-dependent carboxyl methyltransferase </w:t>
            </w:r>
          </w:p>
        </w:tc>
      </w:tr>
      <w:tr w:rsidR="00181BBF" w:rsidRPr="00181BBF" w:rsidTr="00181BBF">
        <w:trPr>
          <w:trHeight w:val="300"/>
        </w:trPr>
        <w:tc>
          <w:tcPr>
            <w:tcW w:w="146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BTH</w:t>
            </w:r>
          </w:p>
        </w:tc>
        <w:tc>
          <w:tcPr>
            <w:tcW w:w="564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en-US" w:eastAsia="de-DE"/>
              </w:rPr>
            </w:pPr>
            <w:r w:rsidRPr="00181BBF">
              <w:rPr>
                <w:rFonts w:ascii="Calibri" w:eastAsia="Times New Roman" w:hAnsi="Calibri" w:cs="Times New Roman"/>
                <w:color w:val="000000"/>
                <w:lang w:val="en-US" w:eastAsia="de-DE"/>
              </w:rPr>
              <w:t xml:space="preserve">Benzothiadiazole-7-carbothioc acid S-methylester </w:t>
            </w:r>
          </w:p>
        </w:tc>
      </w:tr>
      <w:tr w:rsidR="00181BBF" w:rsidRPr="00181BBF" w:rsidTr="00181BBF">
        <w:trPr>
          <w:trHeight w:val="300"/>
        </w:trPr>
        <w:tc>
          <w:tcPr>
            <w:tcW w:w="146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°C</w:t>
            </w:r>
          </w:p>
        </w:tc>
        <w:tc>
          <w:tcPr>
            <w:tcW w:w="564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Degree Celsius</w:t>
            </w:r>
          </w:p>
        </w:tc>
      </w:tr>
      <w:tr w:rsidR="00181BBF" w:rsidRPr="00181BBF" w:rsidTr="00181BBF">
        <w:trPr>
          <w:trHeight w:val="300"/>
        </w:trPr>
        <w:tc>
          <w:tcPr>
            <w:tcW w:w="146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Ca</w:t>
            </w:r>
            <w:r w:rsidRPr="00181BBF">
              <w:rPr>
                <w:rFonts w:ascii="Calibri" w:eastAsia="Times New Roman" w:hAnsi="Calibri" w:cs="Times New Roman"/>
                <w:color w:val="000000"/>
                <w:vertAlign w:val="superscript"/>
                <w:lang w:val="de-DE" w:eastAsia="de-DE"/>
              </w:rPr>
              <w:t>2+</w:t>
            </w:r>
          </w:p>
        </w:tc>
        <w:tc>
          <w:tcPr>
            <w:tcW w:w="564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Calcium</w:t>
            </w:r>
            <w:r w:rsidRPr="00181BBF">
              <w:rPr>
                <w:rFonts w:ascii="Calibri" w:eastAsia="Times New Roman" w:hAnsi="Calibri" w:cs="Times New Roman"/>
                <w:color w:val="000000"/>
                <w:vertAlign w:val="superscript"/>
                <w:lang w:val="de-DE" w:eastAsia="de-DE"/>
              </w:rPr>
              <w:t>2+</w:t>
            </w:r>
            <w:r>
              <w:rPr>
                <w:rFonts w:ascii="Calibri" w:eastAsia="Times New Roman" w:hAnsi="Calibri" w:cs="Times New Roman"/>
                <w:color w:val="000000"/>
                <w:lang w:val="de-DE" w:eastAsia="de-DE"/>
              </w:rPr>
              <w:t xml:space="preserve"> ion</w:t>
            </w:r>
          </w:p>
        </w:tc>
      </w:tr>
      <w:tr w:rsidR="00181BBF" w:rsidRPr="00181BBF" w:rsidTr="00181BBF">
        <w:trPr>
          <w:trHeight w:val="300"/>
        </w:trPr>
        <w:tc>
          <w:tcPr>
            <w:tcW w:w="146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CaMV</w:t>
            </w:r>
          </w:p>
        </w:tc>
        <w:tc>
          <w:tcPr>
            <w:tcW w:w="564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Cauliflower mosaic virus</w:t>
            </w:r>
          </w:p>
        </w:tc>
      </w:tr>
      <w:tr w:rsidR="00181BBF" w:rsidRPr="00181BBF" w:rsidTr="00181BBF">
        <w:trPr>
          <w:trHeight w:val="300"/>
        </w:trPr>
        <w:tc>
          <w:tcPr>
            <w:tcW w:w="146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 xml:space="preserve">CC </w:t>
            </w:r>
          </w:p>
        </w:tc>
        <w:tc>
          <w:tcPr>
            <w:tcW w:w="564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Coiled-coil</w:t>
            </w:r>
          </w:p>
        </w:tc>
      </w:tr>
      <w:tr w:rsidR="00181BBF" w:rsidRPr="00181BBF" w:rsidTr="00181BBF">
        <w:trPr>
          <w:trHeight w:val="300"/>
        </w:trPr>
        <w:tc>
          <w:tcPr>
            <w:tcW w:w="146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 xml:space="preserve">cDNA </w:t>
            </w:r>
          </w:p>
        </w:tc>
        <w:tc>
          <w:tcPr>
            <w:tcW w:w="564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Complementary DNA</w:t>
            </w:r>
          </w:p>
        </w:tc>
      </w:tr>
      <w:tr w:rsidR="00181BBF" w:rsidRPr="00181BBF" w:rsidTr="00181BBF">
        <w:trPr>
          <w:trHeight w:val="300"/>
        </w:trPr>
        <w:tc>
          <w:tcPr>
            <w:tcW w:w="146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i/>
                <w:color w:val="000000"/>
                <w:lang w:val="de-DE" w:eastAsia="de-DE"/>
              </w:rPr>
            </w:pPr>
            <w:r w:rsidRPr="00181BBF">
              <w:rPr>
                <w:rFonts w:ascii="Calibri" w:eastAsia="Times New Roman" w:hAnsi="Calibri" w:cs="Times New Roman"/>
                <w:i/>
                <w:color w:val="000000"/>
                <w:lang w:val="de-DE" w:eastAsia="de-DE"/>
              </w:rPr>
              <w:t>CEV1</w:t>
            </w:r>
          </w:p>
        </w:tc>
        <w:tc>
          <w:tcPr>
            <w:tcW w:w="564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i/>
                <w:color w:val="000000"/>
                <w:lang w:val="de-DE" w:eastAsia="de-DE"/>
              </w:rPr>
            </w:pPr>
            <w:r w:rsidRPr="00181BBF">
              <w:rPr>
                <w:rFonts w:ascii="Calibri" w:eastAsia="Times New Roman" w:hAnsi="Calibri" w:cs="Times New Roman"/>
                <w:i/>
                <w:color w:val="000000"/>
                <w:lang w:val="de-DE" w:eastAsia="de-DE"/>
              </w:rPr>
              <w:t>CONSTITUTIVE EXPRESSION OF VSP 1</w:t>
            </w:r>
          </w:p>
        </w:tc>
      </w:tr>
      <w:tr w:rsidR="00181BBF" w:rsidRPr="00181BBF" w:rsidTr="00181BBF">
        <w:trPr>
          <w:trHeight w:val="300"/>
        </w:trPr>
        <w:tc>
          <w:tcPr>
            <w:tcW w:w="146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CFA</w:t>
            </w:r>
          </w:p>
        </w:tc>
        <w:tc>
          <w:tcPr>
            <w:tcW w:w="564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 xml:space="preserve">Coronafacic acid </w:t>
            </w:r>
          </w:p>
        </w:tc>
      </w:tr>
      <w:tr w:rsidR="00181BBF" w:rsidRPr="00181BBF" w:rsidTr="00181BBF">
        <w:trPr>
          <w:trHeight w:val="300"/>
        </w:trPr>
        <w:tc>
          <w:tcPr>
            <w:tcW w:w="146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 xml:space="preserve">cfu </w:t>
            </w:r>
          </w:p>
        </w:tc>
        <w:tc>
          <w:tcPr>
            <w:tcW w:w="564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Colony forming units</w:t>
            </w:r>
          </w:p>
        </w:tc>
      </w:tr>
      <w:tr w:rsidR="00181BBF" w:rsidRPr="00181BBF" w:rsidTr="00181BBF">
        <w:trPr>
          <w:trHeight w:val="300"/>
        </w:trPr>
        <w:tc>
          <w:tcPr>
            <w:tcW w:w="146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 xml:space="preserve">CM </w:t>
            </w:r>
          </w:p>
        </w:tc>
        <w:tc>
          <w:tcPr>
            <w:tcW w:w="564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Chorismate mutase</w:t>
            </w:r>
          </w:p>
        </w:tc>
      </w:tr>
      <w:tr w:rsidR="00181BBF" w:rsidRPr="00181BBF" w:rsidTr="00181BBF">
        <w:trPr>
          <w:trHeight w:val="300"/>
        </w:trPr>
        <w:tc>
          <w:tcPr>
            <w:tcW w:w="146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CMA</w:t>
            </w:r>
          </w:p>
        </w:tc>
        <w:tc>
          <w:tcPr>
            <w:tcW w:w="564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Coronamic acid</w:t>
            </w:r>
          </w:p>
        </w:tc>
      </w:tr>
      <w:tr w:rsidR="00181BBF" w:rsidRPr="00181BBF" w:rsidTr="00181BBF">
        <w:trPr>
          <w:trHeight w:val="300"/>
        </w:trPr>
        <w:tc>
          <w:tcPr>
            <w:tcW w:w="146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i/>
                <w:iCs/>
                <w:color w:val="000000"/>
                <w:lang w:val="de-DE" w:eastAsia="de-DE"/>
              </w:rPr>
            </w:pPr>
            <w:r w:rsidRPr="00181BBF">
              <w:rPr>
                <w:rFonts w:ascii="Calibri" w:eastAsia="Times New Roman" w:hAnsi="Calibri" w:cs="Times New Roman"/>
                <w:i/>
                <w:iCs/>
                <w:color w:val="000000"/>
                <w:lang w:val="de-DE" w:eastAsia="de-DE"/>
              </w:rPr>
              <w:t>COI</w:t>
            </w:r>
          </w:p>
        </w:tc>
        <w:tc>
          <w:tcPr>
            <w:tcW w:w="564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i/>
                <w:iCs/>
                <w:color w:val="000000"/>
                <w:lang w:val="de-DE" w:eastAsia="de-DE"/>
              </w:rPr>
            </w:pPr>
            <w:r w:rsidRPr="00181BBF">
              <w:rPr>
                <w:rFonts w:ascii="Calibri" w:eastAsia="Times New Roman" w:hAnsi="Calibri" w:cs="Times New Roman"/>
                <w:i/>
                <w:iCs/>
                <w:color w:val="000000"/>
                <w:lang w:val="de-DE" w:eastAsia="de-DE"/>
              </w:rPr>
              <w:t>CORONATINE INSENSITIVE</w:t>
            </w:r>
          </w:p>
        </w:tc>
      </w:tr>
      <w:tr w:rsidR="00181BBF" w:rsidRPr="00181BBF" w:rsidTr="00181BBF">
        <w:trPr>
          <w:trHeight w:val="300"/>
        </w:trPr>
        <w:tc>
          <w:tcPr>
            <w:tcW w:w="146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COR</w:t>
            </w:r>
          </w:p>
        </w:tc>
        <w:tc>
          <w:tcPr>
            <w:tcW w:w="564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 xml:space="preserve">Coronatine  </w:t>
            </w:r>
          </w:p>
        </w:tc>
      </w:tr>
      <w:tr w:rsidR="00181BBF" w:rsidRPr="00181BBF" w:rsidTr="00181BBF">
        <w:trPr>
          <w:trHeight w:val="300"/>
        </w:trPr>
        <w:tc>
          <w:tcPr>
            <w:tcW w:w="146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cp</w:t>
            </w:r>
          </w:p>
        </w:tc>
        <w:tc>
          <w:tcPr>
            <w:tcW w:w="564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Conidiophores</w:t>
            </w:r>
          </w:p>
        </w:tc>
      </w:tr>
      <w:tr w:rsidR="00181BBF" w:rsidRPr="00181BBF" w:rsidTr="00181BBF">
        <w:trPr>
          <w:trHeight w:val="300"/>
        </w:trPr>
        <w:tc>
          <w:tcPr>
            <w:tcW w:w="1460" w:type="dxa"/>
            <w:tcBorders>
              <w:top w:val="nil"/>
              <w:left w:val="nil"/>
              <w:bottom w:val="nil"/>
              <w:right w:val="nil"/>
            </w:tcBorders>
            <w:shd w:val="clear" w:color="auto" w:fill="auto"/>
            <w:noWrap/>
            <w:vAlign w:val="center"/>
            <w:hideMark/>
          </w:tcPr>
          <w:p w:rsidR="00181BBF" w:rsidRPr="00181BBF" w:rsidRDefault="00F865A3" w:rsidP="00181BBF">
            <w:pPr>
              <w:spacing w:after="0" w:line="240" w:lineRule="auto"/>
              <w:rPr>
                <w:rFonts w:ascii="Calibri" w:eastAsia="Times New Roman" w:hAnsi="Calibri" w:cs="Times New Roman"/>
                <w:color w:val="000000"/>
                <w:lang w:val="de-DE" w:eastAsia="de-DE"/>
              </w:rPr>
            </w:pPr>
            <w:r>
              <w:rPr>
                <w:rFonts w:ascii="Calibri" w:eastAsia="Times New Roman" w:hAnsi="Calibri" w:cs="Times New Roman"/>
                <w:color w:val="000000"/>
                <w:lang w:val="de-DE" w:eastAsia="de-DE"/>
              </w:rPr>
              <w:t>Ct</w:t>
            </w:r>
            <w:r w:rsidR="00181BBF" w:rsidRPr="00181BBF">
              <w:rPr>
                <w:rFonts w:ascii="Calibri" w:eastAsia="Times New Roman" w:hAnsi="Calibri" w:cs="Times New Roman"/>
                <w:color w:val="000000"/>
                <w:lang w:val="de-DE" w:eastAsia="de-DE"/>
              </w:rPr>
              <w:t xml:space="preserve"> </w:t>
            </w:r>
          </w:p>
        </w:tc>
        <w:tc>
          <w:tcPr>
            <w:tcW w:w="564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Cycle threshold</w:t>
            </w:r>
          </w:p>
        </w:tc>
      </w:tr>
      <w:tr w:rsidR="00181BBF" w:rsidRPr="00181BBF" w:rsidTr="00181BBF">
        <w:trPr>
          <w:trHeight w:val="300"/>
        </w:trPr>
        <w:tc>
          <w:tcPr>
            <w:tcW w:w="146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 xml:space="preserve">DAMP </w:t>
            </w:r>
          </w:p>
        </w:tc>
        <w:tc>
          <w:tcPr>
            <w:tcW w:w="564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Damage-associated molecular pattern</w:t>
            </w:r>
          </w:p>
        </w:tc>
      </w:tr>
      <w:tr w:rsidR="00181BBF" w:rsidRPr="00181BBF" w:rsidTr="00181BBF">
        <w:trPr>
          <w:trHeight w:val="300"/>
        </w:trPr>
        <w:tc>
          <w:tcPr>
            <w:tcW w:w="146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DEX</w:t>
            </w:r>
          </w:p>
        </w:tc>
        <w:tc>
          <w:tcPr>
            <w:tcW w:w="564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Dexamethasone</w:t>
            </w:r>
          </w:p>
        </w:tc>
      </w:tr>
      <w:tr w:rsidR="00181BBF" w:rsidRPr="00181BBF" w:rsidTr="00181BBF">
        <w:trPr>
          <w:trHeight w:val="300"/>
        </w:trPr>
        <w:tc>
          <w:tcPr>
            <w:tcW w:w="146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dpi</w:t>
            </w:r>
          </w:p>
        </w:tc>
        <w:tc>
          <w:tcPr>
            <w:tcW w:w="564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days post infection</w:t>
            </w:r>
          </w:p>
        </w:tc>
      </w:tr>
      <w:tr w:rsidR="00181BBF" w:rsidRPr="00181BBF" w:rsidTr="00181BBF">
        <w:trPr>
          <w:trHeight w:val="300"/>
        </w:trPr>
        <w:tc>
          <w:tcPr>
            <w:tcW w:w="146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DSP</w:t>
            </w:r>
          </w:p>
        </w:tc>
        <w:tc>
          <w:tcPr>
            <w:tcW w:w="564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Dual specificity phosphatase</w:t>
            </w:r>
          </w:p>
        </w:tc>
      </w:tr>
      <w:tr w:rsidR="00181BBF" w:rsidRPr="00181BBF" w:rsidTr="00181BBF">
        <w:trPr>
          <w:trHeight w:val="300"/>
        </w:trPr>
        <w:tc>
          <w:tcPr>
            <w:tcW w:w="146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DTT</w:t>
            </w:r>
          </w:p>
        </w:tc>
        <w:tc>
          <w:tcPr>
            <w:tcW w:w="564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Dithiothreitol</w:t>
            </w:r>
          </w:p>
        </w:tc>
      </w:tr>
      <w:tr w:rsidR="00181BBF" w:rsidRPr="00181BBF" w:rsidTr="00181BBF">
        <w:trPr>
          <w:trHeight w:val="300"/>
        </w:trPr>
        <w:tc>
          <w:tcPr>
            <w:tcW w:w="146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 xml:space="preserve">E </w:t>
            </w:r>
          </w:p>
        </w:tc>
        <w:tc>
          <w:tcPr>
            <w:tcW w:w="564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Efficiency</w:t>
            </w:r>
          </w:p>
        </w:tc>
      </w:tr>
      <w:tr w:rsidR="00181BBF" w:rsidRPr="00181BBF" w:rsidTr="00181BBF">
        <w:trPr>
          <w:trHeight w:val="300"/>
        </w:trPr>
        <w:tc>
          <w:tcPr>
            <w:tcW w:w="146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i/>
                <w:iCs/>
                <w:color w:val="000000"/>
                <w:lang w:val="de-DE" w:eastAsia="de-DE"/>
              </w:rPr>
            </w:pPr>
            <w:r w:rsidRPr="00181BBF">
              <w:rPr>
                <w:rFonts w:ascii="Calibri" w:eastAsia="Times New Roman" w:hAnsi="Calibri" w:cs="Times New Roman"/>
                <w:i/>
                <w:iCs/>
                <w:color w:val="000000"/>
                <w:lang w:val="de-DE" w:eastAsia="de-DE"/>
              </w:rPr>
              <w:t xml:space="preserve">EDR </w:t>
            </w:r>
          </w:p>
        </w:tc>
        <w:tc>
          <w:tcPr>
            <w:tcW w:w="564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i/>
                <w:iCs/>
                <w:color w:val="000000"/>
                <w:lang w:val="de-DE" w:eastAsia="de-DE"/>
              </w:rPr>
            </w:pPr>
            <w:r w:rsidRPr="00181BBF">
              <w:rPr>
                <w:rFonts w:ascii="Calibri" w:eastAsia="Times New Roman" w:hAnsi="Calibri" w:cs="Times New Roman"/>
                <w:i/>
                <w:iCs/>
                <w:color w:val="000000"/>
                <w:lang w:val="de-DE" w:eastAsia="de-DE"/>
              </w:rPr>
              <w:t>ENHANCED DISEASE RESISTANCE</w:t>
            </w:r>
          </w:p>
        </w:tc>
      </w:tr>
      <w:tr w:rsidR="00181BBF" w:rsidRPr="00181BBF" w:rsidTr="00181BBF">
        <w:trPr>
          <w:trHeight w:val="300"/>
        </w:trPr>
        <w:tc>
          <w:tcPr>
            <w:tcW w:w="146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i/>
                <w:iCs/>
                <w:color w:val="000000"/>
                <w:lang w:val="de-DE" w:eastAsia="de-DE"/>
              </w:rPr>
            </w:pPr>
            <w:r w:rsidRPr="00181BBF">
              <w:rPr>
                <w:rFonts w:ascii="Calibri" w:eastAsia="Times New Roman" w:hAnsi="Calibri" w:cs="Times New Roman"/>
                <w:i/>
                <w:iCs/>
                <w:color w:val="000000"/>
                <w:lang w:val="de-DE" w:eastAsia="de-DE"/>
              </w:rPr>
              <w:t xml:space="preserve">EDS </w:t>
            </w:r>
          </w:p>
        </w:tc>
        <w:tc>
          <w:tcPr>
            <w:tcW w:w="564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i/>
                <w:iCs/>
                <w:color w:val="000000"/>
                <w:lang w:val="de-DE" w:eastAsia="de-DE"/>
              </w:rPr>
            </w:pPr>
            <w:r w:rsidRPr="00181BBF">
              <w:rPr>
                <w:rFonts w:ascii="Calibri" w:eastAsia="Times New Roman" w:hAnsi="Calibri" w:cs="Times New Roman"/>
                <w:i/>
                <w:iCs/>
                <w:color w:val="000000"/>
                <w:lang w:val="de-DE" w:eastAsia="de-DE"/>
              </w:rPr>
              <w:t>ENHANCED DISEASE SUSCEPTIBILITY</w:t>
            </w:r>
          </w:p>
        </w:tc>
      </w:tr>
      <w:tr w:rsidR="00181BBF" w:rsidRPr="00181BBF" w:rsidTr="00181BBF">
        <w:trPr>
          <w:trHeight w:val="300"/>
        </w:trPr>
        <w:tc>
          <w:tcPr>
            <w:tcW w:w="146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 xml:space="preserve">EDTA </w:t>
            </w:r>
          </w:p>
        </w:tc>
        <w:tc>
          <w:tcPr>
            <w:tcW w:w="564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Ethylendiaminetetraacetic acid</w:t>
            </w:r>
          </w:p>
        </w:tc>
      </w:tr>
      <w:tr w:rsidR="00181BBF" w:rsidRPr="00181BBF" w:rsidTr="00181BBF">
        <w:trPr>
          <w:trHeight w:val="300"/>
        </w:trPr>
        <w:tc>
          <w:tcPr>
            <w:tcW w:w="146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 xml:space="preserve">EFR </w:t>
            </w:r>
          </w:p>
        </w:tc>
        <w:tc>
          <w:tcPr>
            <w:tcW w:w="564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Elongation factor Tu receptor</w:t>
            </w:r>
          </w:p>
        </w:tc>
      </w:tr>
      <w:tr w:rsidR="00181BBF" w:rsidRPr="00181BBF" w:rsidTr="00181BBF">
        <w:trPr>
          <w:trHeight w:val="300"/>
        </w:trPr>
        <w:tc>
          <w:tcPr>
            <w:tcW w:w="146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 xml:space="preserve">EF-Tu </w:t>
            </w:r>
          </w:p>
        </w:tc>
        <w:tc>
          <w:tcPr>
            <w:tcW w:w="564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Elongation factor Tu</w:t>
            </w:r>
          </w:p>
        </w:tc>
      </w:tr>
      <w:tr w:rsidR="00181BBF" w:rsidRPr="00181BBF" w:rsidTr="00181BBF">
        <w:trPr>
          <w:trHeight w:val="300"/>
        </w:trPr>
        <w:tc>
          <w:tcPr>
            <w:tcW w:w="146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EGTA</w:t>
            </w:r>
          </w:p>
        </w:tc>
        <w:tc>
          <w:tcPr>
            <w:tcW w:w="564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Ethylene glycol tetraacetic acid</w:t>
            </w:r>
          </w:p>
        </w:tc>
      </w:tr>
      <w:tr w:rsidR="00181BBF" w:rsidRPr="00181BBF" w:rsidTr="00181BBF">
        <w:trPr>
          <w:trHeight w:val="300"/>
        </w:trPr>
        <w:tc>
          <w:tcPr>
            <w:tcW w:w="146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i/>
                <w:color w:val="000000"/>
                <w:lang w:val="de-DE" w:eastAsia="de-DE"/>
              </w:rPr>
            </w:pPr>
            <w:r w:rsidRPr="00181BBF">
              <w:rPr>
                <w:rFonts w:ascii="Calibri" w:eastAsia="Times New Roman" w:hAnsi="Calibri" w:cs="Times New Roman"/>
                <w:i/>
                <w:color w:val="000000"/>
                <w:lang w:val="de-DE" w:eastAsia="de-DE"/>
              </w:rPr>
              <w:t>EIL1</w:t>
            </w:r>
          </w:p>
        </w:tc>
        <w:tc>
          <w:tcPr>
            <w:tcW w:w="564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i/>
                <w:color w:val="000000"/>
                <w:lang w:val="de-DE" w:eastAsia="de-DE"/>
              </w:rPr>
            </w:pPr>
            <w:r w:rsidRPr="00181BBF">
              <w:rPr>
                <w:rFonts w:ascii="Calibri" w:eastAsia="Times New Roman" w:hAnsi="Calibri" w:cs="Times New Roman"/>
                <w:i/>
                <w:color w:val="000000"/>
                <w:lang w:val="de-DE" w:eastAsia="de-DE"/>
              </w:rPr>
              <w:t>ETHYLENE INSENSENSITIVE-LIKE1</w:t>
            </w:r>
          </w:p>
        </w:tc>
      </w:tr>
      <w:tr w:rsidR="00181BBF" w:rsidRPr="00181BBF" w:rsidTr="00181BBF">
        <w:trPr>
          <w:trHeight w:val="300"/>
        </w:trPr>
        <w:tc>
          <w:tcPr>
            <w:tcW w:w="146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i/>
                <w:iCs/>
                <w:color w:val="000000"/>
                <w:lang w:val="de-DE" w:eastAsia="de-DE"/>
              </w:rPr>
            </w:pPr>
            <w:r w:rsidRPr="00181BBF">
              <w:rPr>
                <w:rFonts w:ascii="Calibri" w:eastAsia="Times New Roman" w:hAnsi="Calibri" w:cs="Times New Roman"/>
                <w:i/>
                <w:iCs/>
                <w:color w:val="000000"/>
                <w:lang w:val="de-DE" w:eastAsia="de-DE"/>
              </w:rPr>
              <w:t xml:space="preserve">EIN </w:t>
            </w:r>
          </w:p>
        </w:tc>
        <w:tc>
          <w:tcPr>
            <w:tcW w:w="564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i/>
                <w:iCs/>
                <w:color w:val="000000"/>
                <w:lang w:val="de-DE" w:eastAsia="de-DE"/>
              </w:rPr>
            </w:pPr>
            <w:r w:rsidRPr="00181BBF">
              <w:rPr>
                <w:rFonts w:ascii="Calibri" w:eastAsia="Times New Roman" w:hAnsi="Calibri" w:cs="Times New Roman"/>
                <w:i/>
                <w:iCs/>
                <w:color w:val="000000"/>
                <w:lang w:val="de-DE" w:eastAsia="de-DE"/>
              </w:rPr>
              <w:t>ETHYLENE INSENSITIVE</w:t>
            </w:r>
          </w:p>
        </w:tc>
      </w:tr>
      <w:tr w:rsidR="00181BBF" w:rsidRPr="00181BBF" w:rsidTr="00181BBF">
        <w:trPr>
          <w:trHeight w:val="300"/>
        </w:trPr>
        <w:tc>
          <w:tcPr>
            <w:tcW w:w="146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elf18</w:t>
            </w:r>
          </w:p>
        </w:tc>
        <w:tc>
          <w:tcPr>
            <w:tcW w:w="564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EF-Tu epitope 18</w:t>
            </w:r>
          </w:p>
        </w:tc>
      </w:tr>
      <w:tr w:rsidR="00181BBF" w:rsidRPr="00181BBF" w:rsidTr="00181BBF">
        <w:trPr>
          <w:trHeight w:val="300"/>
        </w:trPr>
        <w:tc>
          <w:tcPr>
            <w:tcW w:w="146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lastRenderedPageBreak/>
              <w:t xml:space="preserve">ET </w:t>
            </w:r>
          </w:p>
        </w:tc>
        <w:tc>
          <w:tcPr>
            <w:tcW w:w="564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Ethylene</w:t>
            </w:r>
          </w:p>
        </w:tc>
      </w:tr>
      <w:tr w:rsidR="00181BBF" w:rsidRPr="00181BBF" w:rsidTr="00181BBF">
        <w:trPr>
          <w:trHeight w:val="300"/>
        </w:trPr>
        <w:tc>
          <w:tcPr>
            <w:tcW w:w="146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 xml:space="preserve">ETI </w:t>
            </w:r>
          </w:p>
        </w:tc>
        <w:tc>
          <w:tcPr>
            <w:tcW w:w="564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Effector-triggered immunity</w:t>
            </w:r>
          </w:p>
        </w:tc>
      </w:tr>
      <w:tr w:rsidR="00181BBF" w:rsidRPr="00181BBF" w:rsidTr="00181BBF">
        <w:trPr>
          <w:trHeight w:val="300"/>
        </w:trPr>
        <w:tc>
          <w:tcPr>
            <w:tcW w:w="146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i/>
                <w:iCs/>
                <w:color w:val="000000"/>
                <w:lang w:val="de-DE" w:eastAsia="de-DE"/>
              </w:rPr>
            </w:pPr>
            <w:r w:rsidRPr="00181BBF">
              <w:rPr>
                <w:rFonts w:ascii="Calibri" w:eastAsia="Times New Roman" w:hAnsi="Calibri" w:cs="Times New Roman"/>
                <w:i/>
                <w:iCs/>
                <w:color w:val="000000"/>
                <w:lang w:val="de-DE" w:eastAsia="de-DE"/>
              </w:rPr>
              <w:t>ETR</w:t>
            </w:r>
          </w:p>
        </w:tc>
        <w:tc>
          <w:tcPr>
            <w:tcW w:w="564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i/>
                <w:iCs/>
                <w:color w:val="000000"/>
                <w:lang w:val="de-DE" w:eastAsia="de-DE"/>
              </w:rPr>
            </w:pPr>
            <w:r w:rsidRPr="00181BBF">
              <w:rPr>
                <w:rFonts w:ascii="Calibri" w:eastAsia="Times New Roman" w:hAnsi="Calibri" w:cs="Times New Roman"/>
                <w:i/>
                <w:iCs/>
                <w:color w:val="000000"/>
                <w:lang w:val="de-DE" w:eastAsia="de-DE"/>
              </w:rPr>
              <w:t>ETHYLENE RECEPTOR</w:t>
            </w:r>
          </w:p>
        </w:tc>
      </w:tr>
      <w:tr w:rsidR="00181BBF" w:rsidRPr="00181BBF" w:rsidTr="00181BBF">
        <w:trPr>
          <w:trHeight w:val="300"/>
        </w:trPr>
        <w:tc>
          <w:tcPr>
            <w:tcW w:w="146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 xml:space="preserve">ETS </w:t>
            </w:r>
          </w:p>
        </w:tc>
        <w:tc>
          <w:tcPr>
            <w:tcW w:w="564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Effector-triggered susceptibility</w:t>
            </w:r>
          </w:p>
        </w:tc>
      </w:tr>
      <w:tr w:rsidR="00181BBF" w:rsidRPr="00181BBF" w:rsidTr="00181BBF">
        <w:trPr>
          <w:trHeight w:val="300"/>
        </w:trPr>
        <w:tc>
          <w:tcPr>
            <w:tcW w:w="146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FAD</w:t>
            </w:r>
          </w:p>
        </w:tc>
        <w:tc>
          <w:tcPr>
            <w:tcW w:w="564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 xml:space="preserve">Flavin adenine dinucleotide </w:t>
            </w:r>
          </w:p>
        </w:tc>
      </w:tr>
      <w:tr w:rsidR="00181BBF" w:rsidRPr="00181BBF" w:rsidTr="00181BBF">
        <w:trPr>
          <w:trHeight w:val="300"/>
        </w:trPr>
        <w:tc>
          <w:tcPr>
            <w:tcW w:w="146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flg22</w:t>
            </w:r>
          </w:p>
        </w:tc>
        <w:tc>
          <w:tcPr>
            <w:tcW w:w="564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Flagellin epitope 22</w:t>
            </w:r>
          </w:p>
        </w:tc>
      </w:tr>
      <w:tr w:rsidR="00181BBF" w:rsidRPr="00181BBF" w:rsidTr="00181BBF">
        <w:trPr>
          <w:trHeight w:val="300"/>
        </w:trPr>
        <w:tc>
          <w:tcPr>
            <w:tcW w:w="146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i/>
                <w:iCs/>
                <w:color w:val="000000"/>
                <w:lang w:val="de-DE" w:eastAsia="de-DE"/>
              </w:rPr>
            </w:pPr>
            <w:r w:rsidRPr="00181BBF">
              <w:rPr>
                <w:rFonts w:ascii="Calibri" w:eastAsia="Times New Roman" w:hAnsi="Calibri" w:cs="Times New Roman"/>
                <w:i/>
                <w:iCs/>
                <w:color w:val="000000"/>
                <w:lang w:val="de-DE" w:eastAsia="de-DE"/>
              </w:rPr>
              <w:t xml:space="preserve">FLS2 </w:t>
            </w:r>
          </w:p>
        </w:tc>
        <w:tc>
          <w:tcPr>
            <w:tcW w:w="564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i/>
                <w:iCs/>
                <w:color w:val="000000"/>
                <w:lang w:val="de-DE" w:eastAsia="de-DE"/>
              </w:rPr>
            </w:pPr>
            <w:r w:rsidRPr="00181BBF">
              <w:rPr>
                <w:rFonts w:ascii="Calibri" w:eastAsia="Times New Roman" w:hAnsi="Calibri" w:cs="Times New Roman"/>
                <w:i/>
                <w:iCs/>
                <w:color w:val="000000"/>
                <w:lang w:val="de-DE" w:eastAsia="de-DE"/>
              </w:rPr>
              <w:t>FLAGELLIN SENSING 2</w:t>
            </w:r>
          </w:p>
        </w:tc>
      </w:tr>
      <w:tr w:rsidR="00181BBF" w:rsidRPr="00181BBF" w:rsidTr="00181BBF">
        <w:trPr>
          <w:trHeight w:val="300"/>
        </w:trPr>
        <w:tc>
          <w:tcPr>
            <w:tcW w:w="146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i/>
                <w:iCs/>
                <w:color w:val="000000"/>
                <w:lang w:val="de-DE" w:eastAsia="de-DE"/>
              </w:rPr>
            </w:pPr>
            <w:r w:rsidRPr="00181BBF">
              <w:rPr>
                <w:rFonts w:ascii="Calibri" w:eastAsia="Times New Roman" w:hAnsi="Calibri" w:cs="Times New Roman"/>
                <w:i/>
                <w:iCs/>
                <w:color w:val="000000"/>
                <w:lang w:val="de-DE" w:eastAsia="de-DE"/>
              </w:rPr>
              <w:t xml:space="preserve">FMO1 </w:t>
            </w:r>
          </w:p>
        </w:tc>
        <w:tc>
          <w:tcPr>
            <w:tcW w:w="564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i/>
                <w:iCs/>
                <w:color w:val="000000"/>
                <w:lang w:val="de-DE" w:eastAsia="de-DE"/>
              </w:rPr>
            </w:pPr>
            <w:r w:rsidRPr="00181BBF">
              <w:rPr>
                <w:rFonts w:ascii="Calibri" w:eastAsia="Times New Roman" w:hAnsi="Calibri" w:cs="Times New Roman"/>
                <w:i/>
                <w:iCs/>
                <w:color w:val="000000"/>
                <w:lang w:val="de-DE" w:eastAsia="de-DE"/>
              </w:rPr>
              <w:t>FLAVIN-DEPENDENT MONOOXYGENASE 1</w:t>
            </w:r>
          </w:p>
        </w:tc>
      </w:tr>
      <w:tr w:rsidR="00181BBF" w:rsidRPr="00181BBF" w:rsidTr="00181BBF">
        <w:trPr>
          <w:trHeight w:val="300"/>
        </w:trPr>
        <w:tc>
          <w:tcPr>
            <w:tcW w:w="146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 xml:space="preserve">FW </w:t>
            </w:r>
          </w:p>
        </w:tc>
        <w:tc>
          <w:tcPr>
            <w:tcW w:w="564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Fresh weight</w:t>
            </w:r>
          </w:p>
        </w:tc>
      </w:tr>
      <w:tr w:rsidR="00181BBF" w:rsidRPr="00181BBF" w:rsidTr="00181BBF">
        <w:trPr>
          <w:trHeight w:val="300"/>
        </w:trPr>
        <w:tc>
          <w:tcPr>
            <w:tcW w:w="146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 xml:space="preserve">GABA </w:t>
            </w:r>
          </w:p>
        </w:tc>
        <w:tc>
          <w:tcPr>
            <w:tcW w:w="564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i/>
                <w:iCs/>
                <w:color w:val="000000"/>
                <w:lang w:val="de-DE" w:eastAsia="de-DE"/>
              </w:rPr>
            </w:pPr>
            <w:r w:rsidRPr="00181BBF">
              <w:rPr>
                <w:rFonts w:ascii="Calibri" w:eastAsia="Times New Roman" w:hAnsi="Calibri" w:cs="Times New Roman"/>
                <w:i/>
                <w:iCs/>
                <w:color w:val="000000"/>
                <w:lang w:val="de-DE" w:eastAsia="de-DE"/>
              </w:rPr>
              <w:t>γ</w:t>
            </w:r>
            <w:r w:rsidRPr="00181BBF">
              <w:rPr>
                <w:rFonts w:ascii="Calibri" w:eastAsia="Times New Roman" w:hAnsi="Calibri" w:cs="Times New Roman"/>
                <w:color w:val="000000"/>
                <w:lang w:val="de-DE" w:eastAsia="de-DE"/>
              </w:rPr>
              <w:t>-Aminobutyric acid</w:t>
            </w:r>
          </w:p>
        </w:tc>
      </w:tr>
      <w:tr w:rsidR="00181BBF" w:rsidRPr="00181BBF" w:rsidTr="00181BBF">
        <w:trPr>
          <w:trHeight w:val="300"/>
        </w:trPr>
        <w:tc>
          <w:tcPr>
            <w:tcW w:w="146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i/>
                <w:color w:val="000000"/>
                <w:lang w:val="de-DE" w:eastAsia="de-DE"/>
              </w:rPr>
            </w:pPr>
            <w:r w:rsidRPr="00181BBF">
              <w:rPr>
                <w:rFonts w:ascii="Calibri" w:eastAsia="Times New Roman" w:hAnsi="Calibri" w:cs="Times New Roman"/>
                <w:i/>
                <w:color w:val="000000"/>
                <w:lang w:val="de-DE" w:eastAsia="de-DE"/>
              </w:rPr>
              <w:t>gl1</w:t>
            </w:r>
          </w:p>
        </w:tc>
        <w:tc>
          <w:tcPr>
            <w:tcW w:w="564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i/>
                <w:color w:val="000000"/>
                <w:lang w:val="de-DE" w:eastAsia="de-DE"/>
              </w:rPr>
            </w:pPr>
            <w:r w:rsidRPr="00181BBF">
              <w:rPr>
                <w:rFonts w:ascii="Calibri" w:eastAsia="Times New Roman" w:hAnsi="Calibri" w:cs="Times New Roman"/>
                <w:i/>
                <w:color w:val="000000"/>
                <w:lang w:val="de-DE" w:eastAsia="de-DE"/>
              </w:rPr>
              <w:t>Glabra1</w:t>
            </w:r>
          </w:p>
        </w:tc>
      </w:tr>
      <w:tr w:rsidR="00181BBF" w:rsidRPr="00181BBF" w:rsidTr="00181BBF">
        <w:trPr>
          <w:trHeight w:val="300"/>
        </w:trPr>
        <w:tc>
          <w:tcPr>
            <w:tcW w:w="146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i/>
                <w:iCs/>
                <w:color w:val="000000"/>
                <w:lang w:val="de-DE" w:eastAsia="de-DE"/>
              </w:rPr>
            </w:pPr>
            <w:r w:rsidRPr="00181BBF">
              <w:rPr>
                <w:rFonts w:ascii="Calibri" w:eastAsia="Times New Roman" w:hAnsi="Calibri" w:cs="Times New Roman"/>
                <w:i/>
                <w:iCs/>
                <w:color w:val="000000"/>
                <w:lang w:val="de-DE" w:eastAsia="de-DE"/>
              </w:rPr>
              <w:t>Go</w:t>
            </w:r>
          </w:p>
        </w:tc>
        <w:tc>
          <w:tcPr>
            <w:tcW w:w="564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i/>
                <w:iCs/>
                <w:color w:val="000000"/>
                <w:lang w:val="de-DE" w:eastAsia="de-DE"/>
              </w:rPr>
            </w:pPr>
            <w:r w:rsidRPr="00181BBF">
              <w:rPr>
                <w:rFonts w:ascii="Calibri" w:eastAsia="Times New Roman" w:hAnsi="Calibri" w:cs="Times New Roman"/>
                <w:i/>
                <w:iCs/>
                <w:color w:val="000000"/>
                <w:lang w:val="de-DE" w:eastAsia="de-DE"/>
              </w:rPr>
              <w:t>Golovinomyces orontii</w:t>
            </w:r>
          </w:p>
        </w:tc>
      </w:tr>
      <w:tr w:rsidR="00181BBF" w:rsidRPr="00181BBF" w:rsidTr="00181BBF">
        <w:trPr>
          <w:trHeight w:val="300"/>
        </w:trPr>
        <w:tc>
          <w:tcPr>
            <w:tcW w:w="146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GS/GOGAT</w:t>
            </w:r>
          </w:p>
        </w:tc>
        <w:tc>
          <w:tcPr>
            <w:tcW w:w="564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Glutamine synthetase/glutamate synthase</w:t>
            </w:r>
          </w:p>
        </w:tc>
      </w:tr>
      <w:tr w:rsidR="00181BBF" w:rsidRPr="00181BBF" w:rsidTr="00181BBF">
        <w:trPr>
          <w:trHeight w:val="300"/>
        </w:trPr>
        <w:tc>
          <w:tcPr>
            <w:tcW w:w="146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 xml:space="preserve">GST </w:t>
            </w:r>
          </w:p>
        </w:tc>
        <w:tc>
          <w:tcPr>
            <w:tcW w:w="564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Gluthathione S-transferase</w:t>
            </w:r>
          </w:p>
        </w:tc>
      </w:tr>
      <w:tr w:rsidR="00181BBF" w:rsidRPr="00181BBF" w:rsidTr="00181BBF">
        <w:trPr>
          <w:trHeight w:val="300"/>
        </w:trPr>
        <w:tc>
          <w:tcPr>
            <w:tcW w:w="146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 xml:space="preserve">h </w:t>
            </w:r>
          </w:p>
        </w:tc>
        <w:tc>
          <w:tcPr>
            <w:tcW w:w="564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Hours</w:t>
            </w:r>
          </w:p>
        </w:tc>
      </w:tr>
      <w:tr w:rsidR="00181BBF" w:rsidRPr="00181BBF" w:rsidTr="00181BBF">
        <w:trPr>
          <w:trHeight w:val="300"/>
        </w:trPr>
        <w:tc>
          <w:tcPr>
            <w:tcW w:w="146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i/>
                <w:color w:val="000000"/>
                <w:lang w:val="de-DE" w:eastAsia="de-DE"/>
              </w:rPr>
            </w:pPr>
            <w:r w:rsidRPr="00181BBF">
              <w:rPr>
                <w:rFonts w:ascii="Calibri" w:eastAsia="Times New Roman" w:hAnsi="Calibri" w:cs="Times New Roman"/>
                <w:i/>
                <w:color w:val="000000"/>
                <w:lang w:val="de-DE" w:eastAsia="de-DE"/>
              </w:rPr>
              <w:t>HAC1</w:t>
            </w:r>
          </w:p>
        </w:tc>
        <w:tc>
          <w:tcPr>
            <w:tcW w:w="564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i/>
                <w:color w:val="000000"/>
                <w:lang w:val="de-DE" w:eastAsia="de-DE"/>
              </w:rPr>
            </w:pPr>
            <w:r w:rsidRPr="00181BBF">
              <w:rPr>
                <w:rFonts w:ascii="Calibri" w:eastAsia="Times New Roman" w:hAnsi="Calibri" w:cs="Times New Roman"/>
                <w:i/>
                <w:color w:val="000000"/>
                <w:lang w:val="de-DE" w:eastAsia="de-DE"/>
              </w:rPr>
              <w:t>HISTONE ACETYLTRANSFERASE1</w:t>
            </w:r>
          </w:p>
        </w:tc>
      </w:tr>
      <w:tr w:rsidR="00181BBF" w:rsidRPr="00181BBF" w:rsidTr="00181BBF">
        <w:trPr>
          <w:trHeight w:val="300"/>
        </w:trPr>
        <w:tc>
          <w:tcPr>
            <w:tcW w:w="146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i/>
                <w:iCs/>
                <w:color w:val="000000"/>
                <w:lang w:val="de-DE" w:eastAsia="de-DE"/>
              </w:rPr>
            </w:pPr>
            <w:r w:rsidRPr="00181BBF">
              <w:rPr>
                <w:rFonts w:ascii="Calibri" w:eastAsia="Times New Roman" w:hAnsi="Calibri" w:cs="Times New Roman"/>
                <w:i/>
                <w:iCs/>
                <w:color w:val="000000"/>
                <w:lang w:val="de-DE" w:eastAsia="de-DE"/>
              </w:rPr>
              <w:t>Hpa</w:t>
            </w:r>
          </w:p>
        </w:tc>
        <w:tc>
          <w:tcPr>
            <w:tcW w:w="564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i/>
                <w:iCs/>
                <w:color w:val="000000"/>
                <w:lang w:val="de-DE" w:eastAsia="de-DE"/>
              </w:rPr>
            </w:pPr>
            <w:r w:rsidRPr="00181BBF">
              <w:rPr>
                <w:rFonts w:ascii="Calibri" w:eastAsia="Times New Roman" w:hAnsi="Calibri" w:cs="Times New Roman"/>
                <w:i/>
                <w:iCs/>
                <w:color w:val="000000"/>
                <w:lang w:val="de-DE" w:eastAsia="de-DE"/>
              </w:rPr>
              <w:t>Hyaloperonospora arabidopsidis</w:t>
            </w:r>
          </w:p>
        </w:tc>
      </w:tr>
      <w:tr w:rsidR="00181BBF" w:rsidRPr="00181BBF" w:rsidTr="00181BBF">
        <w:trPr>
          <w:trHeight w:val="300"/>
        </w:trPr>
        <w:tc>
          <w:tcPr>
            <w:tcW w:w="146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 xml:space="preserve">hpi </w:t>
            </w:r>
          </w:p>
        </w:tc>
        <w:tc>
          <w:tcPr>
            <w:tcW w:w="564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Hours post inoculation</w:t>
            </w:r>
          </w:p>
        </w:tc>
      </w:tr>
      <w:tr w:rsidR="00181BBF" w:rsidRPr="00181BBF" w:rsidTr="00181BBF">
        <w:trPr>
          <w:trHeight w:val="300"/>
        </w:trPr>
        <w:tc>
          <w:tcPr>
            <w:tcW w:w="146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 xml:space="preserve">HR </w:t>
            </w:r>
          </w:p>
        </w:tc>
        <w:tc>
          <w:tcPr>
            <w:tcW w:w="564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Hypersensitive response</w:t>
            </w:r>
          </w:p>
        </w:tc>
      </w:tr>
      <w:tr w:rsidR="00181BBF" w:rsidRPr="00181BBF" w:rsidTr="00181BBF">
        <w:trPr>
          <w:trHeight w:val="300"/>
        </w:trPr>
        <w:tc>
          <w:tcPr>
            <w:tcW w:w="146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hy</w:t>
            </w:r>
          </w:p>
        </w:tc>
        <w:tc>
          <w:tcPr>
            <w:tcW w:w="564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Hyphae</w:t>
            </w:r>
          </w:p>
        </w:tc>
      </w:tr>
      <w:tr w:rsidR="00181BBF" w:rsidRPr="00181BBF" w:rsidTr="00181BBF">
        <w:trPr>
          <w:trHeight w:val="300"/>
        </w:trPr>
        <w:tc>
          <w:tcPr>
            <w:tcW w:w="146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 xml:space="preserve">IAA </w:t>
            </w:r>
          </w:p>
        </w:tc>
        <w:tc>
          <w:tcPr>
            <w:tcW w:w="564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Indole acetic acid</w:t>
            </w:r>
          </w:p>
        </w:tc>
      </w:tr>
      <w:tr w:rsidR="00181BBF" w:rsidRPr="00181BBF" w:rsidTr="00181BBF">
        <w:trPr>
          <w:trHeight w:val="300"/>
        </w:trPr>
        <w:tc>
          <w:tcPr>
            <w:tcW w:w="146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IAN</w:t>
            </w:r>
          </w:p>
        </w:tc>
        <w:tc>
          <w:tcPr>
            <w:tcW w:w="564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 xml:space="preserve">Indole-3-acetonitrile </w:t>
            </w:r>
          </w:p>
        </w:tc>
      </w:tr>
      <w:tr w:rsidR="00181BBF" w:rsidRPr="00181BBF" w:rsidTr="00181BBF">
        <w:trPr>
          <w:trHeight w:val="300"/>
        </w:trPr>
        <w:tc>
          <w:tcPr>
            <w:tcW w:w="146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IAOx</w:t>
            </w:r>
          </w:p>
        </w:tc>
        <w:tc>
          <w:tcPr>
            <w:tcW w:w="564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Indole-3-acetaldoxime</w:t>
            </w:r>
          </w:p>
        </w:tc>
      </w:tr>
      <w:tr w:rsidR="00181BBF" w:rsidRPr="00181BBF" w:rsidTr="00181BBF">
        <w:trPr>
          <w:trHeight w:val="300"/>
        </w:trPr>
        <w:tc>
          <w:tcPr>
            <w:tcW w:w="146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ICA</w:t>
            </w:r>
          </w:p>
        </w:tc>
        <w:tc>
          <w:tcPr>
            <w:tcW w:w="564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Indole-3-carboxylic acid</w:t>
            </w:r>
          </w:p>
        </w:tc>
      </w:tr>
      <w:tr w:rsidR="00181BBF" w:rsidRPr="00181BBF" w:rsidTr="00181BBF">
        <w:trPr>
          <w:trHeight w:val="300"/>
        </w:trPr>
        <w:tc>
          <w:tcPr>
            <w:tcW w:w="146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i/>
                <w:iCs/>
                <w:color w:val="000000"/>
                <w:lang w:val="de-DE" w:eastAsia="de-DE"/>
              </w:rPr>
            </w:pPr>
            <w:r w:rsidRPr="00181BBF">
              <w:rPr>
                <w:rFonts w:ascii="Calibri" w:eastAsia="Times New Roman" w:hAnsi="Calibri" w:cs="Times New Roman"/>
                <w:i/>
                <w:iCs/>
                <w:color w:val="000000"/>
                <w:lang w:val="de-DE" w:eastAsia="de-DE"/>
              </w:rPr>
              <w:t xml:space="preserve">ICS1 </w:t>
            </w:r>
          </w:p>
        </w:tc>
        <w:tc>
          <w:tcPr>
            <w:tcW w:w="564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i/>
                <w:iCs/>
                <w:color w:val="000000"/>
                <w:lang w:val="de-DE" w:eastAsia="de-DE"/>
              </w:rPr>
            </w:pPr>
            <w:r w:rsidRPr="00181BBF">
              <w:rPr>
                <w:rFonts w:ascii="Calibri" w:eastAsia="Times New Roman" w:hAnsi="Calibri" w:cs="Times New Roman"/>
                <w:i/>
                <w:iCs/>
                <w:color w:val="000000"/>
                <w:lang w:val="de-DE" w:eastAsia="de-DE"/>
              </w:rPr>
              <w:t>ISOCHORISMATE SYNTHASE 1</w:t>
            </w:r>
          </w:p>
        </w:tc>
      </w:tr>
      <w:tr w:rsidR="00181BBF" w:rsidRPr="00181BBF" w:rsidTr="00181BBF">
        <w:trPr>
          <w:trHeight w:val="300"/>
        </w:trPr>
        <w:tc>
          <w:tcPr>
            <w:tcW w:w="146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INA</w:t>
            </w:r>
          </w:p>
        </w:tc>
        <w:tc>
          <w:tcPr>
            <w:tcW w:w="564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2,6-Dichloroisonicotinic acid</w:t>
            </w:r>
          </w:p>
        </w:tc>
      </w:tr>
      <w:tr w:rsidR="005964AB" w:rsidRPr="00181BBF" w:rsidTr="00181BBF">
        <w:trPr>
          <w:trHeight w:val="300"/>
        </w:trPr>
        <w:tc>
          <w:tcPr>
            <w:tcW w:w="1460" w:type="dxa"/>
            <w:tcBorders>
              <w:top w:val="nil"/>
              <w:left w:val="nil"/>
              <w:bottom w:val="nil"/>
              <w:right w:val="nil"/>
            </w:tcBorders>
            <w:shd w:val="clear" w:color="auto" w:fill="auto"/>
            <w:noWrap/>
            <w:vAlign w:val="center"/>
          </w:tcPr>
          <w:p w:rsidR="005964AB" w:rsidRPr="00181BBF" w:rsidRDefault="005964AB" w:rsidP="00181BBF">
            <w:pPr>
              <w:spacing w:after="0" w:line="240" w:lineRule="auto"/>
              <w:rPr>
                <w:rFonts w:ascii="Calibri" w:eastAsia="Times New Roman" w:hAnsi="Calibri" w:cs="Times New Roman"/>
                <w:color w:val="000000"/>
                <w:lang w:val="de-DE" w:eastAsia="de-DE"/>
              </w:rPr>
            </w:pPr>
            <w:r>
              <w:rPr>
                <w:rFonts w:ascii="Calibri" w:eastAsia="Times New Roman" w:hAnsi="Calibri" w:cs="Times New Roman"/>
                <w:color w:val="000000"/>
                <w:lang w:val="de-DE" w:eastAsia="de-DE"/>
              </w:rPr>
              <w:t>IPA</w:t>
            </w:r>
          </w:p>
        </w:tc>
        <w:tc>
          <w:tcPr>
            <w:tcW w:w="5640" w:type="dxa"/>
            <w:tcBorders>
              <w:top w:val="nil"/>
              <w:left w:val="nil"/>
              <w:bottom w:val="nil"/>
              <w:right w:val="nil"/>
            </w:tcBorders>
            <w:shd w:val="clear" w:color="auto" w:fill="auto"/>
            <w:noWrap/>
            <w:vAlign w:val="center"/>
          </w:tcPr>
          <w:p w:rsidR="005964AB" w:rsidRPr="00181BBF" w:rsidRDefault="00B80031" w:rsidP="00181BBF">
            <w:pPr>
              <w:spacing w:after="0" w:line="240" w:lineRule="auto"/>
              <w:rPr>
                <w:rFonts w:ascii="Calibri" w:eastAsia="Times New Roman" w:hAnsi="Calibri" w:cs="Times New Roman"/>
                <w:color w:val="000000"/>
                <w:lang w:val="de-DE" w:eastAsia="de-DE"/>
              </w:rPr>
            </w:pPr>
            <w:r>
              <w:rPr>
                <w:rFonts w:ascii="Calibri" w:eastAsia="Times New Roman" w:hAnsi="Calibri" w:cs="Times New Roman"/>
                <w:color w:val="000000"/>
                <w:lang w:val="de-DE" w:eastAsia="de-DE"/>
              </w:rPr>
              <w:t>Indolepropionic acid</w:t>
            </w:r>
          </w:p>
        </w:tc>
      </w:tr>
      <w:tr w:rsidR="00181BBF" w:rsidRPr="00181BBF" w:rsidTr="00181BBF">
        <w:trPr>
          <w:trHeight w:val="300"/>
        </w:trPr>
        <w:tc>
          <w:tcPr>
            <w:tcW w:w="146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 xml:space="preserve">IR </w:t>
            </w:r>
          </w:p>
        </w:tc>
        <w:tc>
          <w:tcPr>
            <w:tcW w:w="564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Induced resistance</w:t>
            </w:r>
          </w:p>
        </w:tc>
      </w:tr>
      <w:tr w:rsidR="00181BBF" w:rsidRPr="00181BBF" w:rsidTr="00181BBF">
        <w:trPr>
          <w:trHeight w:val="300"/>
        </w:trPr>
        <w:tc>
          <w:tcPr>
            <w:tcW w:w="146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ISR</w:t>
            </w:r>
          </w:p>
        </w:tc>
        <w:tc>
          <w:tcPr>
            <w:tcW w:w="564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 xml:space="preserve">Induced systemic resistance </w:t>
            </w:r>
          </w:p>
        </w:tc>
      </w:tr>
      <w:tr w:rsidR="00181BBF" w:rsidRPr="00181BBF" w:rsidTr="00181BBF">
        <w:trPr>
          <w:trHeight w:val="300"/>
        </w:trPr>
        <w:tc>
          <w:tcPr>
            <w:tcW w:w="146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 xml:space="preserve">JA </w:t>
            </w:r>
          </w:p>
        </w:tc>
        <w:tc>
          <w:tcPr>
            <w:tcW w:w="564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Jasmonic acid</w:t>
            </w:r>
          </w:p>
        </w:tc>
      </w:tr>
      <w:tr w:rsidR="00181BBF" w:rsidRPr="00181BBF" w:rsidTr="00181BBF">
        <w:trPr>
          <w:trHeight w:val="300"/>
        </w:trPr>
        <w:tc>
          <w:tcPr>
            <w:tcW w:w="146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JA-Ile</w:t>
            </w:r>
          </w:p>
        </w:tc>
        <w:tc>
          <w:tcPr>
            <w:tcW w:w="564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Jasmonate-Isoleucine</w:t>
            </w:r>
          </w:p>
        </w:tc>
      </w:tr>
      <w:tr w:rsidR="00181BBF" w:rsidRPr="00181BBF" w:rsidTr="00181BBF">
        <w:trPr>
          <w:trHeight w:val="300"/>
        </w:trPr>
        <w:tc>
          <w:tcPr>
            <w:tcW w:w="146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 xml:space="preserve">JAZ </w:t>
            </w:r>
          </w:p>
        </w:tc>
        <w:tc>
          <w:tcPr>
            <w:tcW w:w="564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Jasmonate ZIM domain</w:t>
            </w:r>
          </w:p>
        </w:tc>
      </w:tr>
      <w:tr w:rsidR="00181BBF" w:rsidRPr="00181BBF" w:rsidTr="00181BBF">
        <w:trPr>
          <w:trHeight w:val="300"/>
        </w:trPr>
        <w:tc>
          <w:tcPr>
            <w:tcW w:w="146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Leu</w:t>
            </w:r>
          </w:p>
        </w:tc>
        <w:tc>
          <w:tcPr>
            <w:tcW w:w="564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Leucine</w:t>
            </w:r>
          </w:p>
        </w:tc>
      </w:tr>
      <w:tr w:rsidR="00181BBF" w:rsidRPr="00181BBF" w:rsidTr="00181BBF">
        <w:trPr>
          <w:trHeight w:val="300"/>
        </w:trPr>
        <w:tc>
          <w:tcPr>
            <w:tcW w:w="146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 xml:space="preserve">LKR </w:t>
            </w:r>
          </w:p>
        </w:tc>
        <w:tc>
          <w:tcPr>
            <w:tcW w:w="564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Lysine ketoglutarate reductase</w:t>
            </w:r>
          </w:p>
        </w:tc>
      </w:tr>
      <w:tr w:rsidR="00181BBF" w:rsidRPr="00181BBF" w:rsidTr="00181BBF">
        <w:trPr>
          <w:trHeight w:val="300"/>
        </w:trPr>
        <w:tc>
          <w:tcPr>
            <w:tcW w:w="146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 xml:space="preserve">LPS </w:t>
            </w:r>
          </w:p>
        </w:tc>
        <w:tc>
          <w:tcPr>
            <w:tcW w:w="564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Lipopolysaccharides</w:t>
            </w:r>
          </w:p>
        </w:tc>
      </w:tr>
      <w:tr w:rsidR="00181BBF" w:rsidRPr="00181BBF" w:rsidTr="00181BBF">
        <w:trPr>
          <w:trHeight w:val="300"/>
        </w:trPr>
        <w:tc>
          <w:tcPr>
            <w:tcW w:w="146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 xml:space="preserve">LRR </w:t>
            </w:r>
          </w:p>
        </w:tc>
        <w:tc>
          <w:tcPr>
            <w:tcW w:w="564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Leucine-rich repeat</w:t>
            </w:r>
          </w:p>
        </w:tc>
      </w:tr>
      <w:tr w:rsidR="00181BBF" w:rsidRPr="00181BBF" w:rsidTr="00181BBF">
        <w:trPr>
          <w:trHeight w:val="300"/>
        </w:trPr>
        <w:tc>
          <w:tcPr>
            <w:tcW w:w="146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Lys</w:t>
            </w:r>
          </w:p>
        </w:tc>
        <w:tc>
          <w:tcPr>
            <w:tcW w:w="564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 xml:space="preserve">Lysine </w:t>
            </w:r>
          </w:p>
        </w:tc>
      </w:tr>
      <w:tr w:rsidR="00181BBF" w:rsidRPr="00181BBF" w:rsidTr="00181BBF">
        <w:trPr>
          <w:trHeight w:val="345"/>
        </w:trPr>
        <w:tc>
          <w:tcPr>
            <w:tcW w:w="146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 xml:space="preserve">M </w:t>
            </w:r>
          </w:p>
        </w:tc>
        <w:tc>
          <w:tcPr>
            <w:tcW w:w="564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Mol l</w:t>
            </w:r>
            <w:r w:rsidRPr="00181BBF">
              <w:rPr>
                <w:rFonts w:ascii="Calibri" w:eastAsia="Times New Roman" w:hAnsi="Calibri" w:cs="Times New Roman"/>
                <w:color w:val="000000"/>
                <w:vertAlign w:val="superscript"/>
                <w:lang w:val="de-DE" w:eastAsia="de-DE"/>
              </w:rPr>
              <w:t>-1</w:t>
            </w:r>
          </w:p>
        </w:tc>
      </w:tr>
      <w:tr w:rsidR="00181BBF" w:rsidRPr="00181BBF" w:rsidTr="00181BBF">
        <w:trPr>
          <w:trHeight w:val="300"/>
        </w:trPr>
        <w:tc>
          <w:tcPr>
            <w:tcW w:w="146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 xml:space="preserve">MAMP </w:t>
            </w:r>
          </w:p>
        </w:tc>
        <w:tc>
          <w:tcPr>
            <w:tcW w:w="564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Microbe-associated molecular pattern</w:t>
            </w:r>
          </w:p>
        </w:tc>
      </w:tr>
      <w:tr w:rsidR="00181BBF" w:rsidRPr="00181BBF" w:rsidTr="00181BBF">
        <w:trPr>
          <w:trHeight w:val="300"/>
        </w:trPr>
        <w:tc>
          <w:tcPr>
            <w:tcW w:w="146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 xml:space="preserve">MAP </w:t>
            </w:r>
          </w:p>
        </w:tc>
        <w:tc>
          <w:tcPr>
            <w:tcW w:w="564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Mitogen-activated protein</w:t>
            </w:r>
          </w:p>
        </w:tc>
      </w:tr>
      <w:tr w:rsidR="00181BBF" w:rsidRPr="00181BBF" w:rsidTr="00181BBF">
        <w:trPr>
          <w:trHeight w:val="300"/>
        </w:trPr>
        <w:tc>
          <w:tcPr>
            <w:tcW w:w="146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MAPK</w:t>
            </w:r>
          </w:p>
        </w:tc>
        <w:tc>
          <w:tcPr>
            <w:tcW w:w="564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MAP kinase</w:t>
            </w:r>
          </w:p>
        </w:tc>
      </w:tr>
      <w:tr w:rsidR="00181BBF" w:rsidRPr="00181BBF" w:rsidTr="00181BBF">
        <w:trPr>
          <w:trHeight w:val="300"/>
        </w:trPr>
        <w:tc>
          <w:tcPr>
            <w:tcW w:w="146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 xml:space="preserve">MeJA </w:t>
            </w:r>
          </w:p>
        </w:tc>
        <w:tc>
          <w:tcPr>
            <w:tcW w:w="564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Methyl jasmonate</w:t>
            </w:r>
          </w:p>
        </w:tc>
      </w:tr>
      <w:tr w:rsidR="00181BBF" w:rsidRPr="00181BBF" w:rsidTr="00181BBF">
        <w:trPr>
          <w:trHeight w:val="300"/>
        </w:trPr>
        <w:tc>
          <w:tcPr>
            <w:tcW w:w="146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 xml:space="preserve">MeSA </w:t>
            </w:r>
          </w:p>
        </w:tc>
        <w:tc>
          <w:tcPr>
            <w:tcW w:w="564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Methylsalicylate</w:t>
            </w:r>
          </w:p>
        </w:tc>
      </w:tr>
      <w:tr w:rsidR="00181BBF" w:rsidRPr="00181BBF" w:rsidTr="00181BBF">
        <w:trPr>
          <w:trHeight w:val="300"/>
        </w:trPr>
        <w:tc>
          <w:tcPr>
            <w:tcW w:w="146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MKKK/MEK</w:t>
            </w:r>
          </w:p>
        </w:tc>
        <w:tc>
          <w:tcPr>
            <w:tcW w:w="564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MAP kinase kinase kinase</w:t>
            </w:r>
          </w:p>
        </w:tc>
      </w:tr>
      <w:tr w:rsidR="00181BBF" w:rsidRPr="00181BBF" w:rsidTr="00181BBF">
        <w:trPr>
          <w:trHeight w:val="300"/>
        </w:trPr>
        <w:tc>
          <w:tcPr>
            <w:tcW w:w="146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 xml:space="preserve">mRNA </w:t>
            </w:r>
          </w:p>
        </w:tc>
        <w:tc>
          <w:tcPr>
            <w:tcW w:w="564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Messenger RNA</w:t>
            </w:r>
          </w:p>
        </w:tc>
      </w:tr>
      <w:tr w:rsidR="00181BBF" w:rsidRPr="00181BBF" w:rsidTr="00181BBF">
        <w:trPr>
          <w:trHeight w:val="300"/>
        </w:trPr>
        <w:tc>
          <w:tcPr>
            <w:tcW w:w="146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MS</w:t>
            </w:r>
          </w:p>
        </w:tc>
        <w:tc>
          <w:tcPr>
            <w:tcW w:w="564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Murashige &amp; Skoog</w:t>
            </w:r>
          </w:p>
        </w:tc>
      </w:tr>
      <w:tr w:rsidR="00181BBF" w:rsidRPr="00181BBF" w:rsidTr="00181BBF">
        <w:trPr>
          <w:trHeight w:val="300"/>
        </w:trPr>
        <w:tc>
          <w:tcPr>
            <w:tcW w:w="146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NADPH</w:t>
            </w:r>
          </w:p>
        </w:tc>
        <w:tc>
          <w:tcPr>
            <w:tcW w:w="564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Nicotinamide adenine dinucleotide phosphate</w:t>
            </w:r>
          </w:p>
        </w:tc>
      </w:tr>
      <w:tr w:rsidR="00181BBF" w:rsidRPr="00181BBF" w:rsidTr="00181BBF">
        <w:trPr>
          <w:trHeight w:val="300"/>
        </w:trPr>
        <w:tc>
          <w:tcPr>
            <w:tcW w:w="146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lastRenderedPageBreak/>
              <w:t xml:space="preserve">NB </w:t>
            </w:r>
          </w:p>
        </w:tc>
        <w:tc>
          <w:tcPr>
            <w:tcW w:w="564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Nucleotide-binding site domain</w:t>
            </w:r>
          </w:p>
        </w:tc>
      </w:tr>
      <w:tr w:rsidR="00181BBF" w:rsidRPr="00181BBF" w:rsidTr="00181BBF">
        <w:trPr>
          <w:trHeight w:val="300"/>
        </w:trPr>
        <w:tc>
          <w:tcPr>
            <w:tcW w:w="146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 xml:space="preserve">NB-LRR </w:t>
            </w:r>
          </w:p>
        </w:tc>
        <w:tc>
          <w:tcPr>
            <w:tcW w:w="564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en-US" w:eastAsia="de-DE"/>
              </w:rPr>
            </w:pPr>
            <w:r w:rsidRPr="00181BBF">
              <w:rPr>
                <w:rFonts w:ascii="Calibri" w:eastAsia="Times New Roman" w:hAnsi="Calibri" w:cs="Times New Roman"/>
                <w:color w:val="000000"/>
                <w:lang w:val="en-US" w:eastAsia="de-DE"/>
              </w:rPr>
              <w:t>Nucleotide-binding – leucine rich repeats</w:t>
            </w:r>
          </w:p>
        </w:tc>
      </w:tr>
      <w:tr w:rsidR="00181BBF" w:rsidRPr="00181BBF" w:rsidTr="00181BBF">
        <w:trPr>
          <w:trHeight w:val="300"/>
        </w:trPr>
        <w:tc>
          <w:tcPr>
            <w:tcW w:w="146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i/>
                <w:iCs/>
                <w:color w:val="000000"/>
                <w:lang w:val="de-DE" w:eastAsia="de-DE"/>
              </w:rPr>
              <w:t xml:space="preserve">NDR1 </w:t>
            </w:r>
          </w:p>
        </w:tc>
        <w:tc>
          <w:tcPr>
            <w:tcW w:w="564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en-US" w:eastAsia="de-DE"/>
              </w:rPr>
            </w:pPr>
            <w:r w:rsidRPr="00181BBF">
              <w:rPr>
                <w:rFonts w:ascii="Calibri" w:eastAsia="Times New Roman" w:hAnsi="Calibri" w:cs="Times New Roman"/>
                <w:i/>
                <w:iCs/>
                <w:color w:val="000000"/>
                <w:lang w:val="en-US" w:eastAsia="de-DE"/>
              </w:rPr>
              <w:t>NON RACE SPECIFIC DISEASE RESISTANCE 1</w:t>
            </w:r>
          </w:p>
        </w:tc>
      </w:tr>
      <w:tr w:rsidR="00181BBF" w:rsidRPr="00181BBF" w:rsidTr="00181BBF">
        <w:trPr>
          <w:trHeight w:val="300"/>
        </w:trPr>
        <w:tc>
          <w:tcPr>
            <w:tcW w:w="146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i/>
                <w:iCs/>
                <w:color w:val="000000"/>
                <w:lang w:val="de-DE" w:eastAsia="de-DE"/>
              </w:rPr>
            </w:pPr>
            <w:r w:rsidRPr="00181BBF">
              <w:rPr>
                <w:rFonts w:ascii="Calibri" w:eastAsia="Times New Roman" w:hAnsi="Calibri" w:cs="Times New Roman"/>
                <w:i/>
                <w:iCs/>
                <w:color w:val="000000"/>
                <w:lang w:val="de-DE" w:eastAsia="de-DE"/>
              </w:rPr>
              <w:t>NIMIN</w:t>
            </w:r>
          </w:p>
        </w:tc>
        <w:tc>
          <w:tcPr>
            <w:tcW w:w="564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i/>
                <w:iCs/>
                <w:color w:val="000000"/>
                <w:lang w:val="en-US" w:eastAsia="de-DE"/>
              </w:rPr>
            </w:pPr>
            <w:r w:rsidRPr="00181BBF">
              <w:rPr>
                <w:rFonts w:ascii="Calibri" w:eastAsia="Times New Roman" w:hAnsi="Calibri" w:cs="Times New Roman"/>
                <w:i/>
                <w:iCs/>
                <w:color w:val="000000"/>
                <w:lang w:val="en-US" w:eastAsia="de-DE"/>
              </w:rPr>
              <w:t>NON-INDUCIBLE IMMUNITY 1 (NIM1-) INTERACTING</w:t>
            </w:r>
          </w:p>
        </w:tc>
      </w:tr>
      <w:tr w:rsidR="00181BBF" w:rsidRPr="00181BBF" w:rsidTr="00181BBF">
        <w:trPr>
          <w:trHeight w:val="300"/>
        </w:trPr>
        <w:tc>
          <w:tcPr>
            <w:tcW w:w="146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i/>
                <w:iCs/>
                <w:color w:val="000000"/>
                <w:lang w:val="de-DE" w:eastAsia="de-DE"/>
              </w:rPr>
            </w:pPr>
            <w:r w:rsidRPr="00181BBF">
              <w:rPr>
                <w:rFonts w:ascii="Calibri" w:eastAsia="Times New Roman" w:hAnsi="Calibri" w:cs="Times New Roman"/>
                <w:i/>
                <w:iCs/>
                <w:color w:val="000000"/>
                <w:lang w:val="de-DE" w:eastAsia="de-DE"/>
              </w:rPr>
              <w:t xml:space="preserve">NPR1 </w:t>
            </w:r>
          </w:p>
        </w:tc>
        <w:tc>
          <w:tcPr>
            <w:tcW w:w="564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i/>
                <w:iCs/>
                <w:color w:val="000000"/>
                <w:lang w:val="en-US" w:eastAsia="de-DE"/>
              </w:rPr>
            </w:pPr>
            <w:r w:rsidRPr="00181BBF">
              <w:rPr>
                <w:rFonts w:ascii="Calibri" w:eastAsia="Times New Roman" w:hAnsi="Calibri" w:cs="Times New Roman"/>
                <w:i/>
                <w:iCs/>
                <w:color w:val="000000"/>
                <w:lang w:val="en-US" w:eastAsia="de-DE"/>
              </w:rPr>
              <w:t>NON-EXPRESSOR OF PR GENES1</w:t>
            </w:r>
          </w:p>
        </w:tc>
      </w:tr>
      <w:tr w:rsidR="00181BBF" w:rsidRPr="00181BBF" w:rsidTr="00181BBF">
        <w:trPr>
          <w:trHeight w:val="300"/>
        </w:trPr>
        <w:tc>
          <w:tcPr>
            <w:tcW w:w="146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i/>
                <w:iCs/>
                <w:color w:val="000000"/>
                <w:lang w:val="de-DE" w:eastAsia="de-DE"/>
              </w:rPr>
            </w:pPr>
            <w:r w:rsidRPr="00181BBF">
              <w:rPr>
                <w:rFonts w:ascii="Calibri" w:eastAsia="Times New Roman" w:hAnsi="Calibri" w:cs="Times New Roman"/>
                <w:color w:val="000000"/>
                <w:lang w:val="de-DE" w:eastAsia="de-DE"/>
              </w:rPr>
              <w:t>OD</w:t>
            </w:r>
          </w:p>
        </w:tc>
        <w:tc>
          <w:tcPr>
            <w:tcW w:w="564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i/>
                <w:iCs/>
                <w:color w:val="000000"/>
                <w:lang w:val="en-US" w:eastAsia="de-DE"/>
              </w:rPr>
            </w:pPr>
            <w:r w:rsidRPr="00181BBF">
              <w:rPr>
                <w:rFonts w:ascii="Calibri" w:eastAsia="Times New Roman" w:hAnsi="Calibri" w:cs="Times New Roman"/>
                <w:color w:val="000000"/>
                <w:lang w:val="de-DE" w:eastAsia="de-DE"/>
              </w:rPr>
              <w:t>Optical density</w:t>
            </w:r>
          </w:p>
        </w:tc>
      </w:tr>
      <w:tr w:rsidR="00181BBF" w:rsidRPr="00181BBF" w:rsidTr="00181BBF">
        <w:trPr>
          <w:trHeight w:val="300"/>
        </w:trPr>
        <w:tc>
          <w:tcPr>
            <w:tcW w:w="146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oo</w:t>
            </w:r>
          </w:p>
        </w:tc>
        <w:tc>
          <w:tcPr>
            <w:tcW w:w="564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Oospores</w:t>
            </w:r>
          </w:p>
        </w:tc>
      </w:tr>
      <w:tr w:rsidR="00181BBF" w:rsidRPr="00181BBF" w:rsidTr="00181BBF">
        <w:trPr>
          <w:trHeight w:val="300"/>
        </w:trPr>
        <w:tc>
          <w:tcPr>
            <w:tcW w:w="146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Orn</w:t>
            </w:r>
          </w:p>
        </w:tc>
        <w:tc>
          <w:tcPr>
            <w:tcW w:w="564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Ornithine</w:t>
            </w:r>
          </w:p>
        </w:tc>
      </w:tr>
      <w:tr w:rsidR="00181BBF" w:rsidRPr="00181BBF" w:rsidTr="00181BBF">
        <w:trPr>
          <w:trHeight w:val="300"/>
        </w:trPr>
        <w:tc>
          <w:tcPr>
            <w:tcW w:w="146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i/>
                <w:iCs/>
                <w:color w:val="000000"/>
                <w:lang w:val="de-DE" w:eastAsia="de-DE"/>
              </w:rPr>
              <w:t xml:space="preserve">PAD </w:t>
            </w:r>
          </w:p>
        </w:tc>
        <w:tc>
          <w:tcPr>
            <w:tcW w:w="564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i/>
                <w:iCs/>
                <w:color w:val="000000"/>
                <w:lang w:val="de-DE" w:eastAsia="de-DE"/>
              </w:rPr>
              <w:t>PHYTOALEXIN DEFICIENT</w:t>
            </w:r>
          </w:p>
        </w:tc>
      </w:tr>
      <w:tr w:rsidR="00181BBF" w:rsidRPr="00181BBF" w:rsidTr="00181BBF">
        <w:trPr>
          <w:trHeight w:val="300"/>
        </w:trPr>
        <w:tc>
          <w:tcPr>
            <w:tcW w:w="146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i/>
                <w:iCs/>
                <w:color w:val="000000"/>
                <w:lang w:val="de-DE" w:eastAsia="de-DE"/>
              </w:rPr>
            </w:pPr>
            <w:r w:rsidRPr="00181BBF">
              <w:rPr>
                <w:rFonts w:ascii="Calibri" w:eastAsia="Times New Roman" w:hAnsi="Calibri" w:cs="Times New Roman"/>
                <w:i/>
                <w:iCs/>
                <w:color w:val="000000"/>
                <w:lang w:val="de-DE" w:eastAsia="de-DE"/>
              </w:rPr>
              <w:t xml:space="preserve">PAL </w:t>
            </w:r>
          </w:p>
        </w:tc>
        <w:tc>
          <w:tcPr>
            <w:tcW w:w="564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i/>
                <w:iCs/>
                <w:color w:val="000000"/>
                <w:lang w:val="de-DE" w:eastAsia="de-DE"/>
              </w:rPr>
            </w:pPr>
            <w:r w:rsidRPr="00181BBF">
              <w:rPr>
                <w:rFonts w:ascii="Calibri" w:eastAsia="Times New Roman" w:hAnsi="Calibri" w:cs="Times New Roman"/>
                <w:i/>
                <w:iCs/>
                <w:color w:val="000000"/>
                <w:lang w:val="de-DE" w:eastAsia="de-DE"/>
              </w:rPr>
              <w:t xml:space="preserve">PHENYLALANINE AMMONIA-LYASE </w:t>
            </w:r>
          </w:p>
        </w:tc>
      </w:tr>
      <w:tr w:rsidR="00181BBF" w:rsidRPr="00181BBF" w:rsidTr="00181BBF">
        <w:trPr>
          <w:trHeight w:val="300"/>
        </w:trPr>
        <w:tc>
          <w:tcPr>
            <w:tcW w:w="146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i/>
                <w:iCs/>
                <w:color w:val="000000"/>
                <w:lang w:val="de-DE" w:eastAsia="de-DE"/>
              </w:rPr>
            </w:pPr>
            <w:r w:rsidRPr="00181BBF">
              <w:rPr>
                <w:rFonts w:ascii="Calibri" w:eastAsia="Times New Roman" w:hAnsi="Calibri" w:cs="Times New Roman"/>
                <w:color w:val="000000"/>
                <w:lang w:val="de-DE" w:eastAsia="de-DE"/>
              </w:rPr>
              <w:t xml:space="preserve">PAMP </w:t>
            </w:r>
          </w:p>
        </w:tc>
        <w:tc>
          <w:tcPr>
            <w:tcW w:w="564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i/>
                <w:iCs/>
                <w:color w:val="000000"/>
                <w:lang w:val="de-DE" w:eastAsia="de-DE"/>
              </w:rPr>
            </w:pPr>
            <w:r w:rsidRPr="00181BBF">
              <w:rPr>
                <w:rFonts w:ascii="Calibri" w:eastAsia="Times New Roman" w:hAnsi="Calibri" w:cs="Times New Roman"/>
                <w:color w:val="000000"/>
                <w:lang w:val="de-DE" w:eastAsia="de-DE"/>
              </w:rPr>
              <w:t>Pathogen-associated molecular pattern</w:t>
            </w:r>
          </w:p>
        </w:tc>
      </w:tr>
      <w:tr w:rsidR="00181BBF" w:rsidRPr="00181BBF" w:rsidTr="00181BBF">
        <w:trPr>
          <w:trHeight w:val="300"/>
        </w:trPr>
        <w:tc>
          <w:tcPr>
            <w:tcW w:w="146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i/>
                <w:iCs/>
                <w:color w:val="000000"/>
                <w:lang w:val="de-DE" w:eastAsia="de-DE"/>
              </w:rPr>
              <w:t xml:space="preserve">PBS3 </w:t>
            </w:r>
          </w:p>
        </w:tc>
        <w:tc>
          <w:tcPr>
            <w:tcW w:w="564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i/>
                <w:iCs/>
                <w:color w:val="000000"/>
                <w:lang w:val="de-DE" w:eastAsia="de-DE"/>
              </w:rPr>
              <w:t>AvrPphB SUSCEPTIBLE 3</w:t>
            </w:r>
          </w:p>
        </w:tc>
      </w:tr>
      <w:tr w:rsidR="00181BBF" w:rsidRPr="00181BBF" w:rsidTr="00181BBF">
        <w:trPr>
          <w:trHeight w:val="300"/>
        </w:trPr>
        <w:tc>
          <w:tcPr>
            <w:tcW w:w="146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i/>
                <w:iCs/>
                <w:color w:val="000000"/>
                <w:lang w:val="de-DE" w:eastAsia="de-DE"/>
              </w:rPr>
            </w:pPr>
            <w:r w:rsidRPr="00181BBF">
              <w:rPr>
                <w:rFonts w:ascii="Calibri" w:eastAsia="Times New Roman" w:hAnsi="Calibri" w:cs="Times New Roman"/>
                <w:color w:val="000000"/>
                <w:lang w:val="de-DE" w:eastAsia="de-DE"/>
              </w:rPr>
              <w:t>PCD</w:t>
            </w:r>
          </w:p>
        </w:tc>
        <w:tc>
          <w:tcPr>
            <w:tcW w:w="564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i/>
                <w:iCs/>
                <w:color w:val="000000"/>
                <w:lang w:val="de-DE" w:eastAsia="de-DE"/>
              </w:rPr>
            </w:pPr>
            <w:r w:rsidRPr="00181BBF">
              <w:rPr>
                <w:rFonts w:ascii="Calibri" w:eastAsia="Times New Roman" w:hAnsi="Calibri" w:cs="Times New Roman"/>
                <w:color w:val="000000"/>
                <w:lang w:val="de-DE" w:eastAsia="de-DE"/>
              </w:rPr>
              <w:t>Programmed cell death</w:t>
            </w:r>
          </w:p>
        </w:tc>
      </w:tr>
      <w:tr w:rsidR="00181BBF" w:rsidRPr="00181BBF" w:rsidTr="00181BBF">
        <w:trPr>
          <w:trHeight w:val="300"/>
        </w:trPr>
        <w:tc>
          <w:tcPr>
            <w:tcW w:w="146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 xml:space="preserve">PCR </w:t>
            </w:r>
          </w:p>
        </w:tc>
        <w:tc>
          <w:tcPr>
            <w:tcW w:w="564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Polymerase chain reaction</w:t>
            </w:r>
          </w:p>
        </w:tc>
      </w:tr>
      <w:tr w:rsidR="00181BBF" w:rsidRPr="00181BBF" w:rsidTr="00181BBF">
        <w:trPr>
          <w:trHeight w:val="300"/>
        </w:trPr>
        <w:tc>
          <w:tcPr>
            <w:tcW w:w="146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i/>
                <w:color w:val="000000"/>
                <w:lang w:val="de-DE" w:eastAsia="de-DE"/>
              </w:rPr>
            </w:pPr>
            <w:r w:rsidRPr="00181BBF">
              <w:rPr>
                <w:rFonts w:ascii="Calibri" w:eastAsia="Times New Roman" w:hAnsi="Calibri" w:cs="Times New Roman"/>
                <w:i/>
                <w:color w:val="000000"/>
                <w:lang w:val="de-DE" w:eastAsia="de-DE"/>
              </w:rPr>
              <w:t>PDF1.2</w:t>
            </w:r>
          </w:p>
        </w:tc>
        <w:tc>
          <w:tcPr>
            <w:tcW w:w="564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Plant defensin</w:t>
            </w:r>
          </w:p>
        </w:tc>
      </w:tr>
      <w:tr w:rsidR="00181BBF" w:rsidRPr="00181BBF" w:rsidTr="00181BBF">
        <w:trPr>
          <w:trHeight w:val="300"/>
        </w:trPr>
        <w:tc>
          <w:tcPr>
            <w:tcW w:w="146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i/>
                <w:iCs/>
                <w:color w:val="000000"/>
                <w:lang w:val="de-DE" w:eastAsia="de-DE"/>
              </w:rPr>
              <w:t>PEN2</w:t>
            </w:r>
          </w:p>
        </w:tc>
        <w:tc>
          <w:tcPr>
            <w:tcW w:w="564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i/>
                <w:iCs/>
                <w:color w:val="000000"/>
                <w:lang w:val="de-DE" w:eastAsia="de-DE"/>
              </w:rPr>
              <w:t>PENETRATION2</w:t>
            </w:r>
          </w:p>
        </w:tc>
      </w:tr>
      <w:tr w:rsidR="00181BBF" w:rsidRPr="00181BBF" w:rsidTr="00181BBF">
        <w:trPr>
          <w:trHeight w:val="300"/>
        </w:trPr>
        <w:tc>
          <w:tcPr>
            <w:tcW w:w="146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i/>
                <w:iCs/>
                <w:color w:val="000000"/>
                <w:lang w:val="de-DE" w:eastAsia="de-DE"/>
              </w:rPr>
            </w:pPr>
            <w:r w:rsidRPr="00181BBF">
              <w:rPr>
                <w:rFonts w:ascii="Calibri" w:eastAsia="Times New Roman" w:hAnsi="Calibri" w:cs="Times New Roman"/>
                <w:color w:val="000000"/>
                <w:lang w:val="de-DE" w:eastAsia="de-DE"/>
              </w:rPr>
              <w:t xml:space="preserve">PGN </w:t>
            </w:r>
          </w:p>
        </w:tc>
        <w:tc>
          <w:tcPr>
            <w:tcW w:w="564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i/>
                <w:iCs/>
                <w:color w:val="000000"/>
                <w:lang w:val="de-DE" w:eastAsia="de-DE"/>
              </w:rPr>
            </w:pPr>
            <w:r w:rsidRPr="00181BBF">
              <w:rPr>
                <w:rFonts w:ascii="Calibri" w:eastAsia="Times New Roman" w:hAnsi="Calibri" w:cs="Times New Roman"/>
                <w:color w:val="000000"/>
                <w:lang w:val="de-DE" w:eastAsia="de-DE"/>
              </w:rPr>
              <w:t>Peptidoglycan</w:t>
            </w:r>
          </w:p>
        </w:tc>
      </w:tr>
      <w:tr w:rsidR="00181BBF" w:rsidRPr="00181BBF" w:rsidTr="00181BBF">
        <w:trPr>
          <w:trHeight w:val="300"/>
        </w:trPr>
        <w:tc>
          <w:tcPr>
            <w:tcW w:w="146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Pip</w:t>
            </w:r>
          </w:p>
        </w:tc>
        <w:tc>
          <w:tcPr>
            <w:tcW w:w="564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Pipecolic acid</w:t>
            </w:r>
          </w:p>
        </w:tc>
      </w:tr>
      <w:tr w:rsidR="00181BBF" w:rsidRPr="00181BBF" w:rsidTr="00181BBF">
        <w:trPr>
          <w:trHeight w:val="300"/>
        </w:trPr>
        <w:tc>
          <w:tcPr>
            <w:tcW w:w="146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i/>
                <w:color w:val="000000"/>
                <w:lang w:val="de-DE" w:eastAsia="de-DE"/>
              </w:rPr>
            </w:pPr>
            <w:r w:rsidRPr="00181BBF">
              <w:rPr>
                <w:rFonts w:ascii="Calibri" w:eastAsia="Times New Roman" w:hAnsi="Calibri" w:cs="Times New Roman"/>
                <w:i/>
                <w:color w:val="000000"/>
                <w:lang w:val="de-DE" w:eastAsia="de-DE"/>
              </w:rPr>
              <w:t xml:space="preserve">PR-1 </w:t>
            </w:r>
          </w:p>
        </w:tc>
        <w:tc>
          <w:tcPr>
            <w:tcW w:w="564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i/>
                <w:color w:val="000000"/>
                <w:lang w:val="de-DE" w:eastAsia="de-DE"/>
              </w:rPr>
            </w:pPr>
            <w:r w:rsidRPr="00181BBF">
              <w:rPr>
                <w:rFonts w:ascii="Calibri" w:eastAsia="Times New Roman" w:hAnsi="Calibri" w:cs="Times New Roman"/>
                <w:i/>
                <w:color w:val="000000"/>
                <w:lang w:val="de-DE" w:eastAsia="de-DE"/>
              </w:rPr>
              <w:t>PATHOGENESIS-RELATED PROTEIN1</w:t>
            </w:r>
          </w:p>
        </w:tc>
      </w:tr>
      <w:tr w:rsidR="00181BBF" w:rsidRPr="00181BBF" w:rsidTr="00181BBF">
        <w:trPr>
          <w:trHeight w:val="300"/>
        </w:trPr>
        <w:tc>
          <w:tcPr>
            <w:tcW w:w="146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 xml:space="preserve">PRR </w:t>
            </w:r>
          </w:p>
        </w:tc>
        <w:tc>
          <w:tcPr>
            <w:tcW w:w="564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Pattern recognition receptors</w:t>
            </w:r>
          </w:p>
        </w:tc>
      </w:tr>
      <w:tr w:rsidR="00181BBF" w:rsidRPr="00F865A3" w:rsidTr="00181BBF">
        <w:trPr>
          <w:trHeight w:val="300"/>
        </w:trPr>
        <w:tc>
          <w:tcPr>
            <w:tcW w:w="146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i/>
                <w:iCs/>
                <w:color w:val="000000"/>
                <w:lang w:val="de-DE" w:eastAsia="de-DE"/>
              </w:rPr>
              <w:t xml:space="preserve">Psm </w:t>
            </w:r>
          </w:p>
        </w:tc>
        <w:tc>
          <w:tcPr>
            <w:tcW w:w="564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i/>
                <w:iCs/>
                <w:color w:val="000000"/>
                <w:lang w:val="de-DE" w:eastAsia="de-DE"/>
              </w:rPr>
              <w:t>Pseudomonas syringae</w:t>
            </w:r>
            <w:r w:rsidRPr="00181BBF">
              <w:rPr>
                <w:rFonts w:ascii="Calibri" w:eastAsia="Times New Roman" w:hAnsi="Calibri" w:cs="Times New Roman"/>
                <w:color w:val="000000"/>
                <w:lang w:val="de-DE" w:eastAsia="de-DE"/>
              </w:rPr>
              <w:t xml:space="preserve"> pv. </w:t>
            </w:r>
            <w:r w:rsidRPr="00181BBF">
              <w:rPr>
                <w:rFonts w:ascii="Calibri" w:eastAsia="Times New Roman" w:hAnsi="Calibri" w:cs="Times New Roman"/>
                <w:i/>
                <w:iCs/>
                <w:color w:val="000000"/>
                <w:lang w:val="de-DE" w:eastAsia="de-DE"/>
              </w:rPr>
              <w:t>maculicola</w:t>
            </w:r>
            <w:r w:rsidRPr="00181BBF">
              <w:rPr>
                <w:rFonts w:ascii="Calibri" w:eastAsia="Times New Roman" w:hAnsi="Calibri" w:cs="Times New Roman"/>
                <w:color w:val="000000"/>
                <w:lang w:val="de-DE" w:eastAsia="de-DE"/>
              </w:rPr>
              <w:t xml:space="preserve"> ES4326</w:t>
            </w:r>
          </w:p>
        </w:tc>
      </w:tr>
      <w:tr w:rsidR="00181BBF" w:rsidRPr="00181BBF" w:rsidTr="00181BBF">
        <w:trPr>
          <w:trHeight w:val="300"/>
        </w:trPr>
        <w:tc>
          <w:tcPr>
            <w:tcW w:w="146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i/>
                <w:iCs/>
                <w:color w:val="000000"/>
                <w:lang w:val="de-DE" w:eastAsia="de-DE"/>
              </w:rPr>
            </w:pPr>
            <w:r w:rsidRPr="00181BBF">
              <w:rPr>
                <w:rFonts w:ascii="Calibri" w:eastAsia="Times New Roman" w:hAnsi="Calibri" w:cs="Times New Roman"/>
                <w:i/>
                <w:iCs/>
                <w:color w:val="000000"/>
                <w:lang w:val="de-DE" w:eastAsia="de-DE"/>
              </w:rPr>
              <w:t xml:space="preserve">Psm avrRpm1 </w:t>
            </w:r>
          </w:p>
        </w:tc>
        <w:tc>
          <w:tcPr>
            <w:tcW w:w="564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i/>
                <w:iCs/>
                <w:color w:val="000000"/>
                <w:lang w:val="en-US" w:eastAsia="de-DE"/>
              </w:rPr>
            </w:pPr>
            <w:r w:rsidRPr="00181BBF">
              <w:rPr>
                <w:rFonts w:ascii="Calibri" w:eastAsia="Times New Roman" w:hAnsi="Calibri" w:cs="Times New Roman"/>
                <w:i/>
                <w:iCs/>
                <w:color w:val="000000"/>
                <w:lang w:val="en-US" w:eastAsia="de-DE"/>
              </w:rPr>
              <w:t>Psm</w:t>
            </w:r>
            <w:r w:rsidRPr="00181BBF">
              <w:rPr>
                <w:rFonts w:ascii="Calibri" w:eastAsia="Times New Roman" w:hAnsi="Calibri" w:cs="Times New Roman"/>
                <w:color w:val="000000"/>
                <w:lang w:val="en-US" w:eastAsia="de-DE"/>
              </w:rPr>
              <w:t xml:space="preserve"> carrying the avirulence gene pLAFR3::avrRpm1</w:t>
            </w:r>
          </w:p>
        </w:tc>
      </w:tr>
      <w:tr w:rsidR="00181BBF" w:rsidRPr="00181BBF" w:rsidTr="00181BBF">
        <w:trPr>
          <w:trHeight w:val="300"/>
        </w:trPr>
        <w:tc>
          <w:tcPr>
            <w:tcW w:w="146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i/>
                <w:iCs/>
                <w:color w:val="000000"/>
                <w:lang w:val="de-DE" w:eastAsia="de-DE"/>
              </w:rPr>
            </w:pPr>
            <w:r w:rsidRPr="00181BBF">
              <w:rPr>
                <w:rFonts w:ascii="Calibri" w:eastAsia="Times New Roman" w:hAnsi="Calibri" w:cs="Times New Roman"/>
                <w:i/>
                <w:color w:val="000000"/>
                <w:lang w:val="de-DE" w:eastAsia="de-DE"/>
              </w:rPr>
              <w:t>Pst</w:t>
            </w:r>
          </w:p>
        </w:tc>
        <w:tc>
          <w:tcPr>
            <w:tcW w:w="564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i/>
                <w:iCs/>
                <w:color w:val="000000"/>
                <w:lang w:val="en-US" w:eastAsia="de-DE"/>
              </w:rPr>
            </w:pPr>
            <w:r w:rsidRPr="00181BBF">
              <w:rPr>
                <w:rFonts w:ascii="Calibri" w:eastAsia="Times New Roman" w:hAnsi="Calibri" w:cs="Times New Roman"/>
                <w:i/>
                <w:color w:val="000000"/>
                <w:lang w:val="de-DE" w:eastAsia="de-DE"/>
              </w:rPr>
              <w:t>Pseudomonas syringae</w:t>
            </w:r>
            <w:r w:rsidRPr="00181BBF">
              <w:rPr>
                <w:rFonts w:ascii="Calibri" w:eastAsia="Times New Roman" w:hAnsi="Calibri" w:cs="Times New Roman"/>
                <w:color w:val="000000"/>
                <w:lang w:val="de-DE" w:eastAsia="de-DE"/>
              </w:rPr>
              <w:t xml:space="preserve"> pv. </w:t>
            </w:r>
            <w:r w:rsidRPr="00181BBF">
              <w:rPr>
                <w:rFonts w:ascii="Calibri" w:eastAsia="Times New Roman" w:hAnsi="Calibri" w:cs="Times New Roman"/>
                <w:i/>
                <w:color w:val="000000"/>
                <w:lang w:val="de-DE" w:eastAsia="de-DE"/>
              </w:rPr>
              <w:t>tomato</w:t>
            </w:r>
          </w:p>
        </w:tc>
      </w:tr>
      <w:tr w:rsidR="00181BBF" w:rsidRPr="00181BBF" w:rsidTr="00181BBF">
        <w:trPr>
          <w:trHeight w:val="300"/>
        </w:trPr>
        <w:tc>
          <w:tcPr>
            <w:tcW w:w="146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 xml:space="preserve">PTI </w:t>
            </w:r>
          </w:p>
        </w:tc>
        <w:tc>
          <w:tcPr>
            <w:tcW w:w="564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PAMP-triggered immunity</w:t>
            </w:r>
          </w:p>
        </w:tc>
      </w:tr>
      <w:tr w:rsidR="00181BBF" w:rsidRPr="00181BBF" w:rsidTr="00181BBF">
        <w:trPr>
          <w:trHeight w:val="300"/>
        </w:trPr>
        <w:tc>
          <w:tcPr>
            <w:tcW w:w="146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PTP</w:t>
            </w:r>
          </w:p>
        </w:tc>
        <w:tc>
          <w:tcPr>
            <w:tcW w:w="564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Protein tyrosine phosphatase</w:t>
            </w:r>
          </w:p>
        </w:tc>
      </w:tr>
      <w:tr w:rsidR="00181BBF" w:rsidRPr="00181BBF" w:rsidTr="00181BBF">
        <w:trPr>
          <w:trHeight w:val="300"/>
        </w:trPr>
        <w:tc>
          <w:tcPr>
            <w:tcW w:w="146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 xml:space="preserve">qPCR </w:t>
            </w:r>
          </w:p>
        </w:tc>
        <w:tc>
          <w:tcPr>
            <w:tcW w:w="564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Quantitative Real-Time PCR</w:t>
            </w:r>
          </w:p>
        </w:tc>
      </w:tr>
      <w:tr w:rsidR="00181BBF" w:rsidRPr="00181BBF" w:rsidTr="00181BBF">
        <w:trPr>
          <w:trHeight w:val="300"/>
        </w:trPr>
        <w:tc>
          <w:tcPr>
            <w:tcW w:w="146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 xml:space="preserve">R </w:t>
            </w:r>
          </w:p>
        </w:tc>
        <w:tc>
          <w:tcPr>
            <w:tcW w:w="564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Resistance</w:t>
            </w:r>
          </w:p>
        </w:tc>
      </w:tr>
      <w:tr w:rsidR="00181BBF" w:rsidRPr="00181BBF" w:rsidTr="00181BBF">
        <w:trPr>
          <w:trHeight w:val="300"/>
        </w:trPr>
        <w:tc>
          <w:tcPr>
            <w:tcW w:w="146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i/>
                <w:color w:val="000000"/>
                <w:lang w:val="de-DE" w:eastAsia="de-DE"/>
              </w:rPr>
            </w:pPr>
            <w:r w:rsidRPr="00181BBF">
              <w:rPr>
                <w:rFonts w:ascii="Calibri" w:eastAsia="Times New Roman" w:hAnsi="Calibri" w:cs="Times New Roman"/>
                <w:i/>
                <w:color w:val="000000"/>
                <w:lang w:val="de-DE" w:eastAsia="de-DE"/>
              </w:rPr>
              <w:t xml:space="preserve">RIN4 </w:t>
            </w:r>
          </w:p>
        </w:tc>
        <w:tc>
          <w:tcPr>
            <w:tcW w:w="564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i/>
                <w:color w:val="000000"/>
                <w:lang w:val="de-DE" w:eastAsia="de-DE"/>
              </w:rPr>
            </w:pPr>
            <w:r w:rsidRPr="00181BBF">
              <w:rPr>
                <w:rFonts w:ascii="Calibri" w:eastAsia="Times New Roman" w:hAnsi="Calibri" w:cs="Times New Roman"/>
                <w:i/>
                <w:color w:val="000000"/>
                <w:lang w:val="de-DE" w:eastAsia="de-DE"/>
              </w:rPr>
              <w:t>RPM1-INTERACTING PROTEIN 4</w:t>
            </w:r>
          </w:p>
        </w:tc>
      </w:tr>
      <w:tr w:rsidR="00181BBF" w:rsidRPr="00181BBF" w:rsidTr="00181BBF">
        <w:trPr>
          <w:trHeight w:val="300"/>
        </w:trPr>
        <w:tc>
          <w:tcPr>
            <w:tcW w:w="146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i/>
                <w:color w:val="000000"/>
                <w:lang w:val="de-DE" w:eastAsia="de-DE"/>
              </w:rPr>
            </w:pPr>
            <w:r w:rsidRPr="00181BBF">
              <w:rPr>
                <w:rFonts w:ascii="Calibri" w:eastAsia="Times New Roman" w:hAnsi="Calibri" w:cs="Times New Roman"/>
                <w:i/>
                <w:color w:val="000000"/>
                <w:lang w:val="de-DE" w:eastAsia="de-DE"/>
              </w:rPr>
              <w:t>RIPK</w:t>
            </w:r>
          </w:p>
        </w:tc>
        <w:tc>
          <w:tcPr>
            <w:tcW w:w="564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i/>
                <w:color w:val="000000"/>
                <w:lang w:val="de-DE" w:eastAsia="de-DE"/>
              </w:rPr>
            </w:pPr>
            <w:r w:rsidRPr="00181BBF">
              <w:rPr>
                <w:rFonts w:ascii="Calibri" w:eastAsia="Times New Roman" w:hAnsi="Calibri" w:cs="Times New Roman"/>
                <w:i/>
                <w:color w:val="000000"/>
                <w:lang w:val="de-DE" w:eastAsia="de-DE"/>
              </w:rPr>
              <w:t>RPM1 INDUCED PROTEIN KINASE</w:t>
            </w:r>
          </w:p>
        </w:tc>
      </w:tr>
      <w:tr w:rsidR="00181BBF" w:rsidRPr="00181BBF" w:rsidTr="00181BBF">
        <w:trPr>
          <w:trHeight w:val="300"/>
        </w:trPr>
        <w:tc>
          <w:tcPr>
            <w:tcW w:w="146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 xml:space="preserve">RK </w:t>
            </w:r>
          </w:p>
        </w:tc>
        <w:tc>
          <w:tcPr>
            <w:tcW w:w="564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Receptor kinase</w:t>
            </w:r>
          </w:p>
        </w:tc>
      </w:tr>
      <w:tr w:rsidR="00181BBF" w:rsidRPr="00181BBF" w:rsidTr="00181BBF">
        <w:trPr>
          <w:trHeight w:val="300"/>
        </w:trPr>
        <w:tc>
          <w:tcPr>
            <w:tcW w:w="146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RLK</w:t>
            </w:r>
          </w:p>
        </w:tc>
        <w:tc>
          <w:tcPr>
            <w:tcW w:w="564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Receptor-like kinase</w:t>
            </w:r>
          </w:p>
        </w:tc>
      </w:tr>
      <w:tr w:rsidR="00181BBF" w:rsidRPr="00181BBF" w:rsidTr="00181BBF">
        <w:trPr>
          <w:trHeight w:val="300"/>
        </w:trPr>
        <w:tc>
          <w:tcPr>
            <w:tcW w:w="146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 xml:space="preserve">RLP </w:t>
            </w:r>
          </w:p>
        </w:tc>
        <w:tc>
          <w:tcPr>
            <w:tcW w:w="564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Receptor-like proteins</w:t>
            </w:r>
          </w:p>
        </w:tc>
      </w:tr>
      <w:tr w:rsidR="00181BBF" w:rsidRPr="00181BBF" w:rsidTr="00181BBF">
        <w:trPr>
          <w:trHeight w:val="300"/>
        </w:trPr>
        <w:tc>
          <w:tcPr>
            <w:tcW w:w="146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RNAi</w:t>
            </w:r>
          </w:p>
        </w:tc>
        <w:tc>
          <w:tcPr>
            <w:tcW w:w="564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RNA interference</w:t>
            </w:r>
          </w:p>
        </w:tc>
      </w:tr>
      <w:tr w:rsidR="00181BBF" w:rsidRPr="00181BBF" w:rsidTr="00181BBF">
        <w:trPr>
          <w:trHeight w:val="300"/>
        </w:trPr>
        <w:tc>
          <w:tcPr>
            <w:tcW w:w="146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 xml:space="preserve">ROS </w:t>
            </w:r>
          </w:p>
        </w:tc>
        <w:tc>
          <w:tcPr>
            <w:tcW w:w="564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Reactive oxygen species</w:t>
            </w:r>
          </w:p>
        </w:tc>
      </w:tr>
      <w:tr w:rsidR="00181BBF" w:rsidRPr="00181BBF" w:rsidTr="00181BBF">
        <w:trPr>
          <w:trHeight w:val="300"/>
        </w:trPr>
        <w:tc>
          <w:tcPr>
            <w:tcW w:w="146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bookmarkStart w:id="5" w:name="RANGE!B132"/>
            <w:r w:rsidRPr="00181BBF">
              <w:rPr>
                <w:rFonts w:ascii="Calibri" w:eastAsia="Times New Roman" w:hAnsi="Calibri" w:cs="Times New Roman"/>
                <w:color w:val="000000"/>
                <w:lang w:val="de-DE" w:eastAsia="de-DE"/>
              </w:rPr>
              <w:t>rpm</w:t>
            </w:r>
            <w:bookmarkEnd w:id="5"/>
          </w:p>
        </w:tc>
        <w:tc>
          <w:tcPr>
            <w:tcW w:w="564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Revolutions per minute</w:t>
            </w:r>
          </w:p>
        </w:tc>
      </w:tr>
      <w:tr w:rsidR="00181BBF" w:rsidRPr="00181BBF" w:rsidTr="00181BBF">
        <w:trPr>
          <w:trHeight w:val="300"/>
        </w:trPr>
        <w:tc>
          <w:tcPr>
            <w:tcW w:w="146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i/>
                <w:iCs/>
                <w:color w:val="000000"/>
                <w:lang w:val="de-DE" w:eastAsia="de-DE"/>
              </w:rPr>
              <w:t>RPP</w:t>
            </w:r>
          </w:p>
        </w:tc>
        <w:tc>
          <w:tcPr>
            <w:tcW w:w="564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i/>
                <w:iCs/>
                <w:color w:val="000000"/>
                <w:lang w:val="de-DE" w:eastAsia="de-DE"/>
              </w:rPr>
              <w:t>RESISTANCE TO PERONOSPORA PARASITICA</w:t>
            </w:r>
          </w:p>
        </w:tc>
      </w:tr>
      <w:tr w:rsidR="00181BBF" w:rsidRPr="00181BBF" w:rsidTr="00181BBF">
        <w:trPr>
          <w:trHeight w:val="300"/>
        </w:trPr>
        <w:tc>
          <w:tcPr>
            <w:tcW w:w="146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i/>
                <w:iCs/>
                <w:color w:val="000000"/>
                <w:lang w:val="de-DE" w:eastAsia="de-DE"/>
              </w:rPr>
            </w:pPr>
            <w:r w:rsidRPr="00181BBF">
              <w:rPr>
                <w:rFonts w:ascii="Calibri" w:eastAsia="Times New Roman" w:hAnsi="Calibri" w:cs="Times New Roman"/>
                <w:i/>
                <w:iCs/>
                <w:color w:val="000000"/>
                <w:lang w:val="de-DE" w:eastAsia="de-DE"/>
              </w:rPr>
              <w:t>RPW</w:t>
            </w:r>
          </w:p>
        </w:tc>
        <w:tc>
          <w:tcPr>
            <w:tcW w:w="564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i/>
                <w:iCs/>
                <w:color w:val="000000"/>
                <w:lang w:val="de-DE" w:eastAsia="de-DE"/>
              </w:rPr>
            </w:pPr>
            <w:r w:rsidRPr="00181BBF">
              <w:rPr>
                <w:rFonts w:ascii="Calibri" w:eastAsia="Times New Roman" w:hAnsi="Calibri" w:cs="Times New Roman"/>
                <w:i/>
                <w:iCs/>
                <w:color w:val="000000"/>
                <w:lang w:val="de-DE" w:eastAsia="de-DE"/>
              </w:rPr>
              <w:t>RESISTANCE TO POWDERY MILDEW</w:t>
            </w:r>
          </w:p>
        </w:tc>
      </w:tr>
      <w:tr w:rsidR="00181BBF" w:rsidRPr="00181BBF" w:rsidTr="00181BBF">
        <w:trPr>
          <w:trHeight w:val="300"/>
        </w:trPr>
        <w:tc>
          <w:tcPr>
            <w:tcW w:w="146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i/>
                <w:iCs/>
                <w:color w:val="000000"/>
                <w:lang w:val="de-DE" w:eastAsia="de-DE"/>
              </w:rPr>
            </w:pPr>
            <w:r w:rsidRPr="00181BBF">
              <w:rPr>
                <w:rFonts w:ascii="Calibri" w:eastAsia="Times New Roman" w:hAnsi="Calibri" w:cs="Times New Roman"/>
                <w:color w:val="000000"/>
                <w:lang w:val="de-DE" w:eastAsia="de-DE"/>
              </w:rPr>
              <w:t>RT</w:t>
            </w:r>
          </w:p>
        </w:tc>
        <w:tc>
          <w:tcPr>
            <w:tcW w:w="564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i/>
                <w:iCs/>
                <w:color w:val="000000"/>
                <w:lang w:val="de-DE" w:eastAsia="de-DE"/>
              </w:rPr>
            </w:pPr>
            <w:r w:rsidRPr="00181BBF">
              <w:rPr>
                <w:rFonts w:ascii="Calibri" w:eastAsia="Times New Roman" w:hAnsi="Calibri" w:cs="Times New Roman"/>
                <w:color w:val="000000"/>
                <w:lang w:val="de-DE" w:eastAsia="de-DE"/>
              </w:rPr>
              <w:t>Retention time</w:t>
            </w:r>
          </w:p>
        </w:tc>
      </w:tr>
      <w:tr w:rsidR="00181BBF" w:rsidRPr="00181BBF" w:rsidTr="00181BBF">
        <w:trPr>
          <w:trHeight w:val="300"/>
        </w:trPr>
        <w:tc>
          <w:tcPr>
            <w:tcW w:w="146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 xml:space="preserve">SA </w:t>
            </w:r>
          </w:p>
        </w:tc>
        <w:tc>
          <w:tcPr>
            <w:tcW w:w="564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Salicylic acid</w:t>
            </w:r>
          </w:p>
        </w:tc>
      </w:tr>
      <w:tr w:rsidR="00181BBF" w:rsidRPr="00181BBF" w:rsidTr="00181BBF">
        <w:trPr>
          <w:trHeight w:val="300"/>
        </w:trPr>
        <w:tc>
          <w:tcPr>
            <w:tcW w:w="146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SAG</w:t>
            </w:r>
          </w:p>
        </w:tc>
        <w:tc>
          <w:tcPr>
            <w:tcW w:w="564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Glycosylated form of SA</w:t>
            </w:r>
          </w:p>
        </w:tc>
      </w:tr>
      <w:tr w:rsidR="00181BBF" w:rsidRPr="00181BBF" w:rsidTr="00181BBF">
        <w:trPr>
          <w:trHeight w:val="300"/>
        </w:trPr>
        <w:tc>
          <w:tcPr>
            <w:tcW w:w="146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 xml:space="preserve">SAR </w:t>
            </w:r>
          </w:p>
        </w:tc>
        <w:tc>
          <w:tcPr>
            <w:tcW w:w="564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Systemic acquired resistance</w:t>
            </w:r>
          </w:p>
        </w:tc>
      </w:tr>
      <w:tr w:rsidR="00181BBF" w:rsidRPr="00181BBF" w:rsidTr="00181BBF">
        <w:trPr>
          <w:trHeight w:val="300"/>
        </w:trPr>
        <w:tc>
          <w:tcPr>
            <w:tcW w:w="146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 xml:space="preserve">SD </w:t>
            </w:r>
          </w:p>
        </w:tc>
        <w:tc>
          <w:tcPr>
            <w:tcW w:w="564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Standard deviation</w:t>
            </w:r>
          </w:p>
        </w:tc>
      </w:tr>
      <w:tr w:rsidR="00181BBF" w:rsidRPr="00181BBF" w:rsidTr="00181BBF">
        <w:trPr>
          <w:trHeight w:val="300"/>
        </w:trPr>
        <w:tc>
          <w:tcPr>
            <w:tcW w:w="146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SDH</w:t>
            </w:r>
          </w:p>
        </w:tc>
        <w:tc>
          <w:tcPr>
            <w:tcW w:w="564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Saccharopine dehydrogenase</w:t>
            </w:r>
          </w:p>
        </w:tc>
      </w:tr>
      <w:tr w:rsidR="00181BBF" w:rsidRPr="00181BBF" w:rsidTr="00181BBF">
        <w:trPr>
          <w:trHeight w:val="300"/>
        </w:trPr>
        <w:tc>
          <w:tcPr>
            <w:tcW w:w="146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SDS-PAGE</w:t>
            </w:r>
          </w:p>
        </w:tc>
        <w:tc>
          <w:tcPr>
            <w:tcW w:w="564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en-US" w:eastAsia="de-DE"/>
              </w:rPr>
            </w:pPr>
            <w:r w:rsidRPr="00181BBF">
              <w:rPr>
                <w:rFonts w:ascii="Calibri" w:eastAsia="Times New Roman" w:hAnsi="Calibri" w:cs="Times New Roman"/>
                <w:color w:val="000000"/>
                <w:lang w:val="en-US" w:eastAsia="de-DE"/>
              </w:rPr>
              <w:t>Sodium dodecyl sulfate-polyacrylamide gelelectrophoresis</w:t>
            </w:r>
          </w:p>
        </w:tc>
      </w:tr>
      <w:tr w:rsidR="00181BBF" w:rsidRPr="00181BBF" w:rsidTr="00181BBF">
        <w:trPr>
          <w:trHeight w:val="300"/>
        </w:trPr>
        <w:tc>
          <w:tcPr>
            <w:tcW w:w="146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Ser</w:t>
            </w:r>
          </w:p>
        </w:tc>
        <w:tc>
          <w:tcPr>
            <w:tcW w:w="564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en-US" w:eastAsia="de-DE"/>
              </w:rPr>
            </w:pPr>
            <w:r w:rsidRPr="00181BBF">
              <w:rPr>
                <w:rFonts w:ascii="Calibri" w:eastAsia="Times New Roman" w:hAnsi="Calibri" w:cs="Times New Roman"/>
                <w:color w:val="000000"/>
                <w:lang w:val="de-DE" w:eastAsia="de-DE"/>
              </w:rPr>
              <w:t>Serine</w:t>
            </w:r>
          </w:p>
        </w:tc>
      </w:tr>
      <w:tr w:rsidR="00181BBF" w:rsidRPr="00181BBF" w:rsidTr="00181BBF">
        <w:trPr>
          <w:trHeight w:val="300"/>
        </w:trPr>
        <w:tc>
          <w:tcPr>
            <w:tcW w:w="146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i/>
                <w:iCs/>
                <w:color w:val="000000"/>
                <w:lang w:val="de-DE" w:eastAsia="de-DE"/>
              </w:rPr>
              <w:t xml:space="preserve">SID </w:t>
            </w:r>
          </w:p>
        </w:tc>
        <w:tc>
          <w:tcPr>
            <w:tcW w:w="564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i/>
                <w:iCs/>
                <w:color w:val="000000"/>
                <w:lang w:val="de-DE" w:eastAsia="de-DE"/>
              </w:rPr>
              <w:t>SALICYLIC ACID INDUCTION DEFICIENT</w:t>
            </w:r>
          </w:p>
        </w:tc>
      </w:tr>
      <w:tr w:rsidR="00181BBF" w:rsidRPr="00181BBF" w:rsidTr="00181BBF">
        <w:trPr>
          <w:trHeight w:val="300"/>
        </w:trPr>
        <w:tc>
          <w:tcPr>
            <w:tcW w:w="146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i/>
                <w:iCs/>
                <w:color w:val="000000"/>
                <w:lang w:val="de-DE" w:eastAsia="de-DE"/>
              </w:rPr>
            </w:pPr>
            <w:r w:rsidRPr="00181BBF">
              <w:rPr>
                <w:rFonts w:ascii="Calibri" w:eastAsia="Times New Roman" w:hAnsi="Calibri" w:cs="Times New Roman"/>
                <w:color w:val="000000"/>
                <w:lang w:val="de-DE" w:eastAsia="de-DE"/>
              </w:rPr>
              <w:t>sRNA</w:t>
            </w:r>
          </w:p>
        </w:tc>
        <w:tc>
          <w:tcPr>
            <w:tcW w:w="564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i/>
                <w:iCs/>
                <w:color w:val="000000"/>
                <w:lang w:val="de-DE" w:eastAsia="de-DE"/>
              </w:rPr>
            </w:pPr>
            <w:r w:rsidRPr="00181BBF">
              <w:rPr>
                <w:rFonts w:ascii="Calibri" w:eastAsia="Times New Roman" w:hAnsi="Calibri" w:cs="Times New Roman"/>
                <w:color w:val="000000"/>
                <w:lang w:val="de-DE" w:eastAsia="de-DE"/>
              </w:rPr>
              <w:t>Small RNA</w:t>
            </w:r>
          </w:p>
        </w:tc>
      </w:tr>
      <w:tr w:rsidR="00181BBF" w:rsidRPr="00181BBF" w:rsidTr="00181BBF">
        <w:trPr>
          <w:trHeight w:val="300"/>
        </w:trPr>
        <w:tc>
          <w:tcPr>
            <w:tcW w:w="146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lastRenderedPageBreak/>
              <w:t xml:space="preserve">TAE </w:t>
            </w:r>
          </w:p>
        </w:tc>
        <w:tc>
          <w:tcPr>
            <w:tcW w:w="564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en-US" w:eastAsia="de-DE"/>
              </w:rPr>
            </w:pPr>
            <w:r w:rsidRPr="00181BBF">
              <w:rPr>
                <w:rFonts w:ascii="Calibri" w:eastAsia="Times New Roman" w:hAnsi="Calibri" w:cs="Times New Roman"/>
                <w:color w:val="000000"/>
                <w:lang w:val="en-US" w:eastAsia="de-DE"/>
              </w:rPr>
              <w:t>Tris-acetate-ethylenediamine tetraacetic acid</w:t>
            </w:r>
          </w:p>
        </w:tc>
      </w:tr>
      <w:tr w:rsidR="00181BBF" w:rsidRPr="00181BBF" w:rsidTr="00181BBF">
        <w:trPr>
          <w:trHeight w:val="300"/>
        </w:trPr>
        <w:tc>
          <w:tcPr>
            <w:tcW w:w="146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TB</w:t>
            </w:r>
          </w:p>
        </w:tc>
        <w:tc>
          <w:tcPr>
            <w:tcW w:w="564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en-US" w:eastAsia="de-DE"/>
              </w:rPr>
            </w:pPr>
            <w:r w:rsidRPr="00181BBF">
              <w:rPr>
                <w:rFonts w:ascii="Calibri" w:eastAsia="Times New Roman" w:hAnsi="Calibri" w:cs="Times New Roman"/>
                <w:color w:val="000000"/>
                <w:lang w:val="de-DE" w:eastAsia="de-DE"/>
              </w:rPr>
              <w:t>Lactophenol/trypanblue</w:t>
            </w:r>
          </w:p>
        </w:tc>
      </w:tr>
      <w:tr w:rsidR="00181BBF" w:rsidRPr="00181BBF" w:rsidTr="00181BBF">
        <w:trPr>
          <w:trHeight w:val="300"/>
        </w:trPr>
        <w:tc>
          <w:tcPr>
            <w:tcW w:w="146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 xml:space="preserve">T-DNA </w:t>
            </w:r>
          </w:p>
        </w:tc>
        <w:tc>
          <w:tcPr>
            <w:tcW w:w="564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Transfer DNA</w:t>
            </w:r>
          </w:p>
        </w:tc>
      </w:tr>
      <w:tr w:rsidR="00181BBF" w:rsidRPr="00181BBF" w:rsidTr="00181BBF">
        <w:trPr>
          <w:trHeight w:val="300"/>
        </w:trPr>
        <w:tc>
          <w:tcPr>
            <w:tcW w:w="146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Thr</w:t>
            </w:r>
          </w:p>
        </w:tc>
        <w:tc>
          <w:tcPr>
            <w:tcW w:w="564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Threonine</w:t>
            </w:r>
          </w:p>
        </w:tc>
      </w:tr>
      <w:tr w:rsidR="00181BBF" w:rsidRPr="00181BBF" w:rsidTr="00181BBF">
        <w:trPr>
          <w:trHeight w:val="300"/>
        </w:trPr>
        <w:tc>
          <w:tcPr>
            <w:tcW w:w="146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 xml:space="preserve">TTSS </w:t>
            </w:r>
          </w:p>
        </w:tc>
        <w:tc>
          <w:tcPr>
            <w:tcW w:w="564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Type-III secretion system</w:t>
            </w:r>
          </w:p>
        </w:tc>
      </w:tr>
      <w:tr w:rsidR="00181BBF" w:rsidRPr="00181BBF" w:rsidTr="00181BBF">
        <w:trPr>
          <w:trHeight w:val="300"/>
        </w:trPr>
        <w:tc>
          <w:tcPr>
            <w:tcW w:w="146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Tyr</w:t>
            </w:r>
          </w:p>
        </w:tc>
        <w:tc>
          <w:tcPr>
            <w:tcW w:w="564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Tyrosine</w:t>
            </w:r>
          </w:p>
        </w:tc>
      </w:tr>
      <w:tr w:rsidR="00181BBF" w:rsidRPr="00181BBF" w:rsidTr="00181BBF">
        <w:trPr>
          <w:trHeight w:val="300"/>
        </w:trPr>
        <w:tc>
          <w:tcPr>
            <w:tcW w:w="146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UDP</w:t>
            </w:r>
          </w:p>
        </w:tc>
        <w:tc>
          <w:tcPr>
            <w:tcW w:w="564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Uridine diphosphate</w:t>
            </w:r>
          </w:p>
        </w:tc>
      </w:tr>
      <w:tr w:rsidR="00181BBF" w:rsidRPr="00181BBF" w:rsidTr="00181BBF">
        <w:trPr>
          <w:trHeight w:val="300"/>
        </w:trPr>
        <w:tc>
          <w:tcPr>
            <w:tcW w:w="146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WT</w:t>
            </w:r>
          </w:p>
        </w:tc>
        <w:tc>
          <w:tcPr>
            <w:tcW w:w="564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Wild type</w:t>
            </w:r>
          </w:p>
        </w:tc>
      </w:tr>
      <w:tr w:rsidR="00181BBF" w:rsidRPr="00181BBF" w:rsidTr="00181BBF">
        <w:trPr>
          <w:trHeight w:val="300"/>
        </w:trPr>
        <w:tc>
          <w:tcPr>
            <w:tcW w:w="146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1°</w:t>
            </w:r>
          </w:p>
        </w:tc>
        <w:tc>
          <w:tcPr>
            <w:tcW w:w="564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Local inoculated tissue</w:t>
            </w:r>
          </w:p>
        </w:tc>
      </w:tr>
      <w:tr w:rsidR="00181BBF" w:rsidRPr="00181BBF" w:rsidTr="00181BBF">
        <w:trPr>
          <w:trHeight w:val="300"/>
        </w:trPr>
        <w:tc>
          <w:tcPr>
            <w:tcW w:w="146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2°</w:t>
            </w:r>
          </w:p>
        </w:tc>
        <w:tc>
          <w:tcPr>
            <w:tcW w:w="5640" w:type="dxa"/>
            <w:tcBorders>
              <w:top w:val="nil"/>
              <w:left w:val="nil"/>
              <w:bottom w:val="nil"/>
              <w:right w:val="nil"/>
            </w:tcBorders>
            <w:shd w:val="clear" w:color="auto" w:fill="auto"/>
            <w:noWrap/>
            <w:vAlign w:val="center"/>
            <w:hideMark/>
          </w:tcPr>
          <w:p w:rsidR="00181BBF" w:rsidRPr="00181BBF" w:rsidRDefault="00181BBF" w:rsidP="00181BBF">
            <w:pPr>
              <w:spacing w:after="0" w:line="240" w:lineRule="auto"/>
              <w:rPr>
                <w:rFonts w:ascii="Calibri" w:eastAsia="Times New Roman" w:hAnsi="Calibri" w:cs="Times New Roman"/>
                <w:color w:val="000000"/>
                <w:lang w:val="de-DE" w:eastAsia="de-DE"/>
              </w:rPr>
            </w:pPr>
            <w:r w:rsidRPr="00181BBF">
              <w:rPr>
                <w:rFonts w:ascii="Calibri" w:eastAsia="Times New Roman" w:hAnsi="Calibri" w:cs="Times New Roman"/>
                <w:color w:val="000000"/>
                <w:lang w:val="de-DE" w:eastAsia="de-DE"/>
              </w:rPr>
              <w:t>Systemic inoculated tissue</w:t>
            </w:r>
          </w:p>
        </w:tc>
      </w:tr>
      <w:tr w:rsidR="00181BBF" w:rsidRPr="00181BBF" w:rsidTr="00B6274D">
        <w:trPr>
          <w:trHeight w:val="300"/>
        </w:trPr>
        <w:tc>
          <w:tcPr>
            <w:tcW w:w="1460" w:type="dxa"/>
            <w:tcBorders>
              <w:top w:val="nil"/>
              <w:left w:val="nil"/>
              <w:bottom w:val="nil"/>
              <w:right w:val="nil"/>
            </w:tcBorders>
            <w:shd w:val="clear" w:color="auto" w:fill="auto"/>
            <w:noWrap/>
            <w:vAlign w:val="center"/>
          </w:tcPr>
          <w:p w:rsidR="00181BBF" w:rsidRPr="00181BBF" w:rsidRDefault="00181BBF" w:rsidP="00181BBF">
            <w:pPr>
              <w:spacing w:after="0" w:line="240" w:lineRule="auto"/>
              <w:rPr>
                <w:rFonts w:ascii="Calibri" w:eastAsia="Times New Roman" w:hAnsi="Calibri" w:cs="Times New Roman"/>
                <w:color w:val="000000"/>
                <w:lang w:val="de-DE" w:eastAsia="de-DE"/>
              </w:rPr>
            </w:pPr>
          </w:p>
        </w:tc>
        <w:tc>
          <w:tcPr>
            <w:tcW w:w="5640" w:type="dxa"/>
            <w:tcBorders>
              <w:top w:val="nil"/>
              <w:left w:val="nil"/>
              <w:bottom w:val="nil"/>
              <w:right w:val="nil"/>
            </w:tcBorders>
            <w:shd w:val="clear" w:color="auto" w:fill="auto"/>
            <w:noWrap/>
            <w:vAlign w:val="center"/>
          </w:tcPr>
          <w:p w:rsidR="00181BBF" w:rsidRPr="00181BBF" w:rsidRDefault="00181BBF" w:rsidP="00181BBF">
            <w:pPr>
              <w:spacing w:after="0" w:line="240" w:lineRule="auto"/>
              <w:rPr>
                <w:rFonts w:ascii="Calibri" w:eastAsia="Times New Roman" w:hAnsi="Calibri" w:cs="Times New Roman"/>
                <w:color w:val="000000"/>
                <w:lang w:val="de-DE" w:eastAsia="de-DE"/>
              </w:rPr>
            </w:pPr>
          </w:p>
        </w:tc>
      </w:tr>
    </w:tbl>
    <w:p w:rsidR="00B0242D" w:rsidRPr="00B0242D" w:rsidRDefault="00B0242D" w:rsidP="00B0242D">
      <w:pPr>
        <w:rPr>
          <w:lang w:val="en-US"/>
        </w:rPr>
      </w:pPr>
    </w:p>
    <w:p w:rsidR="00C37652" w:rsidRDefault="00C37652" w:rsidP="006B0405">
      <w:pPr>
        <w:spacing w:line="360" w:lineRule="auto"/>
        <w:rPr>
          <w:b/>
          <w:lang w:val="en-US"/>
        </w:rPr>
      </w:pPr>
    </w:p>
    <w:p w:rsidR="00C37652" w:rsidRDefault="00C37652" w:rsidP="006B0405">
      <w:pPr>
        <w:spacing w:line="360" w:lineRule="auto"/>
        <w:rPr>
          <w:b/>
          <w:lang w:val="en-US"/>
        </w:rPr>
      </w:pPr>
    </w:p>
    <w:p w:rsidR="00C37652" w:rsidRDefault="00C37652" w:rsidP="006B0405">
      <w:pPr>
        <w:spacing w:line="360" w:lineRule="auto"/>
        <w:rPr>
          <w:b/>
          <w:lang w:val="en-US"/>
        </w:rPr>
      </w:pPr>
    </w:p>
    <w:p w:rsidR="00C37652" w:rsidRDefault="00C37652" w:rsidP="006B0405">
      <w:pPr>
        <w:spacing w:line="360" w:lineRule="auto"/>
        <w:rPr>
          <w:b/>
          <w:lang w:val="en-US"/>
        </w:rPr>
      </w:pPr>
    </w:p>
    <w:p w:rsidR="00C37652" w:rsidRDefault="00C37652" w:rsidP="006B0405">
      <w:pPr>
        <w:spacing w:line="360" w:lineRule="auto"/>
        <w:rPr>
          <w:b/>
          <w:lang w:val="en-US"/>
        </w:rPr>
      </w:pPr>
    </w:p>
    <w:p w:rsidR="00C37652" w:rsidRDefault="00C37652" w:rsidP="006B0405">
      <w:pPr>
        <w:spacing w:line="360" w:lineRule="auto"/>
        <w:rPr>
          <w:b/>
          <w:lang w:val="en-US"/>
        </w:rPr>
      </w:pPr>
    </w:p>
    <w:p w:rsidR="00C37652" w:rsidRDefault="00C37652" w:rsidP="006B0405">
      <w:pPr>
        <w:spacing w:line="360" w:lineRule="auto"/>
        <w:rPr>
          <w:b/>
          <w:lang w:val="en-US"/>
        </w:rPr>
      </w:pPr>
    </w:p>
    <w:p w:rsidR="00C37652" w:rsidRDefault="00C37652" w:rsidP="006B0405">
      <w:pPr>
        <w:spacing w:line="360" w:lineRule="auto"/>
        <w:rPr>
          <w:b/>
          <w:lang w:val="en-US"/>
        </w:rPr>
      </w:pPr>
    </w:p>
    <w:p w:rsidR="00C37652" w:rsidRDefault="00C37652" w:rsidP="006B0405">
      <w:pPr>
        <w:spacing w:line="360" w:lineRule="auto"/>
        <w:rPr>
          <w:b/>
          <w:lang w:val="en-US"/>
        </w:rPr>
      </w:pPr>
    </w:p>
    <w:p w:rsidR="00C37652" w:rsidRDefault="00C37652" w:rsidP="006B0405">
      <w:pPr>
        <w:spacing w:line="360" w:lineRule="auto"/>
        <w:rPr>
          <w:b/>
          <w:lang w:val="en-US"/>
        </w:rPr>
      </w:pPr>
    </w:p>
    <w:p w:rsidR="00C37652" w:rsidRDefault="00C37652" w:rsidP="006B0405">
      <w:pPr>
        <w:spacing w:line="360" w:lineRule="auto"/>
        <w:rPr>
          <w:b/>
          <w:lang w:val="en-US"/>
        </w:rPr>
      </w:pPr>
    </w:p>
    <w:p w:rsidR="00C37652" w:rsidRDefault="00C37652" w:rsidP="006B0405">
      <w:pPr>
        <w:spacing w:line="360" w:lineRule="auto"/>
        <w:rPr>
          <w:b/>
          <w:lang w:val="en-US"/>
        </w:rPr>
      </w:pPr>
    </w:p>
    <w:p w:rsidR="00C37652" w:rsidRDefault="00C37652" w:rsidP="006B0405">
      <w:pPr>
        <w:spacing w:line="360" w:lineRule="auto"/>
        <w:rPr>
          <w:b/>
          <w:lang w:val="en-US"/>
        </w:rPr>
      </w:pPr>
    </w:p>
    <w:p w:rsidR="00C37652" w:rsidRDefault="00C37652" w:rsidP="006B0405">
      <w:pPr>
        <w:spacing w:line="360" w:lineRule="auto"/>
        <w:rPr>
          <w:b/>
          <w:lang w:val="en-US"/>
        </w:rPr>
      </w:pPr>
    </w:p>
    <w:p w:rsidR="00C37652" w:rsidRDefault="00C37652" w:rsidP="006B0405">
      <w:pPr>
        <w:spacing w:line="360" w:lineRule="auto"/>
        <w:rPr>
          <w:b/>
          <w:lang w:val="en-US"/>
        </w:rPr>
      </w:pPr>
    </w:p>
    <w:p w:rsidR="00C37652" w:rsidRDefault="00C37652" w:rsidP="006B0405">
      <w:pPr>
        <w:spacing w:line="360" w:lineRule="auto"/>
        <w:rPr>
          <w:b/>
          <w:lang w:val="en-US"/>
        </w:rPr>
      </w:pPr>
    </w:p>
    <w:p w:rsidR="009608E1" w:rsidRDefault="009608E1" w:rsidP="006B0405">
      <w:pPr>
        <w:spacing w:line="360" w:lineRule="auto"/>
        <w:rPr>
          <w:b/>
          <w:lang w:val="en-US"/>
        </w:rPr>
        <w:sectPr w:rsidR="009608E1" w:rsidSect="00B517AA">
          <w:footerReference w:type="default" r:id="rId10"/>
          <w:type w:val="continuous"/>
          <w:pgSz w:w="11906" w:h="16838"/>
          <w:pgMar w:top="1417" w:right="1417" w:bottom="1134" w:left="1417" w:header="708" w:footer="708" w:gutter="0"/>
          <w:pgNumType w:fmt="upperRoman"/>
          <w:cols w:space="708"/>
          <w:titlePg/>
          <w:docGrid w:linePitch="360"/>
        </w:sectPr>
      </w:pPr>
    </w:p>
    <w:p w:rsidR="00C37652" w:rsidRDefault="00C37652" w:rsidP="006B0405">
      <w:pPr>
        <w:spacing w:line="360" w:lineRule="auto"/>
        <w:rPr>
          <w:b/>
          <w:lang w:val="en-US"/>
        </w:rPr>
      </w:pPr>
    </w:p>
    <w:p w:rsidR="006B0405" w:rsidRPr="00336F1A" w:rsidRDefault="00563EC1" w:rsidP="00CE0C49">
      <w:pPr>
        <w:pStyle w:val="berschrift1"/>
        <w:spacing w:after="240"/>
        <w:rPr>
          <w:color w:val="auto"/>
        </w:rPr>
      </w:pPr>
      <w:bookmarkStart w:id="6" w:name="_Toc435621200"/>
      <w:r w:rsidRPr="00336F1A">
        <w:rPr>
          <w:color w:val="auto"/>
        </w:rPr>
        <w:lastRenderedPageBreak/>
        <w:t xml:space="preserve">1 </w:t>
      </w:r>
      <w:r w:rsidR="006B0405" w:rsidRPr="00336F1A">
        <w:rPr>
          <w:color w:val="auto"/>
        </w:rPr>
        <w:t>Summary</w:t>
      </w:r>
      <w:bookmarkEnd w:id="6"/>
    </w:p>
    <w:p w:rsidR="00E5463E" w:rsidRPr="00336F1A" w:rsidRDefault="0053368E" w:rsidP="00E5463E">
      <w:pPr>
        <w:spacing w:after="0" w:line="360" w:lineRule="auto"/>
        <w:jc w:val="both"/>
      </w:pPr>
      <w:r w:rsidRPr="00336F1A">
        <w:t>P</w:t>
      </w:r>
      <w:r w:rsidR="000079DA" w:rsidRPr="00336F1A">
        <w:t xml:space="preserve">lants are </w:t>
      </w:r>
      <w:r w:rsidR="0008097A" w:rsidRPr="00336F1A">
        <w:t>cap</w:t>
      </w:r>
      <w:r w:rsidR="000079DA" w:rsidRPr="00336F1A">
        <w:t>able to defend</w:t>
      </w:r>
      <w:r w:rsidRPr="00336F1A">
        <w:t xml:space="preserve"> themselves </w:t>
      </w:r>
      <w:r w:rsidR="00D47722" w:rsidRPr="00336F1A">
        <w:t xml:space="preserve">against </w:t>
      </w:r>
      <w:r w:rsidR="00DE1981" w:rsidRPr="00336F1A">
        <w:t>diverse</w:t>
      </w:r>
      <w:r w:rsidR="00D47722" w:rsidRPr="00336F1A">
        <w:t xml:space="preserve"> microbial pathogens</w:t>
      </w:r>
      <w:r w:rsidRPr="00336F1A">
        <w:t xml:space="preserve"> and </w:t>
      </w:r>
      <w:r w:rsidR="0008097A" w:rsidRPr="00336F1A">
        <w:t>can also</w:t>
      </w:r>
      <w:r w:rsidRPr="00336F1A">
        <w:t xml:space="preserve"> establish a long-lasting pro</w:t>
      </w:r>
      <w:r w:rsidR="00C448FC">
        <w:t>tection of the whole plant body, called</w:t>
      </w:r>
      <w:r w:rsidRPr="00336F1A">
        <w:t xml:space="preserve"> systemic acquired resistance</w:t>
      </w:r>
      <w:r w:rsidR="00DE1981" w:rsidRPr="00336F1A">
        <w:t xml:space="preserve"> (SAR)</w:t>
      </w:r>
      <w:r w:rsidRPr="00336F1A">
        <w:t xml:space="preserve">, which provides </w:t>
      </w:r>
      <w:r w:rsidR="00D47722" w:rsidRPr="00336F1A">
        <w:t xml:space="preserve">elevated </w:t>
      </w:r>
      <w:r w:rsidR="00C448FC">
        <w:t>immunity</w:t>
      </w:r>
      <w:r w:rsidRPr="00336F1A">
        <w:t xml:space="preserve"> against a variety of pathogens and </w:t>
      </w:r>
      <w:r w:rsidR="00D47722" w:rsidRPr="00336F1A">
        <w:t>primes plants for subsequent attacks.</w:t>
      </w:r>
      <w:r w:rsidR="009874A7" w:rsidRPr="00336F1A">
        <w:t xml:space="preserve"> </w:t>
      </w:r>
      <w:r w:rsidR="006B0405" w:rsidRPr="00336F1A">
        <w:t>In this work</w:t>
      </w:r>
      <w:r w:rsidR="00EF59F7">
        <w:t>,</w:t>
      </w:r>
      <w:r w:rsidR="006B0405" w:rsidRPr="00336F1A">
        <w:t xml:space="preserve"> </w:t>
      </w:r>
      <w:r w:rsidR="00E5463E" w:rsidRPr="00336F1A">
        <w:t>the molecular mechanisms of defence priming and its role</w:t>
      </w:r>
      <w:r w:rsidR="006B0405" w:rsidRPr="00336F1A">
        <w:t xml:space="preserve"> in </w:t>
      </w:r>
      <w:r w:rsidR="00DE1981" w:rsidRPr="00336F1A">
        <w:t>SAR</w:t>
      </w:r>
      <w:r w:rsidR="0008097A" w:rsidRPr="00336F1A">
        <w:t xml:space="preserve">, as well as the importance of pipecolic acid </w:t>
      </w:r>
      <w:r w:rsidR="00C969FA">
        <w:t xml:space="preserve">(Pip) </w:t>
      </w:r>
      <w:r w:rsidR="0008097A" w:rsidRPr="00336F1A">
        <w:t>in</w:t>
      </w:r>
      <w:r w:rsidR="00C969FA">
        <w:t xml:space="preserve"> plant</w:t>
      </w:r>
      <w:r w:rsidR="0008097A" w:rsidRPr="00336F1A">
        <w:t xml:space="preserve"> priming and immunity,</w:t>
      </w:r>
      <w:r w:rsidR="00D47722" w:rsidRPr="00336F1A">
        <w:t xml:space="preserve"> were</w:t>
      </w:r>
      <w:r w:rsidR="00E5463E" w:rsidRPr="00336F1A">
        <w:t xml:space="preserve"> analysed</w:t>
      </w:r>
      <w:r w:rsidR="008E1F65" w:rsidRPr="00336F1A">
        <w:t xml:space="preserve"> in </w:t>
      </w:r>
      <w:r w:rsidR="008E1F65" w:rsidRPr="00336F1A">
        <w:rPr>
          <w:i/>
        </w:rPr>
        <w:t>Arabidopsis thaliana</w:t>
      </w:r>
      <w:r w:rsidR="006B0405" w:rsidRPr="00336F1A">
        <w:t xml:space="preserve">. </w:t>
      </w:r>
      <w:r w:rsidR="00E5463E" w:rsidRPr="00336F1A">
        <w:t>Evidence is provided that</w:t>
      </w:r>
      <w:r w:rsidR="006B0405" w:rsidRPr="00336F1A">
        <w:t xml:space="preserve"> accumulation of the non-protein amin</w:t>
      </w:r>
      <w:r w:rsidR="0008097A" w:rsidRPr="00336F1A">
        <w:t xml:space="preserve">o acid </w:t>
      </w:r>
      <w:r w:rsidR="00C969FA">
        <w:t xml:space="preserve">Pip, whose biosynthesis is catalyzed by the </w:t>
      </w:r>
      <w:r w:rsidR="00C969FA" w:rsidRPr="000E221F">
        <w:rPr>
          <w:rFonts w:eastAsia="Times New Roman" w:cstheme="minorHAnsi"/>
          <w:i/>
          <w:iCs/>
          <w:color w:val="000000"/>
          <w:lang w:val="en-US" w:eastAsia="de-DE"/>
        </w:rPr>
        <w:t xml:space="preserve">AGD2-LIKE DEFENCE RESPONSE PROTEIN 1 </w:t>
      </w:r>
      <w:r w:rsidR="00C969FA" w:rsidRPr="000E221F">
        <w:rPr>
          <w:rFonts w:eastAsia="Times New Roman" w:cstheme="minorHAnsi"/>
          <w:iCs/>
          <w:color w:val="000000"/>
          <w:lang w:val="en-US" w:eastAsia="de-DE"/>
        </w:rPr>
        <w:t>(</w:t>
      </w:r>
      <w:proofErr w:type="gramStart"/>
      <w:r w:rsidR="00C969FA" w:rsidRPr="000E221F">
        <w:rPr>
          <w:rFonts w:eastAsia="Times New Roman" w:cstheme="minorHAnsi"/>
          <w:i/>
          <w:iCs/>
          <w:color w:val="000000"/>
          <w:lang w:val="en-US" w:eastAsia="de-DE"/>
        </w:rPr>
        <w:t>ALD1</w:t>
      </w:r>
      <w:r w:rsidR="00C969FA" w:rsidRPr="000E221F">
        <w:rPr>
          <w:rFonts w:eastAsia="Times New Roman" w:cstheme="minorHAnsi"/>
          <w:iCs/>
          <w:color w:val="000000"/>
          <w:lang w:val="en-US" w:eastAsia="de-DE"/>
        </w:rPr>
        <w:t>),</w:t>
      </w:r>
      <w:proofErr w:type="gramEnd"/>
      <w:r w:rsidR="0008097A" w:rsidRPr="00336F1A">
        <w:t xml:space="preserve"> and its</w:t>
      </w:r>
      <w:r w:rsidR="006B0405" w:rsidRPr="00336F1A">
        <w:t xml:space="preserve"> activation by the </w:t>
      </w:r>
      <w:r w:rsidR="002C3211" w:rsidRPr="00336F1A">
        <w:t xml:space="preserve">flavin-dependent </w:t>
      </w:r>
      <w:r w:rsidR="006B0405" w:rsidRPr="00336F1A">
        <w:t xml:space="preserve">monooxygenase FMO1 is essential for defence priming, as priming of gene expression is </w:t>
      </w:r>
      <w:r w:rsidR="00DE1981" w:rsidRPr="00336F1A">
        <w:t xml:space="preserve">almost </w:t>
      </w:r>
      <w:r w:rsidR="006B0405" w:rsidRPr="00336F1A">
        <w:t xml:space="preserve">completely abolished in </w:t>
      </w:r>
      <w:r w:rsidR="006B0405" w:rsidRPr="00336F1A">
        <w:rPr>
          <w:i/>
        </w:rPr>
        <w:t>ald1</w:t>
      </w:r>
      <w:r w:rsidR="006B0405" w:rsidRPr="00336F1A">
        <w:t xml:space="preserve"> and </w:t>
      </w:r>
      <w:r w:rsidR="006B0405" w:rsidRPr="00336F1A">
        <w:rPr>
          <w:i/>
        </w:rPr>
        <w:t>fmo1</w:t>
      </w:r>
      <w:r w:rsidR="00D47722" w:rsidRPr="00336F1A">
        <w:t xml:space="preserve"> mutant lines</w:t>
      </w:r>
      <w:r w:rsidR="00E5463E" w:rsidRPr="00336F1A">
        <w:t xml:space="preserve">. Moreover, </w:t>
      </w:r>
      <w:r w:rsidR="00EF59F7">
        <w:t>a large number</w:t>
      </w:r>
      <w:r w:rsidR="00D47722" w:rsidRPr="00336F1A">
        <w:t xml:space="preserve"> of </w:t>
      </w:r>
      <w:r w:rsidR="006B0405" w:rsidRPr="00336F1A">
        <w:t>genes</w:t>
      </w:r>
      <w:r w:rsidR="00D47722" w:rsidRPr="00336F1A">
        <w:t xml:space="preserve"> primed for enhanced expression</w:t>
      </w:r>
      <w:r w:rsidR="001846FA" w:rsidRPr="00336F1A">
        <w:t xml:space="preserve"> was</w:t>
      </w:r>
      <w:r w:rsidR="006B0405" w:rsidRPr="00336F1A">
        <w:t xml:space="preserve"> found to be </w:t>
      </w:r>
      <w:r w:rsidR="001846FA" w:rsidRPr="00336F1A">
        <w:t>independent of</w:t>
      </w:r>
      <w:r w:rsidR="006B0405" w:rsidRPr="00336F1A">
        <w:t xml:space="preserve"> salicylic acid</w:t>
      </w:r>
      <w:r w:rsidR="00C969FA">
        <w:t xml:space="preserve"> (SA)</w:t>
      </w:r>
      <w:r w:rsidR="006B0405" w:rsidRPr="00336F1A">
        <w:t>-mediate</w:t>
      </w:r>
      <w:r w:rsidR="001846FA" w:rsidRPr="00336F1A">
        <w:t xml:space="preserve">d signalling and could be classified </w:t>
      </w:r>
      <w:r w:rsidR="00C969FA">
        <w:t>according to their role</w:t>
      </w:r>
      <w:r w:rsidR="001846FA" w:rsidRPr="00336F1A">
        <w:t xml:space="preserve"> in detoxi</w:t>
      </w:r>
      <w:r w:rsidR="000510B6" w:rsidRPr="00336F1A">
        <w:t>fication, defence signalling, defence</w:t>
      </w:r>
      <w:r w:rsidR="001846FA" w:rsidRPr="00336F1A">
        <w:t xml:space="preserve"> metabolism</w:t>
      </w:r>
      <w:r w:rsidR="0008097A" w:rsidRPr="00336F1A">
        <w:t>,</w:t>
      </w:r>
      <w:r w:rsidR="001846FA" w:rsidRPr="00336F1A">
        <w:t xml:space="preserve"> and cell wall-related</w:t>
      </w:r>
      <w:r w:rsidR="000510B6" w:rsidRPr="00336F1A">
        <w:t xml:space="preserve"> processes</w:t>
      </w:r>
      <w:r w:rsidR="006B0405" w:rsidRPr="00336F1A">
        <w:t xml:space="preserve">. </w:t>
      </w:r>
      <w:r w:rsidR="00F15556">
        <w:t>Pip</w:t>
      </w:r>
      <w:r w:rsidR="001846FA" w:rsidRPr="00336F1A">
        <w:t xml:space="preserve"> was furthermore shown to be </w:t>
      </w:r>
      <w:r w:rsidR="0008097A" w:rsidRPr="00336F1A">
        <w:t>essential for primed</w:t>
      </w:r>
      <w:r w:rsidR="001846FA" w:rsidRPr="00336F1A">
        <w:t xml:space="preserve"> </w:t>
      </w:r>
      <w:r w:rsidR="0008097A" w:rsidRPr="00336F1A">
        <w:t xml:space="preserve">expression </w:t>
      </w:r>
      <w:r w:rsidR="001846FA" w:rsidRPr="00336F1A">
        <w:t xml:space="preserve">of </w:t>
      </w:r>
      <w:r w:rsidR="000510B6" w:rsidRPr="00336F1A">
        <w:t xml:space="preserve">SA-dependent and </w:t>
      </w:r>
      <w:r w:rsidR="0008097A" w:rsidRPr="00336F1A">
        <w:t>-independent genes.</w:t>
      </w:r>
      <w:r w:rsidR="001846FA" w:rsidRPr="00336F1A">
        <w:t xml:space="preserve"> </w:t>
      </w:r>
      <w:r w:rsidR="008B0B27">
        <w:t>Mitogen-</w:t>
      </w:r>
      <w:r w:rsidR="00C969FA">
        <w:t>activated protein (MAP)</w:t>
      </w:r>
      <w:r w:rsidR="006B0405" w:rsidRPr="00336F1A">
        <w:t xml:space="preserve"> kinase signalling was previously implied as bein</w:t>
      </w:r>
      <w:r w:rsidR="0008097A" w:rsidRPr="00336F1A">
        <w:t>g essential for defence priming and SAR,</w:t>
      </w:r>
      <w:r w:rsidR="006B0405" w:rsidRPr="00336F1A">
        <w:t xml:space="preserve"> but</w:t>
      </w:r>
      <w:r w:rsidR="0008097A" w:rsidRPr="00336F1A">
        <w:t xml:space="preserve"> </w:t>
      </w:r>
      <w:r w:rsidR="008B0B27">
        <w:t>SAR,</w:t>
      </w:r>
      <w:r w:rsidR="0008097A" w:rsidRPr="00336F1A">
        <w:t xml:space="preserve"> as well as Pip-induced resistance</w:t>
      </w:r>
      <w:r w:rsidR="008B0B27">
        <w:t>,</w:t>
      </w:r>
      <w:r w:rsidR="0008097A" w:rsidRPr="00336F1A">
        <w:t xml:space="preserve"> and priming of gene expression were not significantly impaired in </w:t>
      </w:r>
      <w:r w:rsidR="00B9159F" w:rsidRPr="00336F1A">
        <w:rPr>
          <w:i/>
        </w:rPr>
        <w:t>mpk3, mpk6</w:t>
      </w:r>
      <w:r w:rsidR="00B9159F" w:rsidRPr="00336F1A">
        <w:t xml:space="preserve">, and </w:t>
      </w:r>
      <w:r w:rsidR="00B9159F" w:rsidRPr="00336F1A">
        <w:rPr>
          <w:i/>
        </w:rPr>
        <w:t>mpk3 mpk6</w:t>
      </w:r>
      <w:r w:rsidR="00B9159F" w:rsidRPr="00336F1A">
        <w:t xml:space="preserve"> </w:t>
      </w:r>
      <w:r w:rsidR="00592AFD" w:rsidRPr="00336F1A">
        <w:t xml:space="preserve">mutant </w:t>
      </w:r>
      <w:r w:rsidR="0008097A" w:rsidRPr="00336F1A">
        <w:t>plants infected with</w:t>
      </w:r>
      <w:r w:rsidR="006B0405" w:rsidRPr="00336F1A">
        <w:t xml:space="preserve"> </w:t>
      </w:r>
      <w:r w:rsidR="006B0405" w:rsidRPr="00336F1A">
        <w:rPr>
          <w:i/>
        </w:rPr>
        <w:t>Pseudomonas syringae</w:t>
      </w:r>
      <w:r w:rsidR="006B0405" w:rsidRPr="00336F1A">
        <w:t xml:space="preserve"> pv. </w:t>
      </w:r>
      <w:proofErr w:type="gramStart"/>
      <w:r w:rsidR="006B0405" w:rsidRPr="00336F1A">
        <w:rPr>
          <w:i/>
        </w:rPr>
        <w:t>maculicola</w:t>
      </w:r>
      <w:proofErr w:type="gramEnd"/>
      <w:r w:rsidR="006B0405" w:rsidRPr="00336F1A">
        <w:t xml:space="preserve"> </w:t>
      </w:r>
      <w:r w:rsidR="00C969FA">
        <w:t>(</w:t>
      </w:r>
      <w:r w:rsidR="00C969FA" w:rsidRPr="00C969FA">
        <w:rPr>
          <w:i/>
        </w:rPr>
        <w:t>Psm</w:t>
      </w:r>
      <w:r w:rsidR="00C969FA">
        <w:t xml:space="preserve">) </w:t>
      </w:r>
      <w:r w:rsidR="006B0405" w:rsidRPr="00336F1A">
        <w:t xml:space="preserve">bacteria. </w:t>
      </w:r>
      <w:r w:rsidR="00A60D69" w:rsidRPr="00336F1A">
        <w:t>T</w:t>
      </w:r>
      <w:r w:rsidR="006B0405" w:rsidRPr="00336F1A">
        <w:t xml:space="preserve">his thesis provides proof that </w:t>
      </w:r>
      <w:r w:rsidR="00C969FA">
        <w:t>Pip</w:t>
      </w:r>
      <w:r w:rsidR="006B0405" w:rsidRPr="00336F1A">
        <w:t xml:space="preserve"> not only accumulates upon bacterial infection, but also after infection with the fungi </w:t>
      </w:r>
      <w:r w:rsidR="006B0405" w:rsidRPr="00336F1A">
        <w:rPr>
          <w:i/>
        </w:rPr>
        <w:t>Botrytis cinerea</w:t>
      </w:r>
      <w:r w:rsidR="006B0405" w:rsidRPr="00336F1A">
        <w:t xml:space="preserve"> and </w:t>
      </w:r>
      <w:r w:rsidR="006B0405" w:rsidRPr="00336F1A">
        <w:rPr>
          <w:i/>
        </w:rPr>
        <w:t>Golovinomyces orontii</w:t>
      </w:r>
      <w:r w:rsidR="006B0405" w:rsidRPr="00336F1A">
        <w:t xml:space="preserve">, as well as the oomycete </w:t>
      </w:r>
      <w:r w:rsidR="006B0405" w:rsidRPr="00336F1A">
        <w:rPr>
          <w:i/>
        </w:rPr>
        <w:t>Hyaloperonospora arabidopsidis</w:t>
      </w:r>
      <w:r w:rsidR="006B0405" w:rsidRPr="00336F1A">
        <w:t xml:space="preserve">. </w:t>
      </w:r>
      <w:r w:rsidR="00DE1981" w:rsidRPr="00336F1A">
        <w:t xml:space="preserve">Analysis of </w:t>
      </w:r>
      <w:r w:rsidR="0008097A" w:rsidRPr="00336F1A">
        <w:t>these diverse plant-microbe</w:t>
      </w:r>
      <w:r w:rsidR="00DE1981" w:rsidRPr="00336F1A">
        <w:t xml:space="preserve"> interactions led to </w:t>
      </w:r>
      <w:r w:rsidR="00592AFD" w:rsidRPr="00336F1A">
        <w:t xml:space="preserve">the </w:t>
      </w:r>
      <w:r w:rsidR="00DE1981" w:rsidRPr="00336F1A">
        <w:t xml:space="preserve">discovery of a number of </w:t>
      </w:r>
      <w:r w:rsidR="0008097A" w:rsidRPr="00336F1A">
        <w:t xml:space="preserve">so far unknown or uncommon metabolites, </w:t>
      </w:r>
      <w:r w:rsidR="000A18C0">
        <w:t>whose accumulation</w:t>
      </w:r>
      <w:r w:rsidR="0008097A" w:rsidRPr="00336F1A">
        <w:t xml:space="preserve"> seemed to be in part very</w:t>
      </w:r>
      <w:r w:rsidR="00DE1981" w:rsidRPr="00336F1A">
        <w:t xml:space="preserve"> specific for each interaction.</w:t>
      </w:r>
      <w:r w:rsidR="0008097A" w:rsidRPr="00336F1A">
        <w:t xml:space="preserve"> Furthermore, metabolite profil</w:t>
      </w:r>
      <w:r w:rsidR="00592AFD" w:rsidRPr="00336F1A">
        <w:t>es differed strongly depending</w:t>
      </w:r>
      <w:r w:rsidR="00336F1A" w:rsidRPr="00336F1A">
        <w:t xml:space="preserve"> on the life</w:t>
      </w:r>
      <w:r w:rsidR="0008097A" w:rsidRPr="00336F1A">
        <w:t>style of the infecting microbe.</w:t>
      </w:r>
      <w:r w:rsidR="00DE1981" w:rsidRPr="00336F1A">
        <w:t xml:space="preserve"> </w:t>
      </w:r>
      <w:r w:rsidR="0008097A" w:rsidRPr="00336F1A">
        <w:t xml:space="preserve">This work also shows that exogenously applied </w:t>
      </w:r>
      <w:r w:rsidR="008B0B27">
        <w:t>Pip</w:t>
      </w:r>
      <w:r w:rsidR="006B0405" w:rsidRPr="00336F1A">
        <w:t xml:space="preserve"> is able to induce resistance </w:t>
      </w:r>
      <w:r w:rsidR="0008097A" w:rsidRPr="00336F1A">
        <w:t xml:space="preserve">in Col-0 and </w:t>
      </w:r>
      <w:r w:rsidR="0008097A" w:rsidRPr="00336F1A">
        <w:rPr>
          <w:i/>
        </w:rPr>
        <w:t>ald1</w:t>
      </w:r>
      <w:r w:rsidR="0008097A" w:rsidRPr="00336F1A">
        <w:t xml:space="preserve"> </w:t>
      </w:r>
      <w:r w:rsidR="00A60D69" w:rsidRPr="00336F1A">
        <w:t xml:space="preserve">against the necrotrophic </w:t>
      </w:r>
      <w:r w:rsidR="006B0405" w:rsidRPr="00336F1A">
        <w:t xml:space="preserve">fungus </w:t>
      </w:r>
      <w:r w:rsidR="006B0405" w:rsidRPr="00336F1A">
        <w:rPr>
          <w:i/>
        </w:rPr>
        <w:t>B.</w:t>
      </w:r>
      <w:r w:rsidR="000E221F">
        <w:rPr>
          <w:i/>
        </w:rPr>
        <w:t xml:space="preserve"> </w:t>
      </w:r>
      <w:r w:rsidR="006B0405" w:rsidRPr="00336F1A">
        <w:rPr>
          <w:i/>
        </w:rPr>
        <w:t>cinerea</w:t>
      </w:r>
      <w:r w:rsidR="006B0405" w:rsidRPr="00336F1A">
        <w:t xml:space="preserve"> and the </w:t>
      </w:r>
      <w:r w:rsidR="00A60D69" w:rsidRPr="00336F1A">
        <w:t xml:space="preserve">biotrophic </w:t>
      </w:r>
      <w:r w:rsidR="006B0405" w:rsidRPr="00336F1A">
        <w:t xml:space="preserve">downy mildew </w:t>
      </w:r>
      <w:r w:rsidR="006B0405" w:rsidRPr="00336F1A">
        <w:rPr>
          <w:i/>
        </w:rPr>
        <w:t>H.</w:t>
      </w:r>
      <w:r w:rsidR="000E221F">
        <w:rPr>
          <w:i/>
        </w:rPr>
        <w:t xml:space="preserve"> </w:t>
      </w:r>
      <w:r w:rsidR="006B0405" w:rsidRPr="00336F1A">
        <w:rPr>
          <w:i/>
        </w:rPr>
        <w:t>arabidopsidis</w:t>
      </w:r>
      <w:r w:rsidR="006B0405" w:rsidRPr="00336F1A">
        <w:t xml:space="preserve">, but not the </w:t>
      </w:r>
      <w:r w:rsidR="00A60D69" w:rsidRPr="00336F1A">
        <w:t xml:space="preserve">biotrophic </w:t>
      </w:r>
      <w:r w:rsidR="006B0405" w:rsidRPr="00336F1A">
        <w:t xml:space="preserve">powdery mildew </w:t>
      </w:r>
      <w:r w:rsidR="006B0405" w:rsidRPr="00336F1A">
        <w:rPr>
          <w:i/>
        </w:rPr>
        <w:t>G.</w:t>
      </w:r>
      <w:r w:rsidR="000E221F">
        <w:rPr>
          <w:i/>
        </w:rPr>
        <w:t xml:space="preserve"> </w:t>
      </w:r>
      <w:r w:rsidR="006B0405" w:rsidRPr="00336F1A">
        <w:rPr>
          <w:i/>
        </w:rPr>
        <w:t>orontii</w:t>
      </w:r>
      <w:r w:rsidR="006B0405" w:rsidRPr="00336F1A">
        <w:t xml:space="preserve">. </w:t>
      </w:r>
    </w:p>
    <w:p w:rsidR="006B0405" w:rsidRDefault="006B0405" w:rsidP="006B0405">
      <w:pPr>
        <w:spacing w:line="360" w:lineRule="auto"/>
        <w:jc w:val="both"/>
        <w:rPr>
          <w:lang w:val="en-US"/>
        </w:rPr>
      </w:pPr>
    </w:p>
    <w:p w:rsidR="006B0405" w:rsidRDefault="006B0405" w:rsidP="006B0405">
      <w:pPr>
        <w:spacing w:line="360" w:lineRule="auto"/>
        <w:jc w:val="both"/>
        <w:rPr>
          <w:lang w:val="en-US"/>
        </w:rPr>
      </w:pPr>
    </w:p>
    <w:p w:rsidR="006B0405" w:rsidRDefault="006B0405" w:rsidP="006B0405">
      <w:pPr>
        <w:spacing w:line="360" w:lineRule="auto"/>
        <w:jc w:val="both"/>
        <w:rPr>
          <w:lang w:val="en-US"/>
        </w:rPr>
      </w:pPr>
    </w:p>
    <w:p w:rsidR="006B0405" w:rsidRDefault="006B0405" w:rsidP="006B0405">
      <w:pPr>
        <w:spacing w:line="360" w:lineRule="auto"/>
        <w:jc w:val="both"/>
        <w:rPr>
          <w:lang w:val="en-US"/>
        </w:rPr>
      </w:pPr>
    </w:p>
    <w:p w:rsidR="006B0405" w:rsidRDefault="006B0405" w:rsidP="006B0405">
      <w:pPr>
        <w:spacing w:line="360" w:lineRule="auto"/>
        <w:jc w:val="both"/>
        <w:rPr>
          <w:lang w:val="en-US"/>
        </w:rPr>
      </w:pPr>
    </w:p>
    <w:p w:rsidR="006B0405" w:rsidRDefault="006B0405" w:rsidP="006B0405">
      <w:pPr>
        <w:spacing w:line="360" w:lineRule="auto"/>
        <w:jc w:val="both"/>
        <w:rPr>
          <w:lang w:val="en-US"/>
        </w:rPr>
      </w:pPr>
    </w:p>
    <w:p w:rsidR="006B0405" w:rsidRPr="00CE0C49" w:rsidRDefault="00563EC1" w:rsidP="00CE0C49">
      <w:pPr>
        <w:pStyle w:val="berschrift1"/>
        <w:spacing w:after="240"/>
        <w:rPr>
          <w:color w:val="auto"/>
          <w:lang w:val="de-DE"/>
        </w:rPr>
      </w:pPr>
      <w:bookmarkStart w:id="7" w:name="_Toc435621201"/>
      <w:r>
        <w:rPr>
          <w:color w:val="auto"/>
          <w:lang w:val="de-DE"/>
        </w:rPr>
        <w:lastRenderedPageBreak/>
        <w:t xml:space="preserve">2 </w:t>
      </w:r>
      <w:r w:rsidR="006B0405" w:rsidRPr="00CE0C49">
        <w:rPr>
          <w:color w:val="auto"/>
          <w:lang w:val="de-DE"/>
        </w:rPr>
        <w:t>Zusammenfassung</w:t>
      </w:r>
      <w:bookmarkEnd w:id="7"/>
    </w:p>
    <w:p w:rsidR="006B0405" w:rsidRDefault="00054D02" w:rsidP="006B0405">
      <w:pPr>
        <w:spacing w:line="360" w:lineRule="auto"/>
        <w:jc w:val="both"/>
        <w:rPr>
          <w:lang w:val="de-DE"/>
        </w:rPr>
      </w:pPr>
      <w:r>
        <w:rPr>
          <w:lang w:val="de-DE"/>
        </w:rPr>
        <w:t xml:space="preserve">Pflanzen sind nicht nur in der Lage, sich </w:t>
      </w:r>
      <w:r w:rsidR="00B6274D">
        <w:rPr>
          <w:lang w:val="de-DE"/>
        </w:rPr>
        <w:t>in Folge eines Angriffs durch verschiedene</w:t>
      </w:r>
      <w:r>
        <w:rPr>
          <w:lang w:val="de-DE"/>
        </w:rPr>
        <w:t xml:space="preserve"> </w:t>
      </w:r>
      <w:r w:rsidR="00B6274D">
        <w:rPr>
          <w:lang w:val="de-DE"/>
        </w:rPr>
        <w:t>pathogene Mikroorganismen gegen diese</w:t>
      </w:r>
      <w:r>
        <w:rPr>
          <w:lang w:val="de-DE"/>
        </w:rPr>
        <w:t xml:space="preserve"> zu verteidigen, sie können auch einen lang anhaltenden Schutz a</w:t>
      </w:r>
      <w:r w:rsidR="008D155D">
        <w:rPr>
          <w:lang w:val="de-DE"/>
        </w:rPr>
        <w:t>ufbauen, der sich auf den gesamten</w:t>
      </w:r>
      <w:r>
        <w:rPr>
          <w:lang w:val="de-DE"/>
        </w:rPr>
        <w:t xml:space="preserve"> Pflanzenkörper erstreckt. Dieser Schutz wird als systemi</w:t>
      </w:r>
      <w:r w:rsidR="00B6274D">
        <w:rPr>
          <w:lang w:val="de-DE"/>
        </w:rPr>
        <w:t>s</w:t>
      </w:r>
      <w:r>
        <w:rPr>
          <w:lang w:val="de-DE"/>
        </w:rPr>
        <w:t>ch erworbene Resistenz (</w:t>
      </w:r>
      <w:r w:rsidR="00B45A76">
        <w:rPr>
          <w:lang w:val="de-DE"/>
        </w:rPr>
        <w:t xml:space="preserve">systemic acquired resistance; </w:t>
      </w:r>
      <w:r>
        <w:rPr>
          <w:lang w:val="de-DE"/>
        </w:rPr>
        <w:t xml:space="preserve">SAR) bezeichnet und rüstet die Pflanze gegen eine Vielfalt von Pathogenen. In dieser Arbeit wurden die Mechanismen des „defence priming“ und dessen Rolle in </w:t>
      </w:r>
      <w:r w:rsidR="00B6274D">
        <w:rPr>
          <w:lang w:val="de-DE"/>
        </w:rPr>
        <w:t xml:space="preserve">der </w:t>
      </w:r>
      <w:r>
        <w:rPr>
          <w:lang w:val="de-DE"/>
        </w:rPr>
        <w:t xml:space="preserve">SAR, sowie die </w:t>
      </w:r>
      <w:r w:rsidR="001960C5">
        <w:rPr>
          <w:lang w:val="de-DE"/>
        </w:rPr>
        <w:t>Bedeutung der Pipecolinsäure</w:t>
      </w:r>
      <w:r w:rsidR="00B6274D">
        <w:rPr>
          <w:lang w:val="de-DE"/>
        </w:rPr>
        <w:t xml:space="preserve"> (Pip) für dieses </w:t>
      </w:r>
      <w:r w:rsidR="001960C5">
        <w:rPr>
          <w:lang w:val="de-DE"/>
        </w:rPr>
        <w:t xml:space="preserve">priming und </w:t>
      </w:r>
      <w:r w:rsidR="00B6274D">
        <w:rPr>
          <w:lang w:val="de-DE"/>
        </w:rPr>
        <w:t>die pflanzliche Abwehr</w:t>
      </w:r>
      <w:r w:rsidR="001960C5">
        <w:rPr>
          <w:lang w:val="de-DE"/>
        </w:rPr>
        <w:t xml:space="preserve"> untersucht. Es wird gezeigt, dass </w:t>
      </w:r>
      <w:r w:rsidR="00B6274D">
        <w:rPr>
          <w:lang w:val="de-DE"/>
        </w:rPr>
        <w:t xml:space="preserve">die </w:t>
      </w:r>
      <w:r w:rsidR="00B6274D" w:rsidRPr="00B6274D">
        <w:rPr>
          <w:i/>
          <w:lang w:val="de-DE"/>
        </w:rPr>
        <w:t>ALD1</w:t>
      </w:r>
      <w:r w:rsidR="00B6274D">
        <w:rPr>
          <w:lang w:val="de-DE"/>
        </w:rPr>
        <w:t xml:space="preserve">-vermittelte </w:t>
      </w:r>
      <w:r w:rsidR="001960C5">
        <w:rPr>
          <w:lang w:val="de-DE"/>
        </w:rPr>
        <w:t xml:space="preserve">Akkumulation der nicht-proteinogenen Aminosäure Pip und ihre Aktivierung durch die Flavin-abhängige Monooxygenase FMO1 essentiell für „defence priming“ ist, da </w:t>
      </w:r>
      <w:r w:rsidR="00B6274D">
        <w:rPr>
          <w:lang w:val="de-DE"/>
        </w:rPr>
        <w:t>das P</w:t>
      </w:r>
      <w:r w:rsidR="001960C5">
        <w:rPr>
          <w:lang w:val="de-DE"/>
        </w:rPr>
        <w:t xml:space="preserve">riming der Genexpression in den Mutantenlinien </w:t>
      </w:r>
      <w:r w:rsidR="001960C5" w:rsidRPr="001960C5">
        <w:rPr>
          <w:i/>
          <w:lang w:val="de-DE"/>
        </w:rPr>
        <w:t>ald1</w:t>
      </w:r>
      <w:r w:rsidR="001960C5">
        <w:rPr>
          <w:lang w:val="de-DE"/>
        </w:rPr>
        <w:t xml:space="preserve"> und </w:t>
      </w:r>
      <w:r w:rsidR="001960C5" w:rsidRPr="001960C5">
        <w:rPr>
          <w:i/>
          <w:lang w:val="de-DE"/>
        </w:rPr>
        <w:t>fmo1</w:t>
      </w:r>
      <w:r w:rsidR="001960C5">
        <w:rPr>
          <w:lang w:val="de-DE"/>
        </w:rPr>
        <w:t xml:space="preserve"> </w:t>
      </w:r>
      <w:r w:rsidR="00B6274D">
        <w:rPr>
          <w:lang w:val="de-DE"/>
        </w:rPr>
        <w:t xml:space="preserve">fast komplett </w:t>
      </w:r>
      <w:r w:rsidR="001960C5">
        <w:rPr>
          <w:lang w:val="de-DE"/>
        </w:rPr>
        <w:t xml:space="preserve">ausbleibt. </w:t>
      </w:r>
      <w:r w:rsidR="00EF59F7">
        <w:rPr>
          <w:lang w:val="de-DE"/>
        </w:rPr>
        <w:t>Eine große Anzahl</w:t>
      </w:r>
      <w:r w:rsidR="00991B7D">
        <w:rPr>
          <w:lang w:val="de-DE"/>
        </w:rPr>
        <w:t xml:space="preserve"> der Gene</w:t>
      </w:r>
      <w:r w:rsidR="00B6274D">
        <w:rPr>
          <w:lang w:val="de-DE"/>
        </w:rPr>
        <w:t>, die Priming zeigten, erwies</w:t>
      </w:r>
      <w:r w:rsidR="00991B7D">
        <w:rPr>
          <w:lang w:val="de-DE"/>
        </w:rPr>
        <w:t xml:space="preserve"> sich </w:t>
      </w:r>
      <w:r w:rsidR="006A26EC">
        <w:rPr>
          <w:lang w:val="de-DE"/>
        </w:rPr>
        <w:t xml:space="preserve">in ihrer Expression </w:t>
      </w:r>
      <w:r w:rsidR="00991B7D">
        <w:rPr>
          <w:lang w:val="de-DE"/>
        </w:rPr>
        <w:t>als unabhängig von der Akkumulation von Sa</w:t>
      </w:r>
      <w:r w:rsidR="00336F1A">
        <w:rPr>
          <w:lang w:val="de-DE"/>
        </w:rPr>
        <w:t>l</w:t>
      </w:r>
      <w:r w:rsidR="00991B7D">
        <w:rPr>
          <w:lang w:val="de-DE"/>
        </w:rPr>
        <w:t xml:space="preserve">icylsäure </w:t>
      </w:r>
      <w:r w:rsidR="006A26EC">
        <w:rPr>
          <w:lang w:val="de-DE"/>
        </w:rPr>
        <w:t xml:space="preserve">(SA) </w:t>
      </w:r>
      <w:r w:rsidR="00991B7D">
        <w:rPr>
          <w:lang w:val="de-DE"/>
        </w:rPr>
        <w:t xml:space="preserve">und konnte außerdem den Kategorien „Detoxifizierung“, „Signalprozesse der Verteidigung“, „Aufbau von Verteidigungsrelevanten Metaboliten“, und „in Zellwand-Prozesse involviert“ zugeordnet werden. Außerdem konnte demonstriert werden, dass für ausgewählte </w:t>
      </w:r>
      <w:r w:rsidR="00476826">
        <w:rPr>
          <w:lang w:val="de-DE"/>
        </w:rPr>
        <w:t xml:space="preserve">SA-abhängige und –unabhängige </w:t>
      </w:r>
      <w:r w:rsidR="00991B7D">
        <w:rPr>
          <w:lang w:val="de-DE"/>
        </w:rPr>
        <w:t xml:space="preserve">Gene die Akkumulation </w:t>
      </w:r>
      <w:r w:rsidR="006A26EC">
        <w:rPr>
          <w:lang w:val="de-DE"/>
        </w:rPr>
        <w:t>von Pip</w:t>
      </w:r>
      <w:r w:rsidR="00991B7D">
        <w:rPr>
          <w:lang w:val="de-DE"/>
        </w:rPr>
        <w:t xml:space="preserve"> unerlässlich für </w:t>
      </w:r>
      <w:r w:rsidR="00336F1A">
        <w:rPr>
          <w:lang w:val="de-DE"/>
        </w:rPr>
        <w:t>geprimte Expression</w:t>
      </w:r>
      <w:r w:rsidR="00476826">
        <w:rPr>
          <w:lang w:val="de-DE"/>
        </w:rPr>
        <w:t xml:space="preserve"> ist. </w:t>
      </w:r>
      <w:r w:rsidR="00B9159F">
        <w:rPr>
          <w:lang w:val="de-DE"/>
        </w:rPr>
        <w:t>In eini</w:t>
      </w:r>
      <w:r w:rsidR="00336F1A">
        <w:rPr>
          <w:lang w:val="de-DE"/>
        </w:rPr>
        <w:t xml:space="preserve">gen </w:t>
      </w:r>
      <w:r w:rsidR="006A26EC">
        <w:rPr>
          <w:lang w:val="de-DE"/>
        </w:rPr>
        <w:t>Veröf</w:t>
      </w:r>
      <w:r w:rsidR="00B45A76">
        <w:rPr>
          <w:lang w:val="de-DE"/>
        </w:rPr>
        <w:t>fentlichungen wurde den Mitogen-</w:t>
      </w:r>
      <w:r w:rsidR="006A26EC">
        <w:rPr>
          <w:lang w:val="de-DE"/>
        </w:rPr>
        <w:t>aktivierten Protein (MAP)</w:t>
      </w:r>
      <w:r w:rsidR="00336F1A">
        <w:rPr>
          <w:lang w:val="de-DE"/>
        </w:rPr>
        <w:t xml:space="preserve"> K</w:t>
      </w:r>
      <w:r w:rsidR="00B9159F">
        <w:rPr>
          <w:lang w:val="de-DE"/>
        </w:rPr>
        <w:t xml:space="preserve">inase Signalkaskaden eine wichtige Rolle in </w:t>
      </w:r>
      <w:r w:rsidR="006A26EC">
        <w:rPr>
          <w:lang w:val="de-DE"/>
        </w:rPr>
        <w:t xml:space="preserve">der </w:t>
      </w:r>
      <w:r w:rsidR="00B9159F">
        <w:rPr>
          <w:lang w:val="de-DE"/>
        </w:rPr>
        <w:t>SAR und</w:t>
      </w:r>
      <w:r w:rsidR="006A26EC">
        <w:rPr>
          <w:lang w:val="de-DE"/>
        </w:rPr>
        <w:t xml:space="preserve"> im</w:t>
      </w:r>
      <w:r w:rsidR="00B9159F">
        <w:rPr>
          <w:lang w:val="de-DE"/>
        </w:rPr>
        <w:t xml:space="preserve"> Priming zugesprochen, jedoch </w:t>
      </w:r>
      <w:r w:rsidR="006A26EC">
        <w:rPr>
          <w:lang w:val="de-DE"/>
        </w:rPr>
        <w:t>zeigt diese</w:t>
      </w:r>
      <w:r w:rsidR="00B9159F">
        <w:rPr>
          <w:lang w:val="de-DE"/>
        </w:rPr>
        <w:t xml:space="preserve"> Ar</w:t>
      </w:r>
      <w:r w:rsidR="006A26EC">
        <w:rPr>
          <w:lang w:val="de-DE"/>
        </w:rPr>
        <w:t>beit</w:t>
      </w:r>
      <w:r w:rsidR="00B9159F">
        <w:rPr>
          <w:lang w:val="de-DE"/>
        </w:rPr>
        <w:t xml:space="preserve">, dass die Mutantenlinien </w:t>
      </w:r>
      <w:r w:rsidR="00B9159F" w:rsidRPr="00B9159F">
        <w:rPr>
          <w:i/>
          <w:lang w:val="de-DE"/>
        </w:rPr>
        <w:t>mpk3, mpk6</w:t>
      </w:r>
      <w:r w:rsidR="00B9159F">
        <w:rPr>
          <w:lang w:val="de-DE"/>
        </w:rPr>
        <w:t xml:space="preserve">, und </w:t>
      </w:r>
      <w:r w:rsidR="00B9159F" w:rsidRPr="00B9159F">
        <w:rPr>
          <w:i/>
          <w:lang w:val="de-DE"/>
        </w:rPr>
        <w:t>mpk3 mpk6</w:t>
      </w:r>
      <w:r w:rsidR="00B9159F">
        <w:rPr>
          <w:lang w:val="de-DE"/>
        </w:rPr>
        <w:t xml:space="preserve"> weder in der SAR-Antwort, der Pip-induzierten Resistenz</w:t>
      </w:r>
      <w:r w:rsidR="00B45A76">
        <w:rPr>
          <w:lang w:val="de-DE"/>
        </w:rPr>
        <w:t>,</w:t>
      </w:r>
      <w:r w:rsidR="00B9159F">
        <w:rPr>
          <w:lang w:val="de-DE"/>
        </w:rPr>
        <w:t xml:space="preserve"> oder der Primingantwort behindert sind, wenn sie mit </w:t>
      </w:r>
      <w:r w:rsidR="00B9159F" w:rsidRPr="00B9159F">
        <w:rPr>
          <w:i/>
          <w:lang w:val="de-DE"/>
        </w:rPr>
        <w:t>P. syringae</w:t>
      </w:r>
      <w:r w:rsidR="00B9159F">
        <w:rPr>
          <w:lang w:val="de-DE"/>
        </w:rPr>
        <w:t xml:space="preserve"> pv. </w:t>
      </w:r>
      <w:r w:rsidR="00B9159F" w:rsidRPr="00B9159F">
        <w:rPr>
          <w:i/>
          <w:lang w:val="de-DE"/>
        </w:rPr>
        <w:t>maculicola</w:t>
      </w:r>
      <w:r w:rsidR="00B9159F">
        <w:rPr>
          <w:lang w:val="de-DE"/>
        </w:rPr>
        <w:t xml:space="preserve"> Bakterien infiziert werden. Diese Dissertation liefert außerdem Beweise, dass Pip nicht nur nach Infektion mit Bakterien, sondern auch nach Infektion mit den Pilzen </w:t>
      </w:r>
      <w:r w:rsidR="00B9159F" w:rsidRPr="00B9159F">
        <w:rPr>
          <w:i/>
          <w:lang w:val="de-DE"/>
        </w:rPr>
        <w:t>B.</w:t>
      </w:r>
      <w:r w:rsidR="000E221F">
        <w:rPr>
          <w:i/>
          <w:lang w:val="de-DE"/>
        </w:rPr>
        <w:t xml:space="preserve"> </w:t>
      </w:r>
      <w:r w:rsidR="00B9159F" w:rsidRPr="00B9159F">
        <w:rPr>
          <w:i/>
          <w:lang w:val="de-DE"/>
        </w:rPr>
        <w:t>cinerea</w:t>
      </w:r>
      <w:r w:rsidR="00B9159F">
        <w:rPr>
          <w:lang w:val="de-DE"/>
        </w:rPr>
        <w:t xml:space="preserve"> und </w:t>
      </w:r>
      <w:r w:rsidR="00B9159F" w:rsidRPr="00B9159F">
        <w:rPr>
          <w:i/>
          <w:lang w:val="de-DE"/>
        </w:rPr>
        <w:t>G.</w:t>
      </w:r>
      <w:r w:rsidR="000E221F">
        <w:rPr>
          <w:i/>
          <w:lang w:val="de-DE"/>
        </w:rPr>
        <w:t xml:space="preserve"> </w:t>
      </w:r>
      <w:r w:rsidR="00B9159F" w:rsidRPr="00B9159F">
        <w:rPr>
          <w:i/>
          <w:lang w:val="de-DE"/>
        </w:rPr>
        <w:t>orontii</w:t>
      </w:r>
      <w:r w:rsidR="00B9159F">
        <w:rPr>
          <w:lang w:val="de-DE"/>
        </w:rPr>
        <w:t xml:space="preserve"> und dem Oomyceten </w:t>
      </w:r>
      <w:r w:rsidR="00B9159F" w:rsidRPr="00B9159F">
        <w:rPr>
          <w:i/>
          <w:lang w:val="de-DE"/>
        </w:rPr>
        <w:t>H.</w:t>
      </w:r>
      <w:r w:rsidR="000E221F">
        <w:rPr>
          <w:i/>
          <w:lang w:val="de-DE"/>
        </w:rPr>
        <w:t xml:space="preserve"> </w:t>
      </w:r>
      <w:r w:rsidR="00B9159F" w:rsidRPr="00B9159F">
        <w:rPr>
          <w:i/>
          <w:lang w:val="de-DE"/>
        </w:rPr>
        <w:t>arabidopsidis</w:t>
      </w:r>
      <w:r w:rsidR="00B9159F">
        <w:rPr>
          <w:lang w:val="de-DE"/>
        </w:rPr>
        <w:t xml:space="preserve"> in infizierten Blättern akkumuliert. Pipecolinsäure ist ebenfalls fähig, Verteidigungsmechanismen gegen </w:t>
      </w:r>
      <w:r w:rsidR="00B9159F" w:rsidRPr="00B9159F">
        <w:rPr>
          <w:i/>
          <w:lang w:val="de-DE"/>
        </w:rPr>
        <w:t>B.</w:t>
      </w:r>
      <w:r w:rsidR="000E221F">
        <w:rPr>
          <w:i/>
          <w:lang w:val="de-DE"/>
        </w:rPr>
        <w:t xml:space="preserve"> </w:t>
      </w:r>
      <w:r w:rsidR="00B9159F" w:rsidRPr="00B9159F">
        <w:rPr>
          <w:i/>
          <w:lang w:val="de-DE"/>
        </w:rPr>
        <w:t>cinerea</w:t>
      </w:r>
      <w:r w:rsidR="00B9159F">
        <w:rPr>
          <w:lang w:val="de-DE"/>
        </w:rPr>
        <w:t xml:space="preserve"> und </w:t>
      </w:r>
      <w:r w:rsidR="00B9159F" w:rsidRPr="00B9159F">
        <w:rPr>
          <w:i/>
          <w:lang w:val="de-DE"/>
        </w:rPr>
        <w:t>H.</w:t>
      </w:r>
      <w:r w:rsidR="000E221F">
        <w:rPr>
          <w:i/>
          <w:lang w:val="de-DE"/>
        </w:rPr>
        <w:t xml:space="preserve"> </w:t>
      </w:r>
      <w:r w:rsidR="00B9159F" w:rsidRPr="00B9159F">
        <w:rPr>
          <w:i/>
          <w:lang w:val="de-DE"/>
        </w:rPr>
        <w:t>arabidopsidis</w:t>
      </w:r>
      <w:r w:rsidR="00B9159F">
        <w:rPr>
          <w:lang w:val="de-DE"/>
        </w:rPr>
        <w:t xml:space="preserve">, jedoch nicht gegen </w:t>
      </w:r>
      <w:r w:rsidR="00B9159F" w:rsidRPr="00B9159F">
        <w:rPr>
          <w:i/>
          <w:lang w:val="de-DE"/>
        </w:rPr>
        <w:t>G.</w:t>
      </w:r>
      <w:r w:rsidR="000E221F">
        <w:rPr>
          <w:i/>
          <w:lang w:val="de-DE"/>
        </w:rPr>
        <w:t xml:space="preserve"> </w:t>
      </w:r>
      <w:r w:rsidR="00B9159F" w:rsidRPr="00B9159F">
        <w:rPr>
          <w:i/>
          <w:lang w:val="de-DE"/>
        </w:rPr>
        <w:t>orontii</w:t>
      </w:r>
      <w:r w:rsidR="0047482A">
        <w:rPr>
          <w:i/>
          <w:lang w:val="de-DE"/>
        </w:rPr>
        <w:t>,</w:t>
      </w:r>
      <w:r w:rsidR="00B9159F">
        <w:rPr>
          <w:lang w:val="de-DE"/>
        </w:rPr>
        <w:t xml:space="preserve"> zu aktivieren. Metabolitenanalysen nach Infektion von </w:t>
      </w:r>
      <w:r w:rsidR="00B9159F" w:rsidRPr="0047482A">
        <w:rPr>
          <w:i/>
          <w:lang w:val="de-DE"/>
        </w:rPr>
        <w:t>Arabidopsis</w:t>
      </w:r>
      <w:r w:rsidR="00B9159F">
        <w:rPr>
          <w:lang w:val="de-DE"/>
        </w:rPr>
        <w:t xml:space="preserve"> Pflanzen mit diesen Pathogenen </w:t>
      </w:r>
      <w:r w:rsidR="00322EBA">
        <w:rPr>
          <w:lang w:val="de-DE"/>
        </w:rPr>
        <w:t xml:space="preserve">führte zur Entdeckung teils unbekannter Metabolite, deren Akkumulation </w:t>
      </w:r>
      <w:r w:rsidR="0047482A">
        <w:rPr>
          <w:lang w:val="de-DE"/>
        </w:rPr>
        <w:t>relativ</w:t>
      </w:r>
      <w:r w:rsidR="00322EBA">
        <w:rPr>
          <w:lang w:val="de-DE"/>
        </w:rPr>
        <w:t xml:space="preserve"> spezifisch für die einzelnen Interaktionen schien</w:t>
      </w:r>
      <w:r w:rsidR="0047482A">
        <w:rPr>
          <w:lang w:val="de-DE"/>
        </w:rPr>
        <w:t>en</w:t>
      </w:r>
      <w:r w:rsidR="00322EBA">
        <w:rPr>
          <w:lang w:val="de-DE"/>
        </w:rPr>
        <w:t>. Auch ist das Profil der Metabolitenakkumulation stark abhängig vom</w:t>
      </w:r>
      <w:r w:rsidR="0047482A">
        <w:rPr>
          <w:lang w:val="de-DE"/>
        </w:rPr>
        <w:t xml:space="preserve"> Lebensstil des infizierenden Mikroo</w:t>
      </w:r>
      <w:r w:rsidR="00322EBA">
        <w:rPr>
          <w:lang w:val="de-DE"/>
        </w:rPr>
        <w:t>rganismus.</w:t>
      </w:r>
    </w:p>
    <w:p w:rsidR="00322EBA" w:rsidRDefault="00322EBA" w:rsidP="006B0405">
      <w:pPr>
        <w:spacing w:line="360" w:lineRule="auto"/>
        <w:jc w:val="both"/>
        <w:rPr>
          <w:lang w:val="de-DE"/>
        </w:rPr>
      </w:pPr>
    </w:p>
    <w:p w:rsidR="00B517AA" w:rsidRDefault="00B517AA" w:rsidP="006B0405">
      <w:pPr>
        <w:spacing w:line="360" w:lineRule="auto"/>
        <w:jc w:val="both"/>
        <w:rPr>
          <w:lang w:val="de-DE"/>
        </w:rPr>
        <w:sectPr w:rsidR="00B517AA" w:rsidSect="009608E1">
          <w:headerReference w:type="default" r:id="rId11"/>
          <w:type w:val="continuous"/>
          <w:pgSz w:w="11906" w:h="16838"/>
          <w:pgMar w:top="1417" w:right="1417" w:bottom="1134" w:left="1417" w:header="708" w:footer="708" w:gutter="0"/>
          <w:cols w:space="708"/>
          <w:titlePg/>
          <w:docGrid w:linePitch="360"/>
        </w:sectPr>
      </w:pPr>
    </w:p>
    <w:p w:rsidR="006B0405" w:rsidRDefault="006B0405" w:rsidP="006B0405">
      <w:pPr>
        <w:spacing w:line="360" w:lineRule="auto"/>
        <w:jc w:val="both"/>
        <w:rPr>
          <w:lang w:val="de-DE"/>
        </w:rPr>
      </w:pPr>
    </w:p>
    <w:bookmarkStart w:id="8" w:name="_Toc435621202"/>
    <w:p w:rsidR="006B0405" w:rsidRPr="00CE0C49" w:rsidRDefault="002824C9" w:rsidP="00CE0C49">
      <w:pPr>
        <w:pStyle w:val="berschrift1"/>
        <w:spacing w:after="240"/>
        <w:rPr>
          <w:color w:val="auto"/>
        </w:rPr>
      </w:pPr>
      <w:r>
        <w:rPr>
          <w:noProof/>
          <w:color w:val="auto"/>
          <w:lang w:val="de-DE" w:eastAsia="de-DE"/>
        </w:rPr>
        <w:lastRenderedPageBreak/>
        <mc:AlternateContent>
          <mc:Choice Requires="wps">
            <w:drawing>
              <wp:anchor distT="0" distB="0" distL="114300" distR="114300" simplePos="0" relativeHeight="251713536" behindDoc="0" locked="0" layoutInCell="1" allowOverlap="1" wp14:anchorId="0A16F97B" wp14:editId="2E6D9882">
                <wp:simplePos x="0" y="0"/>
                <wp:positionH relativeFrom="column">
                  <wp:posOffset>-118745</wp:posOffset>
                </wp:positionH>
                <wp:positionV relativeFrom="paragraph">
                  <wp:posOffset>-566420</wp:posOffset>
                </wp:positionV>
                <wp:extent cx="3390900" cy="428625"/>
                <wp:effectExtent l="0" t="0" r="19050" b="28575"/>
                <wp:wrapNone/>
                <wp:docPr id="47" name="Rechteck 47"/>
                <wp:cNvGraphicFramePr/>
                <a:graphic xmlns:a="http://schemas.openxmlformats.org/drawingml/2006/main">
                  <a:graphicData uri="http://schemas.microsoft.com/office/word/2010/wordprocessingShape">
                    <wps:wsp>
                      <wps:cNvSpPr/>
                      <wps:spPr>
                        <a:xfrm>
                          <a:off x="0" y="0"/>
                          <a:ext cx="3390900" cy="42862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hteck 47" o:spid="_x0000_s1026" style="position:absolute;margin-left:-9.35pt;margin-top:-44.6pt;width:267pt;height:33.75pt;z-index:2517135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" fillcolor="white [3212]" strokecolor="white [3212]" strokeweight="2pt"/>
            </w:pict>
          </mc:Fallback>
        </mc:AlternateContent>
      </w:r>
      <w:r w:rsidR="00563EC1">
        <w:rPr>
          <w:color w:val="auto"/>
        </w:rPr>
        <w:t xml:space="preserve">3 </w:t>
      </w:r>
      <w:r w:rsidR="006B0405" w:rsidRPr="00CE0C49">
        <w:rPr>
          <w:color w:val="auto"/>
        </w:rPr>
        <w:t>Introduction</w:t>
      </w:r>
      <w:bookmarkEnd w:id="8"/>
    </w:p>
    <w:p w:rsidR="006B0405" w:rsidRPr="00B2023F" w:rsidRDefault="00563EC1" w:rsidP="00B2023F">
      <w:pPr>
        <w:pStyle w:val="berschrift2"/>
        <w:spacing w:after="240"/>
        <w:rPr>
          <w:color w:val="auto"/>
        </w:rPr>
      </w:pPr>
      <w:bookmarkStart w:id="9" w:name="_Toc435621203"/>
      <w:r>
        <w:rPr>
          <w:color w:val="auto"/>
        </w:rPr>
        <w:t xml:space="preserve">3.1 </w:t>
      </w:r>
      <w:r w:rsidR="00F865A3">
        <w:rPr>
          <w:color w:val="auto"/>
        </w:rPr>
        <w:t>Plant life –</w:t>
      </w:r>
      <w:r w:rsidR="006B0405" w:rsidRPr="00B2023F">
        <w:rPr>
          <w:color w:val="auto"/>
        </w:rPr>
        <w:t>surviving in an adverse environment</w:t>
      </w:r>
      <w:bookmarkEnd w:id="9"/>
    </w:p>
    <w:p w:rsidR="00882CD1" w:rsidRDefault="006B0405" w:rsidP="00882CD1">
      <w:pPr>
        <w:spacing w:after="0" w:line="360" w:lineRule="auto"/>
        <w:jc w:val="both"/>
      </w:pPr>
      <w:r w:rsidRPr="006B0405">
        <w:t xml:space="preserve">Plants are </w:t>
      </w:r>
      <w:r w:rsidR="00B45A76">
        <w:t xml:space="preserve">very important </w:t>
      </w:r>
      <w:r w:rsidRPr="006B0405">
        <w:t>life-form</w:t>
      </w:r>
      <w:r w:rsidR="00407BBF">
        <w:t>s</w:t>
      </w:r>
      <w:r w:rsidRPr="006B0405">
        <w:t xml:space="preserve"> on our planet, converting energy from the sun into chemical energy and thus representing a fundamental food source for humans and animals alike. As sessile </w:t>
      </w:r>
      <w:r w:rsidR="00FF4E23">
        <w:t>organisms, they</w:t>
      </w:r>
      <w:r w:rsidRPr="006B0405">
        <w:t xml:space="preserve"> are subject to a great number of environmental influences, </w:t>
      </w:r>
      <w:r w:rsidR="00B45A76">
        <w:t>including abiotic factors</w:t>
      </w:r>
      <w:r w:rsidRPr="006B0405">
        <w:t xml:space="preserve"> </w:t>
      </w:r>
      <w:r w:rsidR="00F865A3">
        <w:t>–</w:t>
      </w:r>
      <w:r w:rsidRPr="006B0405">
        <w:t>li</w:t>
      </w:r>
      <w:r w:rsidR="00F865A3">
        <w:t>ke light and water availability–</w:t>
      </w:r>
      <w:r w:rsidR="00B45A76">
        <w:t xml:space="preserve"> and biotic factors</w:t>
      </w:r>
      <w:r w:rsidRPr="006B0405">
        <w:t xml:space="preserve"> </w:t>
      </w:r>
      <w:r w:rsidR="00F865A3">
        <w:t>–</w:t>
      </w:r>
      <w:r w:rsidRPr="006B0405">
        <w:t>for example interactions with insects and microbes in the soil. Because plants are not able to flee in case of danger, they have evolved a complex system to per</w:t>
      </w:r>
      <w:r w:rsidR="00923992">
        <w:t>ceive possible sources of peril</w:t>
      </w:r>
      <w:r w:rsidRPr="006B0405">
        <w:t xml:space="preserve"> and are by no means defenceless in the event of an attack. Upon closer inspection of a plant´s environment, it is surprising that desp</w:t>
      </w:r>
      <w:r w:rsidR="00F93B99">
        <w:t>ite being surrounded by a multitude</w:t>
      </w:r>
      <w:r w:rsidRPr="006B0405">
        <w:t xml:space="preserve"> of different microbe species, only a very small number of these microbes are pathogenic towards plants and able to use the plants´ resources for their own </w:t>
      </w:r>
      <w:r w:rsidR="00407BBF">
        <w:t>benefit</w:t>
      </w:r>
      <w:r w:rsidRPr="006B0405">
        <w:t xml:space="preserve">. This is due to structural and chemical </w:t>
      </w:r>
      <w:r w:rsidR="00407BBF">
        <w:t xml:space="preserve">defence </w:t>
      </w:r>
      <w:r w:rsidRPr="006B0405">
        <w:t xml:space="preserve">features of plants that a pathogen has to </w:t>
      </w:r>
      <w:r w:rsidR="00407BBF">
        <w:t xml:space="preserve">overcome and </w:t>
      </w:r>
      <w:r w:rsidRPr="006B0405">
        <w:t>ada</w:t>
      </w:r>
      <w:r w:rsidR="002D706C">
        <w:t xml:space="preserve">pt </w:t>
      </w:r>
      <w:r w:rsidR="00407BBF">
        <w:t>to</w:t>
      </w:r>
      <w:r w:rsidRPr="006B0405">
        <w:t>. Structural</w:t>
      </w:r>
      <w:r w:rsidR="00FF4E23">
        <w:t>, or preformed,</w:t>
      </w:r>
      <w:r w:rsidRPr="006B0405">
        <w:t xml:space="preserve"> barriers include trichomes on stem and leaves of the plant</w:t>
      </w:r>
      <w:r w:rsidR="0001471F">
        <w:t>, antimicrobial enzymes, secondary metabolites, and</w:t>
      </w:r>
      <w:r w:rsidRPr="006B0405">
        <w:t xml:space="preserve"> the</w:t>
      </w:r>
      <w:r w:rsidR="00FF4E23">
        <w:t xml:space="preserve"> presence of a distinct cuticle</w:t>
      </w:r>
      <w:r w:rsidRPr="006B0405">
        <w:t>, a layer of wax on aerial parts of the plant</w:t>
      </w:r>
      <w:r w:rsidR="00F93B99">
        <w:t>,</w:t>
      </w:r>
      <w:r w:rsidR="00407BBF">
        <w:t xml:space="preserve"> and </w:t>
      </w:r>
      <w:r w:rsidR="00F93B99">
        <w:t>additionally</w:t>
      </w:r>
      <w:r w:rsidR="00407BBF">
        <w:t xml:space="preserve"> plant cells</w:t>
      </w:r>
      <w:r w:rsidR="0001471F">
        <w:t xml:space="preserve"> can be reinforced with callose </w:t>
      </w:r>
      <w:r w:rsidR="0001471F" w:rsidRPr="006B0405">
        <w:t>(Thordal-Christensen, 2003;</w:t>
      </w:r>
      <w:r w:rsidR="0001471F" w:rsidRPr="006905C2">
        <w:t xml:space="preserve"> Spoel and Dong, 2012</w:t>
      </w:r>
      <w:r w:rsidR="0001471F">
        <w:t>;</w:t>
      </w:r>
      <w:r w:rsidR="0001471F" w:rsidRPr="006B0405">
        <w:t xml:space="preserve"> Figure 1)</w:t>
      </w:r>
      <w:r w:rsidR="0077745C">
        <w:t xml:space="preserve">. </w:t>
      </w:r>
      <w:r w:rsidR="00F93B99">
        <w:t>T</w:t>
      </w:r>
      <w:r w:rsidRPr="006B0405">
        <w:t>hese structural barriers are mostly directed against insect and herbivore threats</w:t>
      </w:r>
      <w:r w:rsidR="007D21E2">
        <w:t xml:space="preserve"> to the aerial parts of plants</w:t>
      </w:r>
      <w:r w:rsidR="00F93B99">
        <w:t>, but can also be effective against microbial pathogens</w:t>
      </w:r>
      <w:r w:rsidR="007D21E2">
        <w:t>.</w:t>
      </w:r>
      <w:r w:rsidR="00301015">
        <w:t xml:space="preserve"> </w:t>
      </w:r>
      <w:r w:rsidRPr="006B0405">
        <w:t>For a number of pathogens it was shown previously that they need to detect particular components in the com</w:t>
      </w:r>
      <w:r w:rsidR="00C46F73">
        <w:t>position of the plant cuticle</w:t>
      </w:r>
      <w:r w:rsidRPr="006B0405">
        <w:t xml:space="preserve"> to recognize their host. If they fail to </w:t>
      </w:r>
      <w:r w:rsidR="00C46F73">
        <w:t>perceive plant chemical or topographical cues and thus do not differentiate, plant colonisation is not possible</w:t>
      </w:r>
      <w:r w:rsidRPr="006B0405">
        <w:t xml:space="preserve"> (Thordal-Christensen, 2003; Figure 1). For example, the barley pathogen </w:t>
      </w:r>
      <w:r w:rsidRPr="006B0405">
        <w:rPr>
          <w:i/>
        </w:rPr>
        <w:t>Blumeria graminis</w:t>
      </w:r>
      <w:r w:rsidRPr="006B0405">
        <w:t xml:space="preserve">, a fungus that can also infect maize, detects its host by the presence of very-long-chain aldehydes in cuticular waxes and is not able to infect mutated maize plants with these aldehydes missing (Hansjakob </w:t>
      </w:r>
      <w:r w:rsidRPr="006B0405">
        <w:rPr>
          <w:i/>
        </w:rPr>
        <w:t>et al</w:t>
      </w:r>
      <w:r w:rsidR="00284518">
        <w:t>., 201</w:t>
      </w:r>
      <w:r w:rsidR="00C03F24">
        <w:t>1).</w:t>
      </w:r>
      <w:r w:rsidR="00431343">
        <w:t xml:space="preserve"> </w:t>
      </w:r>
      <w:r w:rsidR="0077745C">
        <w:t>In addition to preformed barriers, active defence responses can also be induced upon perception of a possible threat. Plants</w:t>
      </w:r>
      <w:r w:rsidRPr="006B0405">
        <w:t xml:space="preserve"> are able to recognize microbial elicitors, for e</w:t>
      </w:r>
      <w:r w:rsidR="008E5E90">
        <w:t>xample peptidoglyc</w:t>
      </w:r>
      <w:r w:rsidRPr="006B0405">
        <w:t>an, lipopolysaccharides, chitin and bacterial flagellin (Spoel and Dong, 201</w:t>
      </w:r>
      <w:r w:rsidR="00A47C18">
        <w:t xml:space="preserve">2). Recognition of these </w:t>
      </w:r>
      <w:r w:rsidRPr="00A47C18">
        <w:t>m</w:t>
      </w:r>
      <w:r w:rsidRPr="006B0405">
        <w:t>icrobe-</w:t>
      </w:r>
      <w:r w:rsidRPr="00A47C18">
        <w:t>a</w:t>
      </w:r>
      <w:r w:rsidRPr="006B0405">
        <w:t xml:space="preserve">ssociated </w:t>
      </w:r>
      <w:r w:rsidRPr="00A47C18">
        <w:t>m</w:t>
      </w:r>
      <w:r w:rsidRPr="006B0405">
        <w:t xml:space="preserve">olecular </w:t>
      </w:r>
      <w:r w:rsidRPr="00A47C18">
        <w:t>p</w:t>
      </w:r>
      <w:r w:rsidR="00A47C18">
        <w:t>atterns (MAMPs)</w:t>
      </w:r>
      <w:r w:rsidRPr="006B0405">
        <w:t xml:space="preserve"> by pattern recognition receptors (PRRs) induces pattern-triggered immunity (PTI)</w:t>
      </w:r>
      <w:r w:rsidR="00A9696C">
        <w:t>,</w:t>
      </w:r>
      <w:r w:rsidRPr="006B0405">
        <w:t xml:space="preserve"> which can be </w:t>
      </w:r>
      <w:r w:rsidR="00C03F24">
        <w:t>elicited</w:t>
      </w:r>
      <w:r w:rsidRPr="006B0405">
        <w:t xml:space="preserve"> by nonhost and host pathogens </w:t>
      </w:r>
      <w:r w:rsidR="00A47C18">
        <w:t xml:space="preserve">alike </w:t>
      </w:r>
      <w:r w:rsidRPr="006B0405">
        <w:t xml:space="preserve">and is distinguished by a medium-strong defence reaction of the plant (Thordal-Christensen, 2003; Jones and Dangl, 2006; Spoel and Dong, 2012; Figure 2; Figure 3). </w:t>
      </w:r>
      <w:r w:rsidR="00A9696C">
        <w:t>A number of</w:t>
      </w:r>
      <w:r w:rsidR="00A9696C" w:rsidRPr="00A47C18">
        <w:t xml:space="preserve"> biotrophic pathogens have to establish close intera</w:t>
      </w:r>
      <w:r w:rsidR="00A9696C">
        <w:t>ctions with plant cells to gain nutrients and have to be</w:t>
      </w:r>
      <w:r w:rsidR="00A9696C" w:rsidRPr="00A47C18">
        <w:t xml:space="preserve"> able to</w:t>
      </w:r>
      <w:r w:rsidR="00A9696C">
        <w:t xml:space="preserve"> repress these plant defence reactions in order to</w:t>
      </w:r>
      <w:r w:rsidR="00A9696C" w:rsidRPr="00A47C18">
        <w:t xml:space="preserve"> survive (Figure 1).</w:t>
      </w:r>
    </w:p>
    <w:p w:rsidR="006B0405" w:rsidRDefault="006B0405" w:rsidP="00882CD1">
      <w:pPr>
        <w:spacing w:after="0" w:line="360" w:lineRule="auto"/>
        <w:jc w:val="both"/>
      </w:pPr>
      <w:r w:rsidRPr="006B0405">
        <w:rPr>
          <w:noProof/>
          <w:lang w:val="de-DE" w:eastAsia="de-DE"/>
        </w:rPr>
        <w:lastRenderedPageBreak/>
        <w:drawing>
          <wp:anchor distT="0" distB="0" distL="114300" distR="114300" simplePos="0" relativeHeight="251660288" behindDoc="0" locked="0" layoutInCell="1" allowOverlap="1" wp14:anchorId="7B31C550" wp14:editId="3F6B8280">
            <wp:simplePos x="0" y="0"/>
            <wp:positionH relativeFrom="page">
              <wp:align>center</wp:align>
            </wp:positionH>
            <wp:positionV relativeFrom="paragraph">
              <wp:posOffset>-4445</wp:posOffset>
            </wp:positionV>
            <wp:extent cx="2962800" cy="4680000"/>
            <wp:effectExtent l="19050" t="19050" r="28575" b="25400"/>
            <wp:wrapTopAndBottom/>
            <wp:docPr id="11"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rriers for pathogens_Thordal-Christensen2003.png"/>
                    <pic:cNvPicPr/>
                  </pic:nvPicPr>
                  <pic:blipFill rotWithShape="1">
                    <a:blip r:embed="rId12">
                      <a:extLst>
                        <a:ext uri="{28A0092B-C50C-407E-A947-70E740481C1C}">
                          <a14:useLocalDpi xmlns:a14="http://schemas.microsoft.com/office/drawing/2010/main" val="0"/>
                        </a:ext>
                      </a:extLst>
                    </a:blip>
                    <a:srcRect b="2387"/>
                    <a:stretch/>
                  </pic:blipFill>
                  <pic:spPr bwMode="auto">
                    <a:xfrm>
                      <a:off x="0" y="0"/>
                      <a:ext cx="2962800" cy="4680000"/>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D94965" w:rsidRPr="00EB4CFA" w:rsidRDefault="006B0405" w:rsidP="0029491B">
      <w:pPr>
        <w:pStyle w:val="Beschriftung"/>
        <w:spacing w:after="0" w:line="360" w:lineRule="auto"/>
        <w:jc w:val="both"/>
        <w:rPr>
          <w:color w:val="auto"/>
          <w:lang w:val="en-US"/>
        </w:rPr>
      </w:pPr>
      <w:bookmarkStart w:id="10" w:name="_Toc435621119"/>
      <w:proofErr w:type="gramStart"/>
      <w:r w:rsidRPr="00EB4CFA">
        <w:rPr>
          <w:color w:val="auto"/>
        </w:rPr>
        <w:t xml:space="preserve">Figure </w:t>
      </w:r>
      <w:r w:rsidRPr="00EB4CFA">
        <w:rPr>
          <w:color w:val="auto"/>
        </w:rPr>
        <w:fldChar w:fldCharType="begin"/>
      </w:r>
      <w:r w:rsidRPr="00EB4CFA">
        <w:rPr>
          <w:color w:val="auto"/>
        </w:rPr>
        <w:instrText xml:space="preserve"> SEQ Figure \* ARABIC </w:instrText>
      </w:r>
      <w:r w:rsidRPr="00EB4CFA">
        <w:rPr>
          <w:color w:val="auto"/>
        </w:rPr>
        <w:fldChar w:fldCharType="separate"/>
      </w:r>
      <w:r w:rsidR="00CB17FE">
        <w:rPr>
          <w:noProof/>
          <w:color w:val="auto"/>
        </w:rPr>
        <w:t>1</w:t>
      </w:r>
      <w:r w:rsidRPr="00EB4CFA">
        <w:rPr>
          <w:color w:val="auto"/>
        </w:rPr>
        <w:fldChar w:fldCharType="end"/>
      </w:r>
      <w:r w:rsidR="0089676C">
        <w:rPr>
          <w:color w:val="auto"/>
        </w:rPr>
        <w:t>.</w:t>
      </w:r>
      <w:proofErr w:type="gramEnd"/>
      <w:r w:rsidRPr="00EB4CFA">
        <w:rPr>
          <w:color w:val="auto"/>
        </w:rPr>
        <w:t xml:space="preserve"> </w:t>
      </w:r>
      <w:r w:rsidRPr="00EB4CFA">
        <w:rPr>
          <w:color w:val="auto"/>
          <w:lang w:val="en-US"/>
        </w:rPr>
        <w:t>Schematic overview of challenges a pathogen has to overcome to cause plant infection.</w:t>
      </w:r>
      <w:bookmarkEnd w:id="10"/>
      <w:r w:rsidRPr="00EB4CFA">
        <w:rPr>
          <w:color w:val="auto"/>
          <w:lang w:val="en-US"/>
        </w:rPr>
        <w:t xml:space="preserve"> </w:t>
      </w:r>
    </w:p>
    <w:p w:rsidR="00D94965" w:rsidRPr="00EB4CFA" w:rsidRDefault="00CF2C67" w:rsidP="00D94965">
      <w:pPr>
        <w:pStyle w:val="Beschriftung"/>
        <w:spacing w:after="0"/>
        <w:jc w:val="both"/>
        <w:rPr>
          <w:b w:val="0"/>
          <w:color w:val="auto"/>
        </w:rPr>
      </w:pPr>
      <w:r w:rsidRPr="00EB4CFA">
        <w:rPr>
          <w:b w:val="0"/>
          <w:color w:val="auto"/>
          <w:lang w:val="en-US"/>
        </w:rPr>
        <w:t xml:space="preserve">In order to infect a plant, the attacking microbe has to overcome different layers </w:t>
      </w:r>
      <w:r w:rsidR="001D06E3" w:rsidRPr="00EB4CFA">
        <w:rPr>
          <w:b w:val="0"/>
          <w:color w:val="auto"/>
          <w:lang w:val="en-US"/>
        </w:rPr>
        <w:t>of preformed and inducible plant resistance mechanisms (</w:t>
      </w:r>
      <w:r w:rsidR="00D94965" w:rsidRPr="00EB4CFA">
        <w:rPr>
          <w:b w:val="0"/>
          <w:color w:val="auto"/>
          <w:lang w:val="en-US"/>
        </w:rPr>
        <w:t>Thordal-Christensen, 2003</w:t>
      </w:r>
      <w:r w:rsidR="001D06E3" w:rsidRPr="00EB4CFA">
        <w:rPr>
          <w:b w:val="0"/>
          <w:color w:val="auto"/>
          <w:lang w:val="en-US"/>
        </w:rPr>
        <w:t>)</w:t>
      </w:r>
      <w:r w:rsidR="00D94965" w:rsidRPr="00EB4CFA">
        <w:rPr>
          <w:b w:val="0"/>
          <w:color w:val="auto"/>
          <w:lang w:val="en-US"/>
        </w:rPr>
        <w:t>.</w:t>
      </w:r>
    </w:p>
    <w:p w:rsidR="006B0405" w:rsidRDefault="006B0405" w:rsidP="00F051AC">
      <w:pPr>
        <w:pStyle w:val="Beschriftung"/>
        <w:spacing w:after="0"/>
        <w:jc w:val="both"/>
        <w:rPr>
          <w:color w:val="auto"/>
          <w:sz w:val="16"/>
          <w:szCs w:val="16"/>
          <w:lang w:val="en-US"/>
        </w:rPr>
      </w:pPr>
    </w:p>
    <w:p w:rsidR="006B0405" w:rsidRPr="006B0405" w:rsidRDefault="006B0405" w:rsidP="006B0405">
      <w:pPr>
        <w:spacing w:line="360" w:lineRule="auto"/>
        <w:jc w:val="both"/>
      </w:pPr>
      <w:r w:rsidRPr="006B0405">
        <w:t xml:space="preserve">To be able to overcome PTI, pathogens deliver effectors into plant cells to suppress defence reactions. In the course of co-evolution, plants have developed intracellular immune receptors, so called R proteins, that are able to recognize </w:t>
      </w:r>
      <w:r w:rsidR="00BD29A6">
        <w:t xml:space="preserve">these </w:t>
      </w:r>
      <w:r w:rsidRPr="006B0405">
        <w:t xml:space="preserve">effectors and </w:t>
      </w:r>
      <w:r w:rsidR="00416B4B">
        <w:t>initiate defence responses</w:t>
      </w:r>
      <w:r w:rsidRPr="006B0405">
        <w:t xml:space="preserve"> (Thordal-Christensen, 2003; Jones and Dangl, 2006</w:t>
      </w:r>
      <w:r w:rsidR="00FC687E">
        <w:t>;</w:t>
      </w:r>
      <w:r w:rsidR="00FC687E" w:rsidRPr="00FC687E">
        <w:t xml:space="preserve"> Spoel and Dong, 2012</w:t>
      </w:r>
      <w:r w:rsidRPr="006B0405">
        <w:t>). Detection</w:t>
      </w:r>
      <w:r w:rsidR="00416B4B">
        <w:t xml:space="preserve"> of bacterial effectors by</w:t>
      </w:r>
      <w:r w:rsidRPr="006B0405">
        <w:t xml:space="preserve"> </w:t>
      </w:r>
      <w:r w:rsidR="00F865A3">
        <w:t>these “</w:t>
      </w:r>
      <w:r w:rsidRPr="006B0405">
        <w:t>avirulence</w:t>
      </w:r>
      <w:r w:rsidR="00F865A3">
        <w:t>”</w:t>
      </w:r>
      <w:r w:rsidRPr="006B0405">
        <w:t xml:space="preserve"> proteins, for instance, activates effector-triggered immunity (ETI), which leads to a hypersensitive response</w:t>
      </w:r>
      <w:r w:rsidR="00F15556">
        <w:t xml:space="preserve"> (HR)</w:t>
      </w:r>
      <w:r w:rsidRPr="006B0405">
        <w:t xml:space="preserve"> and programmed cell death of affected cells (Spoel and Dong, 2012). Only if the pathogen is able to</w:t>
      </w:r>
      <w:r w:rsidR="008E5E90">
        <w:t xml:space="preserve"> overcome all defence lines,</w:t>
      </w:r>
      <w:r w:rsidRPr="006B0405">
        <w:t xml:space="preserve"> it</w:t>
      </w:r>
      <w:r w:rsidR="008E5E90">
        <w:t xml:space="preserve"> will</w:t>
      </w:r>
      <w:r w:rsidRPr="006B0405">
        <w:t xml:space="preserve"> be able to infect the plant and exploit it for nutrients. </w:t>
      </w:r>
    </w:p>
    <w:p w:rsidR="00B517AA" w:rsidRDefault="00B517AA" w:rsidP="00102B90">
      <w:pPr>
        <w:pStyle w:val="berschrift2"/>
        <w:spacing w:after="240"/>
        <w:jc w:val="both"/>
        <w:rPr>
          <w:color w:val="auto"/>
        </w:rPr>
        <w:sectPr w:rsidR="00B517AA" w:rsidSect="002824C9">
          <w:headerReference w:type="default" r:id="rId13"/>
          <w:type w:val="continuous"/>
          <w:pgSz w:w="11906" w:h="16838"/>
          <w:pgMar w:top="1417" w:right="1417" w:bottom="1134" w:left="1417" w:header="708" w:footer="708" w:gutter="0"/>
          <w:cols w:space="708"/>
          <w:titlePg/>
          <w:docGrid w:linePitch="360"/>
        </w:sectPr>
      </w:pPr>
    </w:p>
    <w:p w:rsidR="006B0405" w:rsidRPr="00B2023F" w:rsidRDefault="00563EC1" w:rsidP="00102B90">
      <w:pPr>
        <w:pStyle w:val="berschrift2"/>
        <w:spacing w:after="240"/>
        <w:jc w:val="both"/>
        <w:rPr>
          <w:color w:val="auto"/>
        </w:rPr>
      </w:pPr>
      <w:bookmarkStart w:id="11" w:name="_Toc435621204"/>
      <w:r>
        <w:rPr>
          <w:color w:val="auto"/>
        </w:rPr>
        <w:lastRenderedPageBreak/>
        <w:t xml:space="preserve">3.2 </w:t>
      </w:r>
      <w:r w:rsidR="006B0405" w:rsidRPr="00B2023F">
        <w:rPr>
          <w:color w:val="auto"/>
        </w:rPr>
        <w:t>Molecular principles of innate immunity</w:t>
      </w:r>
      <w:bookmarkEnd w:id="11"/>
    </w:p>
    <w:p w:rsidR="006B0405" w:rsidRPr="006B0405" w:rsidRDefault="006B0405" w:rsidP="006B0405">
      <w:pPr>
        <w:spacing w:line="360" w:lineRule="auto"/>
        <w:jc w:val="both"/>
      </w:pPr>
      <w:r w:rsidRPr="006B0405">
        <w:t xml:space="preserve">To understand molecular mechanisms of plant immunity, </w:t>
      </w:r>
      <w:r w:rsidRPr="006B0405">
        <w:rPr>
          <w:i/>
        </w:rPr>
        <w:t>Arabidopsis thaliana</w:t>
      </w:r>
      <w:r w:rsidRPr="006B0405">
        <w:t xml:space="preserve"> </w:t>
      </w:r>
      <w:r w:rsidR="00C006D9">
        <w:t>is prominently used as a model plant</w:t>
      </w:r>
      <w:r w:rsidRPr="006B0405">
        <w:t>. Plants are able to detect extracellular MA</w:t>
      </w:r>
      <w:r w:rsidR="001026A3">
        <w:t>MPs,</w:t>
      </w:r>
      <w:r w:rsidR="001628FF">
        <w:t xml:space="preserve"> </w:t>
      </w:r>
      <w:r w:rsidRPr="001628FF">
        <w:t>pathogen associated molecular p</w:t>
      </w:r>
      <w:r w:rsidR="001628FF" w:rsidRPr="001628FF">
        <w:t>atterns</w:t>
      </w:r>
      <w:r w:rsidR="001026A3">
        <w:t xml:space="preserve"> (PAMPs), </w:t>
      </w:r>
      <w:r w:rsidR="006C02BA">
        <w:t xml:space="preserve">and </w:t>
      </w:r>
      <w:r w:rsidRPr="001628FF">
        <w:t>damage associated molecular p</w:t>
      </w:r>
      <w:r w:rsidR="001628FF" w:rsidRPr="001628FF">
        <w:t>atterns</w:t>
      </w:r>
      <w:r w:rsidR="001628FF">
        <w:t xml:space="preserve"> (DAMPs)</w:t>
      </w:r>
      <w:r w:rsidR="001026A3">
        <w:t xml:space="preserve"> </w:t>
      </w:r>
      <w:r w:rsidRPr="006B0405">
        <w:t>that accumulate after attack</w:t>
      </w:r>
      <w:r w:rsidR="001026A3">
        <w:t xml:space="preserve"> by cell wall-degrading enzymes, as well as</w:t>
      </w:r>
      <w:r w:rsidRPr="006B0405">
        <w:t xml:space="preserve"> extracellular pathogen-</w:t>
      </w:r>
      <w:r w:rsidRPr="006B0405">
        <w:lastRenderedPageBreak/>
        <w:t>derived effectors</w:t>
      </w:r>
      <w:r w:rsidR="00EB5510">
        <w:t xml:space="preserve"> (Figure 3)</w:t>
      </w:r>
      <w:r w:rsidRPr="006B0405">
        <w:t xml:space="preserve">. These molecules </w:t>
      </w:r>
      <w:r w:rsidR="00882CD1">
        <w:t>are detected by membrane-</w:t>
      </w:r>
      <w:r w:rsidR="00DE5606">
        <w:t>localised</w:t>
      </w:r>
      <w:r w:rsidRPr="006B0405">
        <w:t xml:space="preserve"> </w:t>
      </w:r>
      <w:r w:rsidR="000E221F">
        <w:t xml:space="preserve">PRRs </w:t>
      </w:r>
      <w:r w:rsidRPr="006B0405">
        <w:t xml:space="preserve">and activation of these receptors </w:t>
      </w:r>
      <w:r w:rsidR="00BC6A06">
        <w:t>invokes</w:t>
      </w:r>
      <w:r w:rsidRPr="006B0405">
        <w:t xml:space="preserve"> a signalling cascade inside the cell that leads to </w:t>
      </w:r>
      <w:r w:rsidR="00BC6A06">
        <w:t>induction</w:t>
      </w:r>
      <w:r w:rsidRPr="006B0405">
        <w:t xml:space="preserve"> of gene expression and often to HR-mediated cell death. </w:t>
      </w:r>
    </w:p>
    <w:p w:rsidR="00E769E8" w:rsidRDefault="006B0405" w:rsidP="00FC7225">
      <w:pPr>
        <w:keepNext/>
        <w:spacing w:after="0" w:line="360" w:lineRule="auto"/>
        <w:jc w:val="both"/>
      </w:pPr>
      <w:r w:rsidRPr="006B0405">
        <w:rPr>
          <w:b/>
          <w:noProof/>
          <w:lang w:val="de-DE" w:eastAsia="de-DE"/>
        </w:rPr>
        <w:drawing>
          <wp:anchor distT="0" distB="0" distL="114300" distR="114300" simplePos="0" relativeHeight="251661312" behindDoc="0" locked="0" layoutInCell="1" allowOverlap="1" wp14:anchorId="3D6A57AC" wp14:editId="33B223F2">
            <wp:simplePos x="0" y="0"/>
            <wp:positionH relativeFrom="page">
              <wp:align>center</wp:align>
            </wp:positionH>
            <wp:positionV relativeFrom="paragraph">
              <wp:posOffset>3175</wp:posOffset>
            </wp:positionV>
            <wp:extent cx="4039200" cy="2520000"/>
            <wp:effectExtent l="19050" t="19050" r="19050" b="13970"/>
            <wp:wrapTopAndBottom/>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ig zag model of defence_Jones2006.png"/>
                    <pic:cNvPicPr/>
                  </pic:nvPicPr>
                  <pic:blipFill>
                    <a:blip r:embed="rId14">
                      <a:extLst>
                        <a:ext uri="{28A0092B-C50C-407E-A947-70E740481C1C}">
                          <a14:useLocalDpi xmlns:a14="http://schemas.microsoft.com/office/drawing/2010/main" val="0"/>
                        </a:ext>
                      </a:extLst>
                    </a:blip>
                    <a:stretch>
                      <a:fillRect/>
                    </a:stretch>
                  </pic:blipFill>
                  <pic:spPr>
                    <a:xfrm>
                      <a:off x="0" y="0"/>
                      <a:ext cx="4039200" cy="2520000"/>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p>
    <w:p w:rsidR="00D94965" w:rsidRPr="00EB4CFA" w:rsidRDefault="00E769E8" w:rsidP="0029491B">
      <w:pPr>
        <w:pStyle w:val="Beschriftung"/>
        <w:spacing w:after="0" w:line="360" w:lineRule="auto"/>
        <w:jc w:val="both"/>
        <w:rPr>
          <w:color w:val="auto"/>
          <w:lang w:val="en-US"/>
        </w:rPr>
      </w:pPr>
      <w:bookmarkStart w:id="12" w:name="_Toc435621120"/>
      <w:proofErr w:type="gramStart"/>
      <w:r w:rsidRPr="00EB4CFA">
        <w:rPr>
          <w:color w:val="auto"/>
        </w:rPr>
        <w:t xml:space="preserve">Figure </w:t>
      </w:r>
      <w:r w:rsidRPr="00EB4CFA">
        <w:rPr>
          <w:color w:val="auto"/>
        </w:rPr>
        <w:fldChar w:fldCharType="begin"/>
      </w:r>
      <w:r w:rsidRPr="00EB4CFA">
        <w:rPr>
          <w:color w:val="auto"/>
        </w:rPr>
        <w:instrText xml:space="preserve"> SEQ Figure \* ARABIC </w:instrText>
      </w:r>
      <w:r w:rsidRPr="00EB4CFA">
        <w:rPr>
          <w:color w:val="auto"/>
        </w:rPr>
        <w:fldChar w:fldCharType="separate"/>
      </w:r>
      <w:r w:rsidR="00CB17FE">
        <w:rPr>
          <w:noProof/>
          <w:color w:val="auto"/>
        </w:rPr>
        <w:t>2</w:t>
      </w:r>
      <w:r w:rsidRPr="00EB4CFA">
        <w:rPr>
          <w:color w:val="auto"/>
        </w:rPr>
        <w:fldChar w:fldCharType="end"/>
      </w:r>
      <w:r w:rsidR="0089676C">
        <w:rPr>
          <w:color w:val="auto"/>
        </w:rPr>
        <w:t>.</w:t>
      </w:r>
      <w:proofErr w:type="gramEnd"/>
      <w:r w:rsidRPr="00EB4CFA">
        <w:rPr>
          <w:color w:val="auto"/>
        </w:rPr>
        <w:t xml:space="preserve"> </w:t>
      </w:r>
      <w:r w:rsidR="00377D58" w:rsidRPr="00EB4CFA">
        <w:rPr>
          <w:color w:val="auto"/>
          <w:lang w:val="en-US"/>
        </w:rPr>
        <w:t>Zig-</w:t>
      </w:r>
      <w:r w:rsidR="009C46AF" w:rsidRPr="00EB4CFA">
        <w:rPr>
          <w:color w:val="auto"/>
          <w:lang w:val="en-US"/>
        </w:rPr>
        <w:t>zag model</w:t>
      </w:r>
      <w:r w:rsidR="00377D58" w:rsidRPr="00EB4CFA">
        <w:rPr>
          <w:color w:val="auto"/>
          <w:lang w:val="en-US"/>
        </w:rPr>
        <w:t xml:space="preserve"> of plant defence responses.</w:t>
      </w:r>
      <w:bookmarkEnd w:id="12"/>
      <w:r w:rsidR="00377D58" w:rsidRPr="00EB4CFA">
        <w:rPr>
          <w:color w:val="auto"/>
          <w:lang w:val="en-US"/>
        </w:rPr>
        <w:t xml:space="preserve"> </w:t>
      </w:r>
    </w:p>
    <w:p w:rsidR="00D94965" w:rsidRPr="00EB4CFA" w:rsidRDefault="00882CD1" w:rsidP="00D94965">
      <w:pPr>
        <w:pStyle w:val="Beschriftung"/>
        <w:spacing w:after="0"/>
        <w:jc w:val="both"/>
        <w:rPr>
          <w:b w:val="0"/>
          <w:color w:val="auto"/>
          <w:lang w:val="en-US"/>
        </w:rPr>
      </w:pPr>
      <w:r>
        <w:rPr>
          <w:b w:val="0"/>
          <w:color w:val="auto"/>
          <w:lang w:val="en-US"/>
        </w:rPr>
        <w:t xml:space="preserve">MAMPs or PAMPs are detected by receptors and induce PTI. Pathogens deliver effectors into plant cells to suppress </w:t>
      </w:r>
      <w:r w:rsidR="007C5DEC">
        <w:rPr>
          <w:b w:val="0"/>
          <w:color w:val="auto"/>
          <w:lang w:val="en-US"/>
        </w:rPr>
        <w:t>PTI</w:t>
      </w:r>
      <w:r>
        <w:rPr>
          <w:b w:val="0"/>
          <w:color w:val="auto"/>
          <w:lang w:val="en-US"/>
        </w:rPr>
        <w:t xml:space="preserve"> and induce ETS, detection of these effectors by R-proteins leads to ETI-mediated defence responses. </w:t>
      </w:r>
      <w:r w:rsidR="00D94965" w:rsidRPr="00EB4CFA">
        <w:rPr>
          <w:b w:val="0"/>
          <w:color w:val="auto"/>
          <w:lang w:val="en-US"/>
        </w:rPr>
        <w:t xml:space="preserve">PTI, pattern-triggered immunity; ETS, effector-triggered susceptibility; ETI, effector-triggered immunity; HR, hypersensitive response; PAMPS, pathogen-associated molecular </w:t>
      </w:r>
      <w:r w:rsidR="00AC2FA6" w:rsidRPr="00EB4CFA">
        <w:rPr>
          <w:b w:val="0"/>
          <w:color w:val="auto"/>
          <w:lang w:val="en-US"/>
        </w:rPr>
        <w:t>patterns; Avr-R, avirulence protein</w:t>
      </w:r>
      <w:r w:rsidR="00D94965" w:rsidRPr="00EB4CFA">
        <w:rPr>
          <w:b w:val="0"/>
          <w:color w:val="auto"/>
          <w:lang w:val="en-US"/>
        </w:rPr>
        <w:t xml:space="preserve"> </w:t>
      </w:r>
      <w:r w:rsidR="001D06E3" w:rsidRPr="00EB4CFA">
        <w:rPr>
          <w:b w:val="0"/>
          <w:color w:val="auto"/>
          <w:lang w:val="en-US"/>
        </w:rPr>
        <w:t>(</w:t>
      </w:r>
      <w:r w:rsidR="00D94965" w:rsidRPr="00EB4CFA">
        <w:rPr>
          <w:b w:val="0"/>
          <w:color w:val="auto"/>
          <w:lang w:val="en-US"/>
        </w:rPr>
        <w:t>Jones and Dangl, 2006</w:t>
      </w:r>
      <w:r w:rsidR="001D06E3" w:rsidRPr="00EB4CFA">
        <w:rPr>
          <w:b w:val="0"/>
          <w:color w:val="auto"/>
          <w:lang w:val="en-US"/>
        </w:rPr>
        <w:t>)</w:t>
      </w:r>
      <w:r w:rsidR="00D94965" w:rsidRPr="00EB4CFA">
        <w:rPr>
          <w:b w:val="0"/>
          <w:color w:val="auto"/>
          <w:lang w:val="en-US"/>
        </w:rPr>
        <w:t>.</w:t>
      </w:r>
    </w:p>
    <w:p w:rsidR="006B0405" w:rsidRDefault="006B0405" w:rsidP="009947B9">
      <w:pPr>
        <w:pStyle w:val="Beschriftung"/>
        <w:spacing w:after="0"/>
        <w:jc w:val="both"/>
        <w:rPr>
          <w:color w:val="auto"/>
          <w:sz w:val="16"/>
          <w:szCs w:val="16"/>
          <w:lang w:val="en-US"/>
        </w:rPr>
      </w:pPr>
    </w:p>
    <w:p w:rsidR="006B0405" w:rsidRDefault="006B0405" w:rsidP="0032031A">
      <w:pPr>
        <w:spacing w:line="360" w:lineRule="auto"/>
        <w:jc w:val="both"/>
      </w:pPr>
      <w:r w:rsidRPr="006B0405">
        <w:t xml:space="preserve">One well studied example of MAMP detection is </w:t>
      </w:r>
      <w:r w:rsidR="00A420EA">
        <w:t>perception of flagellin by the l</w:t>
      </w:r>
      <w:r w:rsidRPr="006B0405">
        <w:t>eucine-rich repeat transmembrane receptor kinase FLAGELLIN SENSITIVE2 (FLS2), which lea</w:t>
      </w:r>
      <w:r w:rsidR="00EB5510">
        <w:t>ds to very fast</w:t>
      </w:r>
      <w:r w:rsidRPr="006B0405">
        <w:t xml:space="preserve"> complex</w:t>
      </w:r>
      <w:r w:rsidR="00EB5510">
        <w:t xml:space="preserve"> formation</w:t>
      </w:r>
      <w:r w:rsidRPr="006B0405">
        <w:t xml:space="preserve"> consisting of the receptor kinases FLS2 and BRI1-ASSOCIATED KINASE 1 (BAK1) and the receptor-like kinase BOTRYTIS-INDUCED KINASE 1 (BIK1) (Gómez-Gómez and Boller, 2000; Chinchilla </w:t>
      </w:r>
      <w:r w:rsidRPr="006B0405">
        <w:rPr>
          <w:i/>
        </w:rPr>
        <w:t>et al</w:t>
      </w:r>
      <w:r w:rsidRPr="006B0405">
        <w:t xml:space="preserve">, 2006; Chinchilla </w:t>
      </w:r>
      <w:r w:rsidRPr="006B0405">
        <w:rPr>
          <w:i/>
        </w:rPr>
        <w:t>et al</w:t>
      </w:r>
      <w:r w:rsidRPr="006B0405">
        <w:t xml:space="preserve">., 2007; Heese </w:t>
      </w:r>
      <w:r w:rsidRPr="006B0405">
        <w:rPr>
          <w:i/>
        </w:rPr>
        <w:t>et al</w:t>
      </w:r>
      <w:r w:rsidRPr="006B0405">
        <w:t xml:space="preserve">., 2007). This causes phosphorylation of BIK1 by BAK1 (Lin </w:t>
      </w:r>
      <w:r w:rsidRPr="006B0405">
        <w:rPr>
          <w:i/>
        </w:rPr>
        <w:t>et al</w:t>
      </w:r>
      <w:r w:rsidRPr="006B0405">
        <w:t>., 2014) and is followed by activation of a signalling network comprising Ca</w:t>
      </w:r>
      <w:r w:rsidRPr="006B0405">
        <w:rPr>
          <w:vertAlign w:val="superscript"/>
        </w:rPr>
        <w:t>2+</w:t>
      </w:r>
      <w:r w:rsidR="0070173C">
        <w:t>-</w:t>
      </w:r>
      <w:r w:rsidR="000E221F">
        <w:t xml:space="preserve"> and </w:t>
      </w:r>
      <w:r w:rsidR="00D20D62">
        <w:t>mitogen-</w:t>
      </w:r>
      <w:r w:rsidR="0051098E">
        <w:t>activated protein</w:t>
      </w:r>
      <w:r w:rsidRPr="006B0405">
        <w:t xml:space="preserve"> kinase </w:t>
      </w:r>
      <w:r w:rsidR="0051098E">
        <w:t xml:space="preserve">(MAPK) </w:t>
      </w:r>
      <w:r w:rsidRPr="006B0405">
        <w:t>signalling, which induces expression of defence-related genes, formation of reactive oxyge</w:t>
      </w:r>
      <w:r w:rsidR="000E221F">
        <w:t>n species (ROS) and results in</w:t>
      </w:r>
      <w:r w:rsidRPr="006B0405">
        <w:t xml:space="preserve"> </w:t>
      </w:r>
      <w:r w:rsidR="000E221F">
        <w:t>HR</w:t>
      </w:r>
      <w:r w:rsidRPr="006B0405">
        <w:t>, destroying infected cells and t</w:t>
      </w:r>
      <w:r w:rsidR="00C87B4A">
        <w:t xml:space="preserve">he </w:t>
      </w:r>
      <w:r w:rsidR="00A420EA">
        <w:t xml:space="preserve">revealed attackers </w:t>
      </w:r>
      <w:r w:rsidR="00C87B4A">
        <w:t>with them.</w:t>
      </w:r>
      <w:r w:rsidR="00431343">
        <w:t xml:space="preserve"> </w:t>
      </w:r>
      <w:r w:rsidRPr="006B0405">
        <w:t>To evade</w:t>
      </w:r>
      <w:r w:rsidR="009C46AF">
        <w:t xml:space="preserve"> </w:t>
      </w:r>
      <w:r w:rsidR="00B43A3C">
        <w:t xml:space="preserve">detection, phytopathogens </w:t>
      </w:r>
      <w:r w:rsidRPr="006B0405">
        <w:t>have evolved effectors to manipulate host defences and induce effector-triggered susceptibilty (Jo</w:t>
      </w:r>
      <w:r w:rsidR="00431343">
        <w:t xml:space="preserve">nes and Dangl, 2006; Figure 2). </w:t>
      </w:r>
      <w:r w:rsidR="00694A8E">
        <w:t>For bacteria, m</w:t>
      </w:r>
      <w:r w:rsidR="00694A8E" w:rsidRPr="00465AEC">
        <w:t>ost of these effectors are introduced by a type III secretion system (TTS</w:t>
      </w:r>
      <w:r w:rsidR="00694A8E">
        <w:t>S) into plant cells (</w:t>
      </w:r>
      <w:r w:rsidR="00694A8E" w:rsidRPr="00174B4D">
        <w:t>Bender, 1999</w:t>
      </w:r>
      <w:r w:rsidR="00694A8E">
        <w:t>; D</w:t>
      </w:r>
      <w:r w:rsidR="00694A8E" w:rsidRPr="00465AEC">
        <w:t xml:space="preserve">a Cunha </w:t>
      </w:r>
      <w:r w:rsidR="00694A8E" w:rsidRPr="009C46AF">
        <w:rPr>
          <w:i/>
        </w:rPr>
        <w:t>et al</w:t>
      </w:r>
      <w:r w:rsidR="00694A8E">
        <w:t>., 2006</w:t>
      </w:r>
      <w:r w:rsidR="005675B6">
        <w:t>;</w:t>
      </w:r>
      <w:r w:rsidR="005675B6" w:rsidRPr="005675B6">
        <w:t xml:space="preserve"> </w:t>
      </w:r>
      <w:r w:rsidR="005675B6">
        <w:t>Figure 3</w:t>
      </w:r>
      <w:r w:rsidR="00694A8E" w:rsidRPr="00465AEC">
        <w:t xml:space="preserve">). </w:t>
      </w:r>
      <w:r w:rsidR="00694A8E" w:rsidRPr="006B0405">
        <w:t xml:space="preserve">It was shown recently that genes encoding the TTSS system are expressed in </w:t>
      </w:r>
      <w:r w:rsidR="00694A8E" w:rsidRPr="006B0405">
        <w:rPr>
          <w:i/>
        </w:rPr>
        <w:t>Pseudomonas</w:t>
      </w:r>
      <w:r w:rsidR="00694A8E" w:rsidRPr="006B0405">
        <w:t xml:space="preserve"> </w:t>
      </w:r>
      <w:r w:rsidR="00694A8E">
        <w:rPr>
          <w:i/>
        </w:rPr>
        <w:t xml:space="preserve">syringae </w:t>
      </w:r>
      <w:r w:rsidR="00694A8E" w:rsidRPr="006B0405">
        <w:t xml:space="preserve">shortly after perception of plant-derived signals and that mutated strains without a functioning TTSS are not fully virulent (Anderson </w:t>
      </w:r>
      <w:r w:rsidR="00694A8E" w:rsidRPr="006B0405">
        <w:rPr>
          <w:i/>
        </w:rPr>
        <w:t>et al</w:t>
      </w:r>
      <w:r w:rsidR="00694A8E" w:rsidRPr="006B0405">
        <w:t>., 2014). Up to 100 different effectors can be secreted into plant cells by a single bacteri</w:t>
      </w:r>
      <w:r w:rsidR="00694A8E">
        <w:t>um (D</w:t>
      </w:r>
      <w:r w:rsidR="00694A8E" w:rsidRPr="006B0405">
        <w:t xml:space="preserve">a Cunha </w:t>
      </w:r>
      <w:r w:rsidR="00694A8E" w:rsidRPr="006B0405">
        <w:rPr>
          <w:i/>
        </w:rPr>
        <w:t>et al</w:t>
      </w:r>
      <w:r w:rsidR="00694A8E" w:rsidRPr="006B0405">
        <w:t xml:space="preserve">., 2006), but if only one </w:t>
      </w:r>
      <w:r w:rsidR="00694A8E" w:rsidRPr="006B0405">
        <w:lastRenderedPageBreak/>
        <w:t>of them i</w:t>
      </w:r>
      <w:r w:rsidR="00EB50C3">
        <w:t xml:space="preserve">s detected by a matching </w:t>
      </w:r>
      <w:r w:rsidR="00694A8E" w:rsidRPr="006B0405">
        <w:t>“avirulence</w:t>
      </w:r>
      <w:r w:rsidR="00EB50C3">
        <w:t>” protein</w:t>
      </w:r>
      <w:r w:rsidR="00694A8E" w:rsidRPr="006B0405">
        <w:t xml:space="preserve"> in the plant, </w:t>
      </w:r>
      <w:r w:rsidR="000E221F">
        <w:t>ETI</w:t>
      </w:r>
      <w:r w:rsidR="00694A8E" w:rsidRPr="006B0405">
        <w:t xml:space="preserve"> is induced</w:t>
      </w:r>
      <w:r w:rsidR="00694A8E">
        <w:t xml:space="preserve">, </w:t>
      </w:r>
      <w:r w:rsidR="00694A8E" w:rsidRPr="006B0405">
        <w:t xml:space="preserve">leading to disease and often results in a HR reaction (Jones and Dangl, 2006). </w:t>
      </w:r>
    </w:p>
    <w:p w:rsidR="00F067C9" w:rsidRDefault="006B0405" w:rsidP="00FC7225">
      <w:pPr>
        <w:keepNext/>
        <w:spacing w:after="0" w:line="360" w:lineRule="auto"/>
        <w:jc w:val="both"/>
      </w:pPr>
      <w:r w:rsidRPr="006B0405">
        <w:rPr>
          <w:noProof/>
          <w:lang w:val="de-DE" w:eastAsia="de-DE"/>
        </w:rPr>
        <w:drawing>
          <wp:anchor distT="0" distB="0" distL="114300" distR="114300" simplePos="0" relativeHeight="251662336" behindDoc="0" locked="0" layoutInCell="1" allowOverlap="1" wp14:anchorId="5419D92C" wp14:editId="7EAD5A27">
            <wp:simplePos x="895350" y="1381125"/>
            <wp:positionH relativeFrom="page">
              <wp:align>center</wp:align>
            </wp:positionH>
            <wp:positionV relativeFrom="paragraph">
              <wp:posOffset>0</wp:posOffset>
            </wp:positionV>
            <wp:extent cx="4932000" cy="3986603"/>
            <wp:effectExtent l="19050" t="19050" r="21590" b="13970"/>
            <wp:wrapTopAndBottom/>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MP-DAMP-PAMP_Boller2009.png"/>
                    <pic:cNvPicPr/>
                  </pic:nvPicPr>
                  <pic:blipFill>
                    <a:blip r:embed="rId15">
                      <a:extLst>
                        <a:ext uri="{28A0092B-C50C-407E-A947-70E740481C1C}">
                          <a14:useLocalDpi xmlns:a14="http://schemas.microsoft.com/office/drawing/2010/main" val="0"/>
                        </a:ext>
                      </a:extLst>
                    </a:blip>
                    <a:stretch>
                      <a:fillRect/>
                    </a:stretch>
                  </pic:blipFill>
                  <pic:spPr>
                    <a:xfrm>
                      <a:off x="0" y="0"/>
                      <a:ext cx="4932000" cy="3986603"/>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p>
    <w:p w:rsidR="00D94965" w:rsidRPr="00EB4CFA" w:rsidRDefault="00F067C9" w:rsidP="0029491B">
      <w:pPr>
        <w:pStyle w:val="Beschriftung"/>
        <w:spacing w:after="0" w:line="360" w:lineRule="auto"/>
        <w:jc w:val="both"/>
        <w:rPr>
          <w:color w:val="auto"/>
          <w:lang w:val="en-US"/>
        </w:rPr>
      </w:pPr>
      <w:bookmarkStart w:id="13" w:name="_Toc435621121"/>
      <w:proofErr w:type="gramStart"/>
      <w:r w:rsidRPr="00EB4CFA">
        <w:rPr>
          <w:color w:val="auto"/>
        </w:rPr>
        <w:t xml:space="preserve">Figure </w:t>
      </w:r>
      <w:r w:rsidRPr="00EB4CFA">
        <w:rPr>
          <w:color w:val="auto"/>
        </w:rPr>
        <w:fldChar w:fldCharType="begin"/>
      </w:r>
      <w:r w:rsidRPr="00EB4CFA">
        <w:rPr>
          <w:color w:val="auto"/>
        </w:rPr>
        <w:instrText xml:space="preserve"> SEQ Figure \* ARABIC </w:instrText>
      </w:r>
      <w:r w:rsidRPr="00EB4CFA">
        <w:rPr>
          <w:color w:val="auto"/>
        </w:rPr>
        <w:fldChar w:fldCharType="separate"/>
      </w:r>
      <w:r w:rsidR="00CB17FE">
        <w:rPr>
          <w:noProof/>
          <w:color w:val="auto"/>
        </w:rPr>
        <w:t>3</w:t>
      </w:r>
      <w:r w:rsidRPr="00EB4CFA">
        <w:rPr>
          <w:color w:val="auto"/>
        </w:rPr>
        <w:fldChar w:fldCharType="end"/>
      </w:r>
      <w:r w:rsidR="0089676C">
        <w:rPr>
          <w:color w:val="auto"/>
        </w:rPr>
        <w:t>.</w:t>
      </w:r>
      <w:proofErr w:type="gramEnd"/>
      <w:r w:rsidRPr="00EB4CFA">
        <w:rPr>
          <w:color w:val="auto"/>
        </w:rPr>
        <w:t xml:space="preserve"> </w:t>
      </w:r>
      <w:proofErr w:type="gramStart"/>
      <w:r w:rsidR="00EB4CFA" w:rsidRPr="00EB4CFA">
        <w:rPr>
          <w:color w:val="auto"/>
          <w:lang w:val="en-US"/>
        </w:rPr>
        <w:t>M</w:t>
      </w:r>
      <w:r w:rsidRPr="00EB4CFA">
        <w:rPr>
          <w:color w:val="auto"/>
          <w:lang w:val="en-US"/>
        </w:rPr>
        <w:t>icrobial pattern recognition by plants.</w:t>
      </w:r>
      <w:bookmarkEnd w:id="13"/>
      <w:proofErr w:type="gramEnd"/>
      <w:r w:rsidRPr="00EB4CFA">
        <w:rPr>
          <w:color w:val="auto"/>
          <w:lang w:val="en-US"/>
        </w:rPr>
        <w:t xml:space="preserve"> </w:t>
      </w:r>
    </w:p>
    <w:p w:rsidR="00D94965" w:rsidRPr="00EB4CFA" w:rsidRDefault="00D94965" w:rsidP="00D94965">
      <w:pPr>
        <w:pStyle w:val="Beschriftung"/>
        <w:spacing w:after="0"/>
        <w:jc w:val="both"/>
        <w:rPr>
          <w:b w:val="0"/>
          <w:color w:val="auto"/>
        </w:rPr>
      </w:pPr>
      <w:r w:rsidRPr="00EB4CFA">
        <w:rPr>
          <w:b w:val="0"/>
          <w:color w:val="auto"/>
          <w:lang w:val="en-US"/>
        </w:rPr>
        <w:t>Membrane-located pattern recognition receptors (PRRs) detect microbe-derived MAMPs and plant-derived DAMPs, while cytoplasm-located R-proteins perceive effectors introduced into plant cells by pathogens to repress plant resistance mechanisms. MAMPs, microbe associated molecular patterns; DAMPs, damage associated molecular patterns; RLKs, receptor-like kinases; RLPs, receptor-like proteins; PRRs, pattern recognition receptors; NB-LRR, nucleotide b</w:t>
      </w:r>
      <w:r w:rsidR="001D06E3" w:rsidRPr="00EB4CFA">
        <w:rPr>
          <w:b w:val="0"/>
          <w:color w:val="auto"/>
          <w:lang w:val="en-US"/>
        </w:rPr>
        <w:t>inding-site–leucine-rich repeat</w:t>
      </w:r>
      <w:r w:rsidRPr="00EB4CFA">
        <w:rPr>
          <w:b w:val="0"/>
          <w:color w:val="auto"/>
          <w:lang w:val="en-US"/>
        </w:rPr>
        <w:t xml:space="preserve"> </w:t>
      </w:r>
      <w:r w:rsidR="001D06E3" w:rsidRPr="00EB4CFA">
        <w:rPr>
          <w:b w:val="0"/>
          <w:color w:val="auto"/>
          <w:lang w:val="en-US"/>
        </w:rPr>
        <w:t>(</w:t>
      </w:r>
      <w:r w:rsidRPr="00EB4CFA">
        <w:rPr>
          <w:b w:val="0"/>
          <w:color w:val="auto"/>
          <w:lang w:val="en-US"/>
        </w:rPr>
        <w:t>Boller and Felix, 2009</w:t>
      </w:r>
      <w:r w:rsidR="001D06E3" w:rsidRPr="00EB4CFA">
        <w:rPr>
          <w:b w:val="0"/>
          <w:color w:val="auto"/>
          <w:lang w:val="en-US"/>
        </w:rPr>
        <w:t>)</w:t>
      </w:r>
      <w:r w:rsidRPr="00EB4CFA">
        <w:rPr>
          <w:b w:val="0"/>
          <w:color w:val="auto"/>
          <w:lang w:val="en-US"/>
        </w:rPr>
        <w:t>.</w:t>
      </w:r>
    </w:p>
    <w:p w:rsidR="006B0405" w:rsidRPr="00EB4CFA" w:rsidRDefault="006B0405" w:rsidP="009947B9">
      <w:pPr>
        <w:pStyle w:val="Beschriftung"/>
        <w:spacing w:after="0"/>
        <w:jc w:val="both"/>
        <w:rPr>
          <w:color w:val="auto"/>
          <w:lang w:val="en-US"/>
        </w:rPr>
      </w:pPr>
    </w:p>
    <w:p w:rsidR="001D06E3" w:rsidRDefault="006B0405" w:rsidP="00EB50C3">
      <w:pPr>
        <w:spacing w:after="0" w:line="360" w:lineRule="auto"/>
        <w:jc w:val="both"/>
      </w:pPr>
      <w:r w:rsidRPr="006B0405">
        <w:t>In the proces</w:t>
      </w:r>
      <w:r w:rsidR="00C87B4A">
        <w:t>s of co-evolution, pathogens became</w:t>
      </w:r>
      <w:r w:rsidRPr="006B0405">
        <w:t xml:space="preserve"> able to get rid of effectors that are recognized by plants and develop new effectors to repress plant immune responses (Jones and Dangl, 2006; Figure 2). Known </w:t>
      </w:r>
      <w:r w:rsidRPr="006B0405">
        <w:rPr>
          <w:i/>
        </w:rPr>
        <w:t>P</w:t>
      </w:r>
      <w:r w:rsidR="000E221F">
        <w:rPr>
          <w:i/>
        </w:rPr>
        <w:t>.</w:t>
      </w:r>
      <w:r w:rsidRPr="006B0405">
        <w:rPr>
          <w:i/>
        </w:rPr>
        <w:t xml:space="preserve"> syringae</w:t>
      </w:r>
      <w:r w:rsidRPr="006B0405">
        <w:t xml:space="preserve">-derived effector proteins are for example AvrRpm1, AvrB, and AvrRpt2 that are perceived by RPM1 and RPS2, respectively, as well as Hop effectors (Underwood </w:t>
      </w:r>
      <w:r w:rsidRPr="006B0405">
        <w:rPr>
          <w:i/>
        </w:rPr>
        <w:t>et al</w:t>
      </w:r>
      <w:r w:rsidRPr="006B0405">
        <w:t>., 2007;</w:t>
      </w:r>
      <w:r w:rsidR="00A21C04" w:rsidRPr="00A21C04">
        <w:t xml:space="preserve"> </w:t>
      </w:r>
      <w:r w:rsidR="00A21C04">
        <w:t>Spoel and Dong, 2012;</w:t>
      </w:r>
      <w:r w:rsidRPr="006B0405">
        <w:t xml:space="preserve"> Li </w:t>
      </w:r>
      <w:r w:rsidRPr="006B0405">
        <w:rPr>
          <w:i/>
        </w:rPr>
        <w:t>et al</w:t>
      </w:r>
      <w:r w:rsidR="00EB50C3">
        <w:t>., 2014).</w:t>
      </w:r>
      <w:r w:rsidR="00431343">
        <w:t xml:space="preserve"> </w:t>
      </w:r>
      <w:r w:rsidR="009C46AF">
        <w:t>Pathogens not only use effectors to</w:t>
      </w:r>
      <w:r w:rsidR="0070173C">
        <w:t xml:space="preserve"> actively suppress the HR-</w:t>
      </w:r>
      <w:r w:rsidRPr="006B0405">
        <w:t xml:space="preserve">reaction in plants, but also to manipulate signalling in infected cells by targeting transcription factors (HopD1; Block </w:t>
      </w:r>
      <w:r w:rsidRPr="006B0405">
        <w:rPr>
          <w:i/>
        </w:rPr>
        <w:t>et al</w:t>
      </w:r>
      <w:r w:rsidRPr="006B0405">
        <w:t>., 2013) and members of signalling cascade pathways, e.g. by actively dephosphorylating MAP kinases</w:t>
      </w:r>
      <w:r w:rsidR="0070173C">
        <w:t xml:space="preserve"> (HopAI1; Meng and Zhang, 2013). Effectors are also used by pathogenic microbes to</w:t>
      </w:r>
      <w:r w:rsidRPr="006B0405">
        <w:t xml:space="preserve"> repress callose deposition in plant cells (HopAO1; Underwood </w:t>
      </w:r>
      <w:r w:rsidRPr="006B0405">
        <w:rPr>
          <w:i/>
        </w:rPr>
        <w:t>et al</w:t>
      </w:r>
      <w:r w:rsidRPr="006B0405">
        <w:t xml:space="preserve">., 2007), prevent stomatal closure (Spoel and Dong, 2012), and severely disturb hormone homeostasis (AvrRpt2; Cui </w:t>
      </w:r>
      <w:r w:rsidRPr="006B0405">
        <w:rPr>
          <w:i/>
        </w:rPr>
        <w:t>et al</w:t>
      </w:r>
      <w:r w:rsidRPr="006B0405">
        <w:t xml:space="preserve">., 2013; Mutka </w:t>
      </w:r>
      <w:r w:rsidRPr="006B0405">
        <w:rPr>
          <w:i/>
        </w:rPr>
        <w:t>et al</w:t>
      </w:r>
      <w:r w:rsidRPr="006B0405">
        <w:t xml:space="preserve">., 2013) to facilitate infection. </w:t>
      </w:r>
      <w:r w:rsidR="00E1571D" w:rsidRPr="00465AEC">
        <w:t>In more rec</w:t>
      </w:r>
      <w:r w:rsidR="00E1571D">
        <w:t>ent studies evidence accumulated that extended</w:t>
      </w:r>
      <w:r w:rsidR="00E1571D" w:rsidRPr="00465AEC">
        <w:t xml:space="preserve"> Flor´s hypothesis of gene-for-g</w:t>
      </w:r>
      <w:r w:rsidR="00E1571D">
        <w:t>ene resistance (Flor, 1942) to</w:t>
      </w:r>
      <w:r w:rsidR="00E1571D" w:rsidRPr="00465AEC">
        <w:t xml:space="preserve"> the </w:t>
      </w:r>
      <w:r w:rsidR="00E1571D" w:rsidRPr="00465AEC">
        <w:lastRenderedPageBreak/>
        <w:t xml:space="preserve">so-called “guard model” (Figure 4). </w:t>
      </w:r>
      <w:r w:rsidR="0075056C">
        <w:t>For instance, t</w:t>
      </w:r>
      <w:r w:rsidR="00E1571D" w:rsidRPr="00465AEC">
        <w:t>he avirulence proteins RPM1 and RPS2 both</w:t>
      </w:r>
      <w:r w:rsidR="00E1571D">
        <w:t xml:space="preserve"> exhibit</w:t>
      </w:r>
      <w:r w:rsidR="00E1571D" w:rsidRPr="00465AEC">
        <w:t xml:space="preserve"> interact</w:t>
      </w:r>
      <w:r w:rsidR="00E1571D">
        <w:t>ion</w:t>
      </w:r>
      <w:r w:rsidR="00E1571D" w:rsidRPr="00465AEC">
        <w:t xml:space="preserve"> with </w:t>
      </w:r>
      <w:r w:rsidR="00E1571D" w:rsidRPr="00251EC9">
        <w:t>RPM1-INTERACTING PROTEIN4 (RIN4)</w:t>
      </w:r>
      <w:r w:rsidR="00E1571D" w:rsidRPr="00465AEC">
        <w:t>, which is targeted by three different effectors (</w:t>
      </w:r>
      <w:r w:rsidR="0075056C">
        <w:t xml:space="preserve">AvrB, AvrRpm1, AvrRpt2; </w:t>
      </w:r>
      <w:r w:rsidR="00E1571D" w:rsidRPr="00251EC9">
        <w:t>Axtell and Staskawicz, 2003</w:t>
      </w:r>
      <w:r w:rsidR="00E1571D">
        <w:t>; Spoel and Dong, 2012</w:t>
      </w:r>
      <w:r w:rsidR="00E1571D" w:rsidRPr="00465AEC">
        <w:t>).</w:t>
      </w:r>
      <w:r w:rsidR="00E1571D" w:rsidRPr="00E1571D">
        <w:t xml:space="preserve"> </w:t>
      </w:r>
      <w:r w:rsidR="00E1571D" w:rsidRPr="006B0405">
        <w:t xml:space="preserve">In unchallenged cells, </w:t>
      </w:r>
      <w:r w:rsidR="00E1571D">
        <w:t>the</w:t>
      </w:r>
      <w:r w:rsidR="00E1571D" w:rsidRPr="006B0405">
        <w:t xml:space="preserve"> physical contact</w:t>
      </w:r>
      <w:r w:rsidR="00E1571D">
        <w:t xml:space="preserve"> of RIN4</w:t>
      </w:r>
      <w:r w:rsidR="00E1571D" w:rsidRPr="006B0405">
        <w:t xml:space="preserve"> with either inactive RPM1 or RPS2 suppresses effector-triggered immunity (Figure 4).</w:t>
      </w:r>
    </w:p>
    <w:p w:rsidR="00EB50C3" w:rsidRDefault="00EB50C3" w:rsidP="00EB50C3">
      <w:pPr>
        <w:spacing w:after="0" w:line="360" w:lineRule="auto"/>
        <w:jc w:val="both"/>
      </w:pPr>
    </w:p>
    <w:p w:rsidR="007F1316" w:rsidRDefault="0032031A" w:rsidP="00FC7225">
      <w:pPr>
        <w:keepNext/>
        <w:spacing w:after="0" w:line="360" w:lineRule="auto"/>
        <w:jc w:val="both"/>
      </w:pPr>
      <w:r>
        <w:rPr>
          <w:noProof/>
          <w:lang w:val="de-DE" w:eastAsia="de-DE"/>
        </w:rPr>
        <w:drawing>
          <wp:anchor distT="0" distB="0" distL="114300" distR="114300" simplePos="0" relativeHeight="251718656" behindDoc="0" locked="0" layoutInCell="1" allowOverlap="1">
            <wp:simplePos x="895350" y="2343150"/>
            <wp:positionH relativeFrom="page">
              <wp:align>center</wp:align>
            </wp:positionH>
            <wp:positionV relativeFrom="paragraph">
              <wp:posOffset>0</wp:posOffset>
            </wp:positionV>
            <wp:extent cx="5760000" cy="2224800"/>
            <wp:effectExtent l="19050" t="19050" r="12700" b="23495"/>
            <wp:wrapTopAndBottom/>
            <wp:docPr id="82" name="Grafik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uard model_Spoel2012_modified.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760000" cy="2224800"/>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p>
    <w:p w:rsidR="00D94965" w:rsidRPr="00EB4CFA" w:rsidRDefault="007F1316" w:rsidP="0029491B">
      <w:pPr>
        <w:pStyle w:val="Beschriftung"/>
        <w:spacing w:after="0" w:line="360" w:lineRule="auto"/>
        <w:jc w:val="both"/>
        <w:rPr>
          <w:color w:val="auto"/>
          <w:lang w:val="en-US"/>
        </w:rPr>
      </w:pPr>
      <w:bookmarkStart w:id="14" w:name="_Toc435621122"/>
      <w:proofErr w:type="gramStart"/>
      <w:r w:rsidRPr="00EB4CFA">
        <w:rPr>
          <w:color w:val="auto"/>
        </w:rPr>
        <w:t xml:space="preserve">Figure </w:t>
      </w:r>
      <w:r w:rsidRPr="00EB4CFA">
        <w:rPr>
          <w:color w:val="auto"/>
        </w:rPr>
        <w:fldChar w:fldCharType="begin"/>
      </w:r>
      <w:r w:rsidRPr="00EB4CFA">
        <w:rPr>
          <w:color w:val="auto"/>
        </w:rPr>
        <w:instrText xml:space="preserve"> SEQ Figure \* ARABIC </w:instrText>
      </w:r>
      <w:r w:rsidRPr="00EB4CFA">
        <w:rPr>
          <w:color w:val="auto"/>
        </w:rPr>
        <w:fldChar w:fldCharType="separate"/>
      </w:r>
      <w:r w:rsidR="00CB17FE">
        <w:rPr>
          <w:noProof/>
          <w:color w:val="auto"/>
        </w:rPr>
        <w:t>4</w:t>
      </w:r>
      <w:r w:rsidRPr="00EB4CFA">
        <w:rPr>
          <w:color w:val="auto"/>
        </w:rPr>
        <w:fldChar w:fldCharType="end"/>
      </w:r>
      <w:r w:rsidR="0089676C">
        <w:rPr>
          <w:color w:val="auto"/>
        </w:rPr>
        <w:t>.</w:t>
      </w:r>
      <w:proofErr w:type="gramEnd"/>
      <w:r w:rsidRPr="00EB4CFA">
        <w:rPr>
          <w:color w:val="auto"/>
        </w:rPr>
        <w:t xml:space="preserve"> </w:t>
      </w:r>
      <w:proofErr w:type="gramStart"/>
      <w:r w:rsidRPr="00EB4CFA">
        <w:rPr>
          <w:color w:val="auto"/>
          <w:lang w:val="en-US"/>
        </w:rPr>
        <w:t>Schematic depiction of the guard model hypothesis.</w:t>
      </w:r>
      <w:bookmarkEnd w:id="14"/>
      <w:proofErr w:type="gramEnd"/>
      <w:r w:rsidRPr="00EB4CFA">
        <w:rPr>
          <w:color w:val="auto"/>
          <w:lang w:val="en-US"/>
        </w:rPr>
        <w:t xml:space="preserve"> </w:t>
      </w:r>
    </w:p>
    <w:p w:rsidR="006B0405" w:rsidRPr="00EB4CFA" w:rsidRDefault="001D06E3" w:rsidP="00AC2FA6">
      <w:pPr>
        <w:pStyle w:val="Beschriftung"/>
        <w:jc w:val="both"/>
        <w:rPr>
          <w:b w:val="0"/>
          <w:color w:val="auto"/>
          <w:lang w:val="en-US"/>
        </w:rPr>
      </w:pPr>
      <w:r w:rsidRPr="00EB4CFA">
        <w:rPr>
          <w:b w:val="0"/>
          <w:color w:val="auto"/>
          <w:lang w:val="en-US"/>
        </w:rPr>
        <w:t>(A</w:t>
      </w:r>
      <w:r w:rsidR="007F1316" w:rsidRPr="00EB4CFA">
        <w:rPr>
          <w:b w:val="0"/>
          <w:color w:val="auto"/>
          <w:lang w:val="en-US"/>
        </w:rPr>
        <w:t>) In naive plants, R proteins containin</w:t>
      </w:r>
      <w:r w:rsidR="0071178D" w:rsidRPr="00EB4CFA">
        <w:rPr>
          <w:b w:val="0"/>
          <w:color w:val="auto"/>
          <w:lang w:val="en-US"/>
        </w:rPr>
        <w:t>g a CC–NBS–LRR domain structure</w:t>
      </w:r>
      <w:r w:rsidR="007F1316" w:rsidRPr="00EB4CFA">
        <w:rPr>
          <w:b w:val="0"/>
          <w:color w:val="auto"/>
          <w:lang w:val="en-US"/>
        </w:rPr>
        <w:t xml:space="preserve"> interact </w:t>
      </w:r>
      <w:r w:rsidR="0071178D" w:rsidRPr="00EB4CFA">
        <w:rPr>
          <w:b w:val="0"/>
          <w:color w:val="auto"/>
          <w:lang w:val="en-US"/>
        </w:rPr>
        <w:t>with unmodified RIN4 protein,</w:t>
      </w:r>
      <w:r w:rsidR="007F1316" w:rsidRPr="00EB4CFA">
        <w:rPr>
          <w:b w:val="0"/>
          <w:color w:val="auto"/>
          <w:lang w:val="en-US"/>
        </w:rPr>
        <w:t xml:space="preserve"> </w:t>
      </w:r>
      <w:r w:rsidR="0071178D" w:rsidRPr="00EB4CFA">
        <w:rPr>
          <w:b w:val="0"/>
          <w:color w:val="auto"/>
          <w:lang w:val="en-US"/>
        </w:rPr>
        <w:t>keeping</w:t>
      </w:r>
      <w:r w:rsidR="007F1316" w:rsidRPr="00EB4CFA">
        <w:rPr>
          <w:b w:val="0"/>
          <w:color w:val="auto"/>
          <w:lang w:val="en-US"/>
        </w:rPr>
        <w:t xml:space="preserve"> </w:t>
      </w:r>
      <w:r w:rsidR="0071178D" w:rsidRPr="00EB4CFA">
        <w:rPr>
          <w:b w:val="0"/>
          <w:color w:val="auto"/>
          <w:lang w:val="en-US"/>
        </w:rPr>
        <w:t xml:space="preserve">the </w:t>
      </w:r>
      <w:r w:rsidR="007F1316" w:rsidRPr="00EB4CFA">
        <w:rPr>
          <w:b w:val="0"/>
          <w:color w:val="auto"/>
          <w:lang w:val="en-US"/>
        </w:rPr>
        <w:t>R p</w:t>
      </w:r>
      <w:r w:rsidRPr="00EB4CFA">
        <w:rPr>
          <w:b w:val="0"/>
          <w:color w:val="auto"/>
          <w:lang w:val="en-US"/>
        </w:rPr>
        <w:t>roteins in an inactive state. (B</w:t>
      </w:r>
      <w:r w:rsidR="007F1316" w:rsidRPr="00EB4CFA">
        <w:rPr>
          <w:b w:val="0"/>
          <w:color w:val="auto"/>
          <w:lang w:val="en-US"/>
        </w:rPr>
        <w:t xml:space="preserve">) Upon infection with </w:t>
      </w:r>
      <w:r w:rsidR="007F1316" w:rsidRPr="00EB4CFA">
        <w:rPr>
          <w:b w:val="0"/>
          <w:i/>
          <w:color w:val="auto"/>
          <w:lang w:val="en-US"/>
        </w:rPr>
        <w:t>P.</w:t>
      </w:r>
      <w:r w:rsidR="000E221F">
        <w:rPr>
          <w:b w:val="0"/>
          <w:i/>
          <w:color w:val="auto"/>
          <w:lang w:val="en-US"/>
        </w:rPr>
        <w:t xml:space="preserve"> </w:t>
      </w:r>
      <w:r w:rsidR="007F1316" w:rsidRPr="00EB4CFA">
        <w:rPr>
          <w:b w:val="0"/>
          <w:i/>
          <w:color w:val="auto"/>
          <w:lang w:val="en-US"/>
        </w:rPr>
        <w:t>syringae</w:t>
      </w:r>
      <w:r w:rsidR="007F1316" w:rsidRPr="00EB4CFA">
        <w:rPr>
          <w:b w:val="0"/>
          <w:color w:val="auto"/>
          <w:lang w:val="en-US"/>
        </w:rPr>
        <w:t xml:space="preserve"> bacteria that introduce AvrB or AvrRpm1 effectors into the plant the RIN4 protein is phosphorylated by RPM1 INDUCED PROTEIN KINASE (RIPK), which leads to detection of modified RIN4 by RPM1. Detection of conformational changes in RIN4 induces activation of RPM1 protein and subsequent induction of</w:t>
      </w:r>
      <w:r w:rsidRPr="00EB4CFA">
        <w:rPr>
          <w:b w:val="0"/>
          <w:color w:val="auto"/>
          <w:lang w:val="en-US"/>
        </w:rPr>
        <w:t xml:space="preserve"> effector-triggered immunity. (C</w:t>
      </w:r>
      <w:r w:rsidR="007F1316" w:rsidRPr="00EB4CFA">
        <w:rPr>
          <w:b w:val="0"/>
          <w:color w:val="auto"/>
          <w:lang w:val="en-US"/>
        </w:rPr>
        <w:t xml:space="preserve">) Infection with a </w:t>
      </w:r>
      <w:r w:rsidR="001D1A87">
        <w:rPr>
          <w:b w:val="0"/>
          <w:i/>
          <w:color w:val="auto"/>
          <w:lang w:val="en-US"/>
        </w:rPr>
        <w:t>P.</w:t>
      </w:r>
      <w:r w:rsidR="000E221F">
        <w:rPr>
          <w:b w:val="0"/>
          <w:i/>
          <w:color w:val="auto"/>
          <w:lang w:val="en-US"/>
        </w:rPr>
        <w:t xml:space="preserve"> </w:t>
      </w:r>
      <w:r w:rsidR="001D1A87">
        <w:rPr>
          <w:b w:val="0"/>
          <w:i/>
          <w:color w:val="auto"/>
          <w:lang w:val="en-US"/>
        </w:rPr>
        <w:t>syringae</w:t>
      </w:r>
      <w:r w:rsidR="007F1316" w:rsidRPr="00EB4CFA">
        <w:rPr>
          <w:b w:val="0"/>
          <w:color w:val="auto"/>
          <w:lang w:val="en-US"/>
        </w:rPr>
        <w:t xml:space="preserve"> strain that inject</w:t>
      </w:r>
      <w:r w:rsidR="0071178D" w:rsidRPr="00EB4CFA">
        <w:rPr>
          <w:b w:val="0"/>
          <w:color w:val="auto"/>
          <w:lang w:val="en-US"/>
        </w:rPr>
        <w:t>s</w:t>
      </w:r>
      <w:r w:rsidR="007F1316" w:rsidRPr="00EB4CFA">
        <w:rPr>
          <w:b w:val="0"/>
          <w:color w:val="auto"/>
          <w:lang w:val="en-US"/>
        </w:rPr>
        <w:t xml:space="preserve"> AvrRpt2 effectors into plant cells leads to degradation of RIN4 protein and subsequent activation of RPS2, which indu</w:t>
      </w:r>
      <w:r w:rsidRPr="00EB4CFA">
        <w:rPr>
          <w:b w:val="0"/>
          <w:color w:val="auto"/>
          <w:lang w:val="en-US"/>
        </w:rPr>
        <w:t>ces effector-triggered immunity</w:t>
      </w:r>
      <w:r w:rsidR="007F1316" w:rsidRPr="00EB4CFA">
        <w:rPr>
          <w:b w:val="0"/>
          <w:color w:val="auto"/>
          <w:lang w:val="en-US"/>
        </w:rPr>
        <w:t xml:space="preserve"> </w:t>
      </w:r>
      <w:r w:rsidR="00FD6258">
        <w:rPr>
          <w:b w:val="0"/>
          <w:color w:val="auto"/>
          <w:lang w:val="en-US"/>
        </w:rPr>
        <w:t xml:space="preserve">(modified from </w:t>
      </w:r>
      <w:r w:rsidR="007F1316" w:rsidRPr="00EB4CFA">
        <w:rPr>
          <w:b w:val="0"/>
          <w:color w:val="auto"/>
          <w:lang w:val="en-US"/>
        </w:rPr>
        <w:t>Spoel and Dong, 2012</w:t>
      </w:r>
      <w:r w:rsidRPr="00EB4CFA">
        <w:rPr>
          <w:b w:val="0"/>
          <w:color w:val="auto"/>
          <w:lang w:val="en-US"/>
        </w:rPr>
        <w:t>)</w:t>
      </w:r>
      <w:r w:rsidR="007F1316" w:rsidRPr="00EB4CFA">
        <w:rPr>
          <w:b w:val="0"/>
          <w:color w:val="auto"/>
          <w:lang w:val="en-US"/>
        </w:rPr>
        <w:t>.</w:t>
      </w:r>
    </w:p>
    <w:p w:rsidR="00367904" w:rsidRDefault="006B0405" w:rsidP="00A846B2">
      <w:pPr>
        <w:spacing w:line="360" w:lineRule="auto"/>
        <w:jc w:val="both"/>
      </w:pPr>
      <w:r w:rsidRPr="006B0405">
        <w:t xml:space="preserve">In plants infected with </w:t>
      </w:r>
      <w:r w:rsidR="0029491B">
        <w:rPr>
          <w:i/>
        </w:rPr>
        <w:t>P.</w:t>
      </w:r>
      <w:r w:rsidR="000E221F">
        <w:rPr>
          <w:i/>
        </w:rPr>
        <w:t xml:space="preserve"> </w:t>
      </w:r>
      <w:r w:rsidR="0029491B">
        <w:rPr>
          <w:i/>
        </w:rPr>
        <w:t>syringae</w:t>
      </w:r>
      <w:r w:rsidR="0029491B">
        <w:t xml:space="preserve"> strains producing</w:t>
      </w:r>
      <w:r w:rsidRPr="006B0405">
        <w:t xml:space="preserve"> effector proteins AvrB or ArvRpm1, respectively, the RIN4 protein is targeted by these effectors and subsequently phosphorylated by </w:t>
      </w:r>
      <w:r w:rsidR="0029491B">
        <w:t>a RPM1-INDUCED PROTEIN KINASE. T</w:t>
      </w:r>
      <w:r w:rsidRPr="006B0405">
        <w:t>his change in phosphorylation status of RIN4 is detected by RPM1 and leads to induction of ETI responses (Spoel and Dong, 2012</w:t>
      </w:r>
      <w:r w:rsidR="005675B6">
        <w:t>;</w:t>
      </w:r>
      <w:r w:rsidR="005675B6" w:rsidRPr="005675B6">
        <w:t xml:space="preserve"> </w:t>
      </w:r>
      <w:r w:rsidR="005675B6" w:rsidRPr="006B0405">
        <w:t>Figure 4b</w:t>
      </w:r>
      <w:r w:rsidRPr="006B0405">
        <w:t xml:space="preserve">). Infection of plants with a </w:t>
      </w:r>
      <w:r w:rsidR="0029491B">
        <w:rPr>
          <w:i/>
        </w:rPr>
        <w:t>P.</w:t>
      </w:r>
      <w:r w:rsidR="000E221F">
        <w:rPr>
          <w:i/>
        </w:rPr>
        <w:t xml:space="preserve"> </w:t>
      </w:r>
      <w:r w:rsidR="0029491B">
        <w:rPr>
          <w:i/>
        </w:rPr>
        <w:t>syringae</w:t>
      </w:r>
      <w:r w:rsidRPr="006B0405">
        <w:t xml:space="preserve"> strain carrying the AvrRpt2 effector leads to cleavage of RIN4 protein by AvrRpt2</w:t>
      </w:r>
      <w:r w:rsidR="00AC3300">
        <w:t xml:space="preserve"> (Figure 4c)</w:t>
      </w:r>
      <w:r w:rsidRPr="006B0405">
        <w:t xml:space="preserve">. RIN4 physically interacts with RPS2 and RIN4 disappearance subsequently activates RPS2-mediated ETI responses (Axtell and Staskawicz, 2003). Considering the large number of effectors found in </w:t>
      </w:r>
      <w:r w:rsidRPr="006B0405">
        <w:rPr>
          <w:i/>
        </w:rPr>
        <w:t>Pseudomonas</w:t>
      </w:r>
      <w:r w:rsidRPr="006B0405">
        <w:t xml:space="preserve">, as well as other pathogens, it makes sense for the plant to monitor pathogen-mediated changes in proteins targeted by several different </w:t>
      </w:r>
      <w:r w:rsidR="007341AE">
        <w:t>effectors</w:t>
      </w:r>
      <w:r w:rsidRPr="006B0405">
        <w:t>, rather than having RPPs for every ef</w:t>
      </w:r>
      <w:r w:rsidR="0071178D">
        <w:t>fector introduced by pathogens.</w:t>
      </w:r>
      <w:r w:rsidR="00431343">
        <w:t xml:space="preserve"> </w:t>
      </w:r>
      <w:r w:rsidR="00694A8E" w:rsidRPr="006D4451">
        <w:rPr>
          <w:i/>
        </w:rPr>
        <w:t>P</w:t>
      </w:r>
      <w:r w:rsidR="000E221F">
        <w:rPr>
          <w:i/>
        </w:rPr>
        <w:t>.</w:t>
      </w:r>
      <w:r w:rsidR="00694A8E" w:rsidRPr="006D4451">
        <w:rPr>
          <w:i/>
        </w:rPr>
        <w:t xml:space="preserve"> syringae</w:t>
      </w:r>
      <w:r w:rsidR="00694A8E" w:rsidRPr="00367904">
        <w:t xml:space="preserve"> not only </w:t>
      </w:r>
      <w:r w:rsidR="007341AE">
        <w:t>inserts</w:t>
      </w:r>
      <w:r w:rsidR="00694A8E" w:rsidRPr="00367904">
        <w:t xml:space="preserve"> effectors into plant cells to </w:t>
      </w:r>
      <w:r w:rsidR="0029491B">
        <w:t>favour successful</w:t>
      </w:r>
      <w:r w:rsidR="00694A8E" w:rsidRPr="00367904">
        <w:t xml:space="preserve"> infection, but also to</w:t>
      </w:r>
      <w:r w:rsidR="0071178D">
        <w:t>xins. These phytotoxins usually</w:t>
      </w:r>
      <w:r w:rsidR="00694A8E" w:rsidRPr="00367904">
        <w:t xml:space="preserve"> induce chlorosis (coronatine, phaseolotoxin, and tabtoxin) or necrosis (syringomycin and syringopeptin) (Bender </w:t>
      </w:r>
      <w:r w:rsidR="00694A8E" w:rsidRPr="006D4451">
        <w:rPr>
          <w:i/>
        </w:rPr>
        <w:t>et al</w:t>
      </w:r>
      <w:r w:rsidR="00694A8E" w:rsidRPr="00367904">
        <w:t xml:space="preserve">., 1999) and despite not being required for infection of plants, act as virulence factors and can severely increase disease. </w:t>
      </w:r>
      <w:r w:rsidR="002E766F">
        <w:t xml:space="preserve">One of these toxins </w:t>
      </w:r>
      <w:r w:rsidR="002E766F">
        <w:softHyphen/>
      </w:r>
      <w:r w:rsidR="002E766F">
        <w:softHyphen/>
      </w:r>
      <w:r w:rsidR="002E766F">
        <w:softHyphen/>
      </w:r>
      <w:r w:rsidR="002E766F">
        <w:softHyphen/>
        <w:t>–</w:t>
      </w:r>
      <w:r w:rsidR="00694A8E" w:rsidRPr="006B0405">
        <w:t>coronatine, which</w:t>
      </w:r>
      <w:r w:rsidR="00694A8E">
        <w:t xml:space="preserve"> is composed of the polyketide </w:t>
      </w:r>
      <w:r w:rsidR="00694A8E" w:rsidRPr="006B0405">
        <w:t xml:space="preserve">coronafacic acid (CFA) and coronamic acid (CMA), an </w:t>
      </w:r>
      <w:r w:rsidR="00694A8E" w:rsidRPr="006B0405">
        <w:lastRenderedPageBreak/>
        <w:t>ethylcyclopropyl ami</w:t>
      </w:r>
      <w:r w:rsidR="0071178D">
        <w:t>no acid derived from isoleucine</w:t>
      </w:r>
      <w:r w:rsidR="002E766F">
        <w:t>–</w:t>
      </w:r>
      <w:r w:rsidR="00694A8E" w:rsidRPr="006B0405">
        <w:t xml:space="preserve"> was found to be of special interest, as it resembles jasmo</w:t>
      </w:r>
      <w:r w:rsidR="0071178D">
        <w:t>nate-i</w:t>
      </w:r>
      <w:r w:rsidR="00694A8E" w:rsidRPr="006B0405">
        <w:t>soleucine, the bioactive form of jasmonic acid</w:t>
      </w:r>
      <w:r w:rsidR="000E221F">
        <w:t xml:space="preserve"> (JA)</w:t>
      </w:r>
      <w:r w:rsidR="00C46937">
        <w:t>, and is perceived by the JA-receptor CORONATINE INSENSITIVE</w:t>
      </w:r>
      <w:r w:rsidR="00694A8E" w:rsidRPr="006B0405">
        <w:t xml:space="preserve">1 (COI1) (Katsir </w:t>
      </w:r>
      <w:r w:rsidR="00694A8E" w:rsidRPr="006B0405">
        <w:rPr>
          <w:i/>
        </w:rPr>
        <w:t>et al</w:t>
      </w:r>
      <w:r w:rsidR="00694A8E" w:rsidRPr="006B0405">
        <w:t xml:space="preserve">., 2008; Koo </w:t>
      </w:r>
      <w:r w:rsidR="00694A8E" w:rsidRPr="006B0405">
        <w:rPr>
          <w:i/>
        </w:rPr>
        <w:t>et al.</w:t>
      </w:r>
      <w:r w:rsidR="00694A8E">
        <w:t>, 2009</w:t>
      </w:r>
      <w:r w:rsidR="00AC3300">
        <w:t>;</w:t>
      </w:r>
      <w:r w:rsidR="00AC3300" w:rsidRPr="00AC3300">
        <w:t xml:space="preserve"> </w:t>
      </w:r>
      <w:r w:rsidR="00AC3300" w:rsidRPr="006B0405">
        <w:t>Figure 10</w:t>
      </w:r>
      <w:r w:rsidR="00694A8E">
        <w:t>).</w:t>
      </w:r>
    </w:p>
    <w:p w:rsidR="000525A8" w:rsidRDefault="006B0405" w:rsidP="00FC7225">
      <w:pPr>
        <w:keepNext/>
        <w:spacing w:after="0" w:line="360" w:lineRule="auto"/>
        <w:jc w:val="both"/>
      </w:pPr>
      <w:r w:rsidRPr="006B0405">
        <w:rPr>
          <w:noProof/>
          <w:lang w:val="de-DE" w:eastAsia="de-DE"/>
        </w:rPr>
        <w:drawing>
          <wp:anchor distT="0" distB="0" distL="114300" distR="114300" simplePos="0" relativeHeight="251664384" behindDoc="0" locked="0" layoutInCell="1" allowOverlap="1" wp14:anchorId="6E9BF3F7" wp14:editId="6FEB3E6B">
            <wp:simplePos x="895350" y="1381125"/>
            <wp:positionH relativeFrom="page">
              <wp:align>center</wp:align>
            </wp:positionH>
            <wp:positionV relativeFrom="paragraph">
              <wp:posOffset>0</wp:posOffset>
            </wp:positionV>
            <wp:extent cx="4374000" cy="2880000"/>
            <wp:effectExtent l="19050" t="19050" r="26670" b="15875"/>
            <wp:wrapTopAndBottom/>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JA antagonism_Koorneef2008.png"/>
                    <pic:cNvPicPr/>
                  </pic:nvPicPr>
                  <pic:blipFill>
                    <a:blip r:embed="rId17">
                      <a:extLst>
                        <a:ext uri="{28A0092B-C50C-407E-A947-70E740481C1C}">
                          <a14:useLocalDpi xmlns:a14="http://schemas.microsoft.com/office/drawing/2010/main" val="0"/>
                        </a:ext>
                      </a:extLst>
                    </a:blip>
                    <a:stretch>
                      <a:fillRect/>
                    </a:stretch>
                  </pic:blipFill>
                  <pic:spPr>
                    <a:xfrm>
                      <a:off x="0" y="0"/>
                      <a:ext cx="4374000" cy="2880000"/>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p>
    <w:p w:rsidR="00D94965" w:rsidRPr="00EB4CFA" w:rsidRDefault="000525A8" w:rsidP="0029491B">
      <w:pPr>
        <w:pStyle w:val="Beschriftung"/>
        <w:spacing w:after="0" w:line="360" w:lineRule="auto"/>
        <w:jc w:val="both"/>
        <w:rPr>
          <w:color w:val="auto"/>
          <w:lang w:val="en-US"/>
        </w:rPr>
      </w:pPr>
      <w:bookmarkStart w:id="15" w:name="_Toc435621123"/>
      <w:proofErr w:type="gramStart"/>
      <w:r w:rsidRPr="00EB4CFA">
        <w:rPr>
          <w:color w:val="auto"/>
        </w:rPr>
        <w:t xml:space="preserve">Figure </w:t>
      </w:r>
      <w:r w:rsidRPr="00EB4CFA">
        <w:rPr>
          <w:color w:val="auto"/>
        </w:rPr>
        <w:fldChar w:fldCharType="begin"/>
      </w:r>
      <w:r w:rsidRPr="00EB4CFA">
        <w:rPr>
          <w:color w:val="auto"/>
        </w:rPr>
        <w:instrText xml:space="preserve"> SEQ Figure \* ARABIC </w:instrText>
      </w:r>
      <w:r w:rsidRPr="00EB4CFA">
        <w:rPr>
          <w:color w:val="auto"/>
        </w:rPr>
        <w:fldChar w:fldCharType="separate"/>
      </w:r>
      <w:r w:rsidR="00CB17FE">
        <w:rPr>
          <w:noProof/>
          <w:color w:val="auto"/>
        </w:rPr>
        <w:t>5</w:t>
      </w:r>
      <w:r w:rsidRPr="00EB4CFA">
        <w:rPr>
          <w:color w:val="auto"/>
        </w:rPr>
        <w:fldChar w:fldCharType="end"/>
      </w:r>
      <w:r w:rsidR="0089676C">
        <w:rPr>
          <w:color w:val="auto"/>
        </w:rPr>
        <w:t>.</w:t>
      </w:r>
      <w:proofErr w:type="gramEnd"/>
      <w:r w:rsidRPr="00EB4CFA">
        <w:rPr>
          <w:color w:val="auto"/>
        </w:rPr>
        <w:t xml:space="preserve"> </w:t>
      </w:r>
      <w:proofErr w:type="gramStart"/>
      <w:r w:rsidR="00EB4CFA">
        <w:rPr>
          <w:color w:val="auto"/>
          <w:lang w:val="en-US"/>
        </w:rPr>
        <w:t>R</w:t>
      </w:r>
      <w:r w:rsidRPr="00EB4CFA">
        <w:rPr>
          <w:color w:val="auto"/>
          <w:lang w:val="en-US"/>
        </w:rPr>
        <w:t>eciprocal antagonism in SA- and JA-signalling.</w:t>
      </w:r>
      <w:bookmarkEnd w:id="15"/>
      <w:proofErr w:type="gramEnd"/>
      <w:r w:rsidRPr="00EB4CFA">
        <w:rPr>
          <w:color w:val="auto"/>
          <w:lang w:val="en-US"/>
        </w:rPr>
        <w:t xml:space="preserve">  </w:t>
      </w:r>
    </w:p>
    <w:p w:rsidR="006B0405" w:rsidRPr="00EB4CFA" w:rsidRDefault="000525A8" w:rsidP="0071178D">
      <w:pPr>
        <w:pStyle w:val="Beschriftung"/>
        <w:jc w:val="both"/>
        <w:rPr>
          <w:b w:val="0"/>
          <w:color w:val="auto"/>
          <w:lang w:val="en-US"/>
        </w:rPr>
      </w:pPr>
      <w:r w:rsidRPr="00EB4CFA">
        <w:rPr>
          <w:b w:val="0"/>
          <w:color w:val="auto"/>
          <w:lang w:val="en-US"/>
        </w:rPr>
        <w:t>SA-mediated defences were described to be effective against (hemi-)</w:t>
      </w:r>
      <w:r w:rsidR="00E62519" w:rsidRPr="00EB4CFA">
        <w:rPr>
          <w:b w:val="0"/>
          <w:color w:val="auto"/>
          <w:lang w:val="en-US"/>
        </w:rPr>
        <w:t xml:space="preserve"> </w:t>
      </w:r>
      <w:r w:rsidRPr="00EB4CFA">
        <w:rPr>
          <w:b w:val="0"/>
          <w:color w:val="auto"/>
          <w:lang w:val="en-US"/>
        </w:rPr>
        <w:t xml:space="preserve">biotrophic pathogens like </w:t>
      </w:r>
      <w:r w:rsidRPr="00EB4CFA">
        <w:rPr>
          <w:b w:val="0"/>
          <w:i/>
          <w:color w:val="auto"/>
          <w:lang w:val="en-US"/>
        </w:rPr>
        <w:t>H.</w:t>
      </w:r>
      <w:r w:rsidR="000E221F">
        <w:rPr>
          <w:b w:val="0"/>
          <w:i/>
          <w:color w:val="auto"/>
          <w:lang w:val="en-US"/>
        </w:rPr>
        <w:t xml:space="preserve"> </w:t>
      </w:r>
      <w:r w:rsidRPr="00EB4CFA">
        <w:rPr>
          <w:b w:val="0"/>
          <w:i/>
          <w:color w:val="auto"/>
          <w:lang w:val="en-US"/>
        </w:rPr>
        <w:t>arabidopsidis, P.</w:t>
      </w:r>
      <w:r w:rsidR="000E221F">
        <w:rPr>
          <w:b w:val="0"/>
          <w:i/>
          <w:color w:val="auto"/>
          <w:lang w:val="en-US"/>
        </w:rPr>
        <w:t xml:space="preserve"> </w:t>
      </w:r>
      <w:r w:rsidRPr="00EB4CFA">
        <w:rPr>
          <w:b w:val="0"/>
          <w:i/>
          <w:color w:val="auto"/>
          <w:lang w:val="en-US"/>
        </w:rPr>
        <w:t>syringae</w:t>
      </w:r>
      <w:r w:rsidRPr="00EB4CFA">
        <w:rPr>
          <w:b w:val="0"/>
          <w:color w:val="auto"/>
          <w:lang w:val="en-US"/>
        </w:rPr>
        <w:t xml:space="preserve">, and the turnip crinkle virus. JA-mediated defences are predominantly effective against herbivorous insects and necrotrophic pathogens like </w:t>
      </w:r>
      <w:r w:rsidRPr="00EB4CFA">
        <w:rPr>
          <w:b w:val="0"/>
          <w:i/>
          <w:color w:val="auto"/>
          <w:lang w:val="en-US"/>
        </w:rPr>
        <w:t>A.</w:t>
      </w:r>
      <w:r w:rsidR="00C46937">
        <w:rPr>
          <w:b w:val="0"/>
          <w:i/>
          <w:color w:val="auto"/>
          <w:lang w:val="en-US"/>
        </w:rPr>
        <w:t xml:space="preserve"> </w:t>
      </w:r>
      <w:r w:rsidRPr="00EB4CFA">
        <w:rPr>
          <w:b w:val="0"/>
          <w:i/>
          <w:color w:val="auto"/>
          <w:lang w:val="en-US"/>
        </w:rPr>
        <w:t>brassicicola</w:t>
      </w:r>
      <w:r w:rsidRPr="00EB4CFA">
        <w:rPr>
          <w:b w:val="0"/>
          <w:color w:val="auto"/>
          <w:lang w:val="en-US"/>
        </w:rPr>
        <w:t xml:space="preserve">. As an indicator for SA- and JA-mediated responses in plants respective gene expression of </w:t>
      </w:r>
      <w:r w:rsidRPr="00EB4CFA">
        <w:rPr>
          <w:b w:val="0"/>
          <w:i/>
          <w:color w:val="auto"/>
          <w:lang w:val="en-US"/>
        </w:rPr>
        <w:t>PR-1</w:t>
      </w:r>
      <w:r w:rsidRPr="00EB4CFA">
        <w:rPr>
          <w:b w:val="0"/>
          <w:color w:val="auto"/>
          <w:lang w:val="en-US"/>
        </w:rPr>
        <w:t xml:space="preserve"> and </w:t>
      </w:r>
      <w:r w:rsidRPr="00EB4CFA">
        <w:rPr>
          <w:b w:val="0"/>
          <w:i/>
          <w:color w:val="auto"/>
          <w:lang w:val="en-US"/>
        </w:rPr>
        <w:t>PDF1.2</w:t>
      </w:r>
      <w:r w:rsidRPr="00EB4CFA">
        <w:rPr>
          <w:b w:val="0"/>
          <w:color w:val="auto"/>
          <w:lang w:val="en-US"/>
        </w:rPr>
        <w:t xml:space="preserve"> is typically analysed. Figure modified from Koorneef and Pieterse, 2008.</w:t>
      </w:r>
    </w:p>
    <w:p w:rsidR="00102B90" w:rsidRDefault="003C7329" w:rsidP="006B0405">
      <w:pPr>
        <w:spacing w:line="360" w:lineRule="auto"/>
        <w:jc w:val="both"/>
      </w:pPr>
      <w:r>
        <w:t>Activation of the JA</w:t>
      </w:r>
      <w:r w:rsidR="006B0405" w:rsidRPr="006B0405">
        <w:t xml:space="preserve">-signalling pathway was shown to repress </w:t>
      </w:r>
      <w:r w:rsidR="000E221F">
        <w:t>salicylic acid (</w:t>
      </w:r>
      <w:r w:rsidR="006B0405" w:rsidRPr="006B0405">
        <w:t>SA</w:t>
      </w:r>
      <w:r w:rsidR="000E221F">
        <w:t>)</w:t>
      </w:r>
      <w:r w:rsidR="006B0405" w:rsidRPr="006B0405">
        <w:t>-mediated signalling (Figure 5), which is effective against (hemi-)</w:t>
      </w:r>
      <w:r w:rsidR="00102B90">
        <w:t xml:space="preserve"> </w:t>
      </w:r>
      <w:r w:rsidR="006B0405" w:rsidRPr="006B0405">
        <w:t xml:space="preserve">biotrophic pathogens and this </w:t>
      </w:r>
      <w:r w:rsidR="0029491B">
        <w:t>provides</w:t>
      </w:r>
      <w:r w:rsidR="006B0405" w:rsidRPr="006B0405">
        <w:t xml:space="preserve"> clear evidence that </w:t>
      </w:r>
      <w:r w:rsidR="0029491B">
        <w:rPr>
          <w:i/>
        </w:rPr>
        <w:t>P.</w:t>
      </w:r>
      <w:r w:rsidR="000E221F">
        <w:rPr>
          <w:i/>
        </w:rPr>
        <w:t xml:space="preserve"> </w:t>
      </w:r>
      <w:r w:rsidR="0029491B">
        <w:rPr>
          <w:i/>
        </w:rPr>
        <w:t>syringae</w:t>
      </w:r>
      <w:r w:rsidR="006B0405" w:rsidRPr="006B0405">
        <w:t xml:space="preserve"> actively manipulates plant hormone pathways to enable infection. </w:t>
      </w:r>
    </w:p>
    <w:p w:rsidR="00B517AA" w:rsidRDefault="00B517AA" w:rsidP="00102B90">
      <w:pPr>
        <w:pStyle w:val="berschrift2"/>
        <w:spacing w:after="240"/>
        <w:jc w:val="both"/>
        <w:rPr>
          <w:color w:val="auto"/>
        </w:rPr>
        <w:sectPr w:rsidR="00B517AA" w:rsidSect="009608E1">
          <w:headerReference w:type="default" r:id="rId18"/>
          <w:type w:val="continuous"/>
          <w:pgSz w:w="11906" w:h="16838"/>
          <w:pgMar w:top="1417" w:right="1417" w:bottom="1134" w:left="1417" w:header="708" w:footer="708" w:gutter="0"/>
          <w:cols w:space="708"/>
          <w:titlePg/>
          <w:docGrid w:linePitch="360"/>
        </w:sectPr>
      </w:pPr>
    </w:p>
    <w:p w:rsidR="00102B90" w:rsidRPr="00102B90" w:rsidRDefault="00563EC1" w:rsidP="00102B90">
      <w:pPr>
        <w:pStyle w:val="berschrift2"/>
        <w:spacing w:after="240"/>
        <w:jc w:val="both"/>
        <w:rPr>
          <w:color w:val="auto"/>
        </w:rPr>
      </w:pPr>
      <w:bookmarkStart w:id="16" w:name="_Toc435621205"/>
      <w:r>
        <w:rPr>
          <w:color w:val="auto"/>
        </w:rPr>
        <w:lastRenderedPageBreak/>
        <w:t xml:space="preserve">3.3 </w:t>
      </w:r>
      <w:r w:rsidR="00102B90">
        <w:rPr>
          <w:color w:val="auto"/>
        </w:rPr>
        <w:t>Systemic acquired resistance and defence signalling</w:t>
      </w:r>
      <w:bookmarkEnd w:id="16"/>
    </w:p>
    <w:p w:rsidR="002E5900" w:rsidRDefault="006B0405" w:rsidP="00A846B2">
      <w:pPr>
        <w:spacing w:line="360" w:lineRule="auto"/>
        <w:jc w:val="both"/>
      </w:pPr>
      <w:r w:rsidRPr="006B0405">
        <w:t>Besides triggering innate immunity in plant cells, percept</w:t>
      </w:r>
      <w:r w:rsidR="00891562">
        <w:t>ion of host and nonhost microbes</w:t>
      </w:r>
      <w:r w:rsidRPr="006B0405">
        <w:t xml:space="preserve"> leads to </w:t>
      </w:r>
      <w:r w:rsidR="00AB7AAF">
        <w:t>accumulation of defence-related gene products</w:t>
      </w:r>
      <w:r w:rsidRPr="006B0405">
        <w:t xml:space="preserve"> and metabolites.</w:t>
      </w:r>
      <w:r w:rsidR="00465AEC" w:rsidRPr="00465AEC">
        <w:t xml:space="preserve"> This sets in motion a strongly regulated series of (feedback</w:t>
      </w:r>
      <w:r w:rsidR="00AF2D22">
        <w:t>-</w:t>
      </w:r>
      <w:r w:rsidR="00465AEC" w:rsidRPr="00465AEC">
        <w:t xml:space="preserve">) amplification loops and crosstalk between different metabolite pathways and </w:t>
      </w:r>
      <w:r w:rsidR="00891562">
        <w:t xml:space="preserve">often </w:t>
      </w:r>
      <w:r w:rsidR="00465AEC" w:rsidRPr="00465AEC">
        <w:t xml:space="preserve">induces systemic acquired resistance (SAR; Durrant and Dong, 2004), a defence mechanism, which confers broad spectrum resistance to </w:t>
      </w:r>
      <w:r w:rsidR="003C7329">
        <w:t xml:space="preserve">the </w:t>
      </w:r>
      <w:r w:rsidR="00465AEC" w:rsidRPr="00465AEC">
        <w:t xml:space="preserve">whole </w:t>
      </w:r>
      <w:r w:rsidR="003C7329">
        <w:t>plant</w:t>
      </w:r>
      <w:r w:rsidR="00465AEC" w:rsidRPr="00465AEC">
        <w:t xml:space="preserve"> </w:t>
      </w:r>
      <w:r w:rsidR="003C7329">
        <w:t xml:space="preserve">foliage </w:t>
      </w:r>
      <w:r w:rsidR="00465AEC" w:rsidRPr="00465AEC">
        <w:t>after an initial localised</w:t>
      </w:r>
      <w:r w:rsidR="003C7329">
        <w:t xml:space="preserve"> leaf</w:t>
      </w:r>
      <w:r w:rsidR="00465AEC" w:rsidRPr="00465AEC">
        <w:t xml:space="preserve"> infection. </w:t>
      </w:r>
      <w:r w:rsidR="000E221F">
        <w:t>SAR</w:t>
      </w:r>
      <w:r w:rsidR="001F1464">
        <w:t xml:space="preserve"> is</w:t>
      </w:r>
      <w:r w:rsidR="00B50EF3">
        <w:t xml:space="preserve"> characterised as a combination of </w:t>
      </w:r>
      <w:r w:rsidR="00891562">
        <w:t>pre</w:t>
      </w:r>
      <w:r w:rsidR="00B50EF3">
        <w:t>activated defence reactions and enhanced alert</w:t>
      </w:r>
      <w:r w:rsidR="002174D1">
        <w:t>ness</w:t>
      </w:r>
      <w:r w:rsidR="00B50EF3">
        <w:t>.</w:t>
      </w:r>
      <w:r w:rsidR="002174D1">
        <w:t xml:space="preserve"> Plants in </w:t>
      </w:r>
      <w:r w:rsidR="001C1FA7">
        <w:t xml:space="preserve">the </w:t>
      </w:r>
      <w:r w:rsidR="002174D1">
        <w:t xml:space="preserve">SAR state demonstrate the ability to react faster and more strongly to subsequent </w:t>
      </w:r>
      <w:r w:rsidR="00F15556">
        <w:t>threats by accumulation of</w:t>
      </w:r>
      <w:r w:rsidR="008A6D02">
        <w:t xml:space="preserve"> </w:t>
      </w:r>
      <w:r w:rsidR="002174D1">
        <w:t xml:space="preserve">active defence compounds or precursors </w:t>
      </w:r>
      <w:r w:rsidR="00F15556">
        <w:t>thereof</w:t>
      </w:r>
      <w:r w:rsidR="009820CE">
        <w:t>, preactivation of defence signalling pathways,</w:t>
      </w:r>
      <w:r w:rsidR="002174D1">
        <w:t xml:space="preserve"> and priming of gene expression.</w:t>
      </w:r>
      <w:r w:rsidR="00431343">
        <w:t xml:space="preserve"> </w:t>
      </w:r>
      <w:r w:rsidR="00465AEC" w:rsidRPr="00465AEC">
        <w:t xml:space="preserve">As a central regulator for innate </w:t>
      </w:r>
      <w:r w:rsidR="00465AEC" w:rsidRPr="00465AEC">
        <w:lastRenderedPageBreak/>
        <w:t>immunity and SAR</w:t>
      </w:r>
      <w:r w:rsidR="002E5900">
        <w:t>,</w:t>
      </w:r>
      <w:r w:rsidR="00465AEC" w:rsidRPr="00465AEC">
        <w:t xml:space="preserve"> the non-protein amino acid pipecolic acid </w:t>
      </w:r>
      <w:r w:rsidR="00C73D60">
        <w:t xml:space="preserve">(Pip) </w:t>
      </w:r>
      <w:r w:rsidR="00465AEC" w:rsidRPr="00465AEC">
        <w:t xml:space="preserve">was identified (Návarová </w:t>
      </w:r>
      <w:r w:rsidR="00465AEC" w:rsidRPr="006D4451">
        <w:rPr>
          <w:i/>
        </w:rPr>
        <w:t>et al.,</w:t>
      </w:r>
      <w:r w:rsidR="008F455A">
        <w:t xml:space="preserve"> 2012</w:t>
      </w:r>
      <w:r w:rsidR="00465AEC" w:rsidRPr="00465AEC">
        <w:t xml:space="preserve">). Pip </w:t>
      </w:r>
      <w:r w:rsidR="002E5900">
        <w:t>is</w:t>
      </w:r>
      <w:r w:rsidR="00465AEC" w:rsidRPr="00465AEC">
        <w:t xml:space="preserve"> </w:t>
      </w:r>
      <w:r w:rsidR="00A27909">
        <w:t>a lysine derivativ</w:t>
      </w:r>
      <w:r w:rsidR="00B50EF3">
        <w:t>e, whose biosynthesis is catalys</w:t>
      </w:r>
      <w:r w:rsidR="00A27909">
        <w:t xml:space="preserve">ed by the aminotransferase </w:t>
      </w:r>
      <w:r w:rsidR="00465AEC" w:rsidRPr="00465AEC">
        <w:t>ALD1 (Figure 7) and</w:t>
      </w:r>
      <w:r w:rsidR="00A27909">
        <w:t xml:space="preserve"> which</w:t>
      </w:r>
      <w:r w:rsidR="00465AEC" w:rsidRPr="00465AEC">
        <w:t xml:space="preserve"> is found in local</w:t>
      </w:r>
      <w:r w:rsidR="00A27909">
        <w:t>ly</w:t>
      </w:r>
      <w:r w:rsidR="00465AEC" w:rsidRPr="00465AEC">
        <w:t xml:space="preserve"> </w:t>
      </w:r>
      <w:r w:rsidR="00F15556">
        <w:rPr>
          <w:i/>
        </w:rPr>
        <w:t>P.</w:t>
      </w:r>
      <w:r w:rsidR="000E221F">
        <w:rPr>
          <w:i/>
        </w:rPr>
        <w:t xml:space="preserve"> </w:t>
      </w:r>
      <w:r w:rsidR="00F15556" w:rsidRPr="00F15556">
        <w:t>syringae</w:t>
      </w:r>
      <w:r w:rsidR="00F15556">
        <w:t>-</w:t>
      </w:r>
      <w:r w:rsidR="00465AEC" w:rsidRPr="00F15556">
        <w:t>infected</w:t>
      </w:r>
      <w:r w:rsidR="00465AEC" w:rsidRPr="00465AEC">
        <w:t xml:space="preserve"> leaves as well as in leaves distal from the infection site. Pip regulates plant resistance in local</w:t>
      </w:r>
      <w:r w:rsidR="002E6D94">
        <w:t>ly</w:t>
      </w:r>
      <w:r w:rsidR="00465AEC" w:rsidRPr="00465AEC">
        <w:t xml:space="preserve"> infected leaves by amplifying defence responses that lead to</w:t>
      </w:r>
      <w:r w:rsidR="002E6D94">
        <w:t xml:space="preserve"> the</w:t>
      </w:r>
      <w:r w:rsidR="00465AEC" w:rsidRPr="00465AEC">
        <w:t xml:space="preserve"> accumulation of important defence compounds like </w:t>
      </w:r>
      <w:r w:rsidR="000E221F">
        <w:t>SA</w:t>
      </w:r>
      <w:r w:rsidR="00465AEC" w:rsidRPr="00465AEC">
        <w:t xml:space="preserve"> and the phytoalexin camalexin (Návarová </w:t>
      </w:r>
      <w:r w:rsidR="00465AEC" w:rsidRPr="006D4451">
        <w:rPr>
          <w:i/>
        </w:rPr>
        <w:t>et al</w:t>
      </w:r>
      <w:r w:rsidR="00465AEC" w:rsidRPr="00465AEC">
        <w:t xml:space="preserve">., 2012). This non-protein amino acid was also found in significant amounts in petiole exudates and accumulates to comparably high levels in distal leaves. </w:t>
      </w:r>
    </w:p>
    <w:p w:rsidR="00BF75E0" w:rsidRDefault="006B0405" w:rsidP="00FC7225">
      <w:pPr>
        <w:keepNext/>
        <w:spacing w:after="0" w:line="360" w:lineRule="auto"/>
        <w:jc w:val="both"/>
      </w:pPr>
      <w:r w:rsidRPr="006B0405">
        <w:rPr>
          <w:noProof/>
          <w:lang w:val="de-DE" w:eastAsia="de-DE"/>
        </w:rPr>
        <w:drawing>
          <wp:anchor distT="0" distB="0" distL="114300" distR="114300" simplePos="0" relativeHeight="251665408" behindDoc="0" locked="0" layoutInCell="1" allowOverlap="1" wp14:anchorId="7114DCC5" wp14:editId="486662A2">
            <wp:simplePos x="895350" y="1866900"/>
            <wp:positionH relativeFrom="page">
              <wp:align>center</wp:align>
            </wp:positionH>
            <wp:positionV relativeFrom="paragraph">
              <wp:posOffset>3810</wp:posOffset>
            </wp:positionV>
            <wp:extent cx="4680000" cy="4355335"/>
            <wp:effectExtent l="19050" t="19050" r="25400" b="26670"/>
            <wp:wrapTopAndBottom/>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p amplification loop Navarova et al 2012.png"/>
                    <pic:cNvPicPr/>
                  </pic:nvPicPr>
                  <pic:blipFill>
                    <a:blip r:embed="rId19">
                      <a:extLst>
                        <a:ext uri="{28A0092B-C50C-407E-A947-70E740481C1C}">
                          <a14:useLocalDpi xmlns:a14="http://schemas.microsoft.com/office/drawing/2010/main" val="0"/>
                        </a:ext>
                      </a:extLst>
                    </a:blip>
                    <a:stretch>
                      <a:fillRect/>
                    </a:stretch>
                  </pic:blipFill>
                  <pic:spPr>
                    <a:xfrm>
                      <a:off x="0" y="0"/>
                      <a:ext cx="4680000" cy="4355335"/>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p>
    <w:p w:rsidR="00D94965" w:rsidRPr="00EB4CFA" w:rsidRDefault="00BF75E0" w:rsidP="00226AB4">
      <w:pPr>
        <w:pStyle w:val="Beschriftung"/>
        <w:spacing w:after="0" w:line="360" w:lineRule="auto"/>
        <w:jc w:val="both"/>
        <w:rPr>
          <w:color w:val="auto"/>
          <w:lang w:val="en-US"/>
        </w:rPr>
      </w:pPr>
      <w:bookmarkStart w:id="17" w:name="_Toc435621124"/>
      <w:proofErr w:type="gramStart"/>
      <w:r w:rsidRPr="00EB4CFA">
        <w:rPr>
          <w:color w:val="auto"/>
        </w:rPr>
        <w:t xml:space="preserve">Figure </w:t>
      </w:r>
      <w:r w:rsidRPr="00EB4CFA">
        <w:rPr>
          <w:color w:val="auto"/>
        </w:rPr>
        <w:fldChar w:fldCharType="begin"/>
      </w:r>
      <w:r w:rsidRPr="00EB4CFA">
        <w:rPr>
          <w:color w:val="auto"/>
        </w:rPr>
        <w:instrText xml:space="preserve"> SEQ Figure \* ARABIC </w:instrText>
      </w:r>
      <w:r w:rsidRPr="00EB4CFA">
        <w:rPr>
          <w:color w:val="auto"/>
        </w:rPr>
        <w:fldChar w:fldCharType="separate"/>
      </w:r>
      <w:r w:rsidR="00CB17FE">
        <w:rPr>
          <w:noProof/>
          <w:color w:val="auto"/>
        </w:rPr>
        <w:t>6</w:t>
      </w:r>
      <w:r w:rsidRPr="00EB4CFA">
        <w:rPr>
          <w:color w:val="auto"/>
        </w:rPr>
        <w:fldChar w:fldCharType="end"/>
      </w:r>
      <w:r w:rsidR="0089676C">
        <w:rPr>
          <w:color w:val="auto"/>
        </w:rPr>
        <w:t>.</w:t>
      </w:r>
      <w:proofErr w:type="gramEnd"/>
      <w:r w:rsidRPr="00EB4CFA">
        <w:rPr>
          <w:color w:val="auto"/>
        </w:rPr>
        <w:t xml:space="preserve"> </w:t>
      </w:r>
      <w:proofErr w:type="gramStart"/>
      <w:r w:rsidR="0016645B">
        <w:rPr>
          <w:color w:val="auto"/>
          <w:lang w:val="en-US"/>
        </w:rPr>
        <w:t>I</w:t>
      </w:r>
      <w:r w:rsidRPr="00EB4CFA">
        <w:rPr>
          <w:color w:val="auto"/>
          <w:lang w:val="en-US"/>
        </w:rPr>
        <w:t>nduction of basal resistance and SAR</w:t>
      </w:r>
      <w:r w:rsidR="00891562" w:rsidRPr="00EB4CFA">
        <w:rPr>
          <w:color w:val="auto"/>
          <w:lang w:val="en-US"/>
        </w:rPr>
        <w:t xml:space="preserve"> in </w:t>
      </w:r>
      <w:r w:rsidR="00891562" w:rsidRPr="00EB4CFA">
        <w:rPr>
          <w:i/>
          <w:color w:val="auto"/>
          <w:lang w:val="en-US"/>
        </w:rPr>
        <w:t>Arabidopsis thaliana</w:t>
      </w:r>
      <w:r w:rsidRPr="00EB4CFA">
        <w:rPr>
          <w:color w:val="auto"/>
          <w:lang w:val="en-US"/>
        </w:rPr>
        <w:t>.</w:t>
      </w:r>
      <w:bookmarkEnd w:id="17"/>
      <w:proofErr w:type="gramEnd"/>
      <w:r w:rsidRPr="00EB4CFA">
        <w:rPr>
          <w:color w:val="auto"/>
          <w:lang w:val="en-US"/>
        </w:rPr>
        <w:t xml:space="preserve"> </w:t>
      </w:r>
    </w:p>
    <w:p w:rsidR="006B0405" w:rsidRPr="00EB4CFA" w:rsidRDefault="00BF75E0" w:rsidP="00891562">
      <w:pPr>
        <w:pStyle w:val="Beschriftung"/>
        <w:jc w:val="both"/>
        <w:rPr>
          <w:b w:val="0"/>
          <w:color w:val="auto"/>
        </w:rPr>
      </w:pPr>
      <w:r w:rsidRPr="00EB4CFA">
        <w:rPr>
          <w:b w:val="0"/>
          <w:color w:val="auto"/>
          <w:lang w:val="en-US"/>
        </w:rPr>
        <w:t xml:space="preserve">Infection with a pathogen or perception of PAMPs leads to </w:t>
      </w:r>
      <w:r w:rsidR="00F865A3">
        <w:rPr>
          <w:b w:val="0"/>
          <w:color w:val="auto"/>
          <w:lang w:val="en-US"/>
        </w:rPr>
        <w:t xml:space="preserve">a </w:t>
      </w:r>
      <w:r w:rsidRPr="00EB4CFA">
        <w:rPr>
          <w:b w:val="0"/>
          <w:color w:val="auto"/>
          <w:lang w:val="en-US"/>
        </w:rPr>
        <w:t xml:space="preserve">decrease of Asp and an increase in Lys levels, which serves as precursor for Pip and Aad. Rising </w:t>
      </w:r>
      <w:r w:rsidR="000B4D4B">
        <w:rPr>
          <w:b w:val="0"/>
          <w:color w:val="auto"/>
          <w:lang w:val="en-US"/>
        </w:rPr>
        <w:t>Pip-levels</w:t>
      </w:r>
      <w:r w:rsidRPr="00EB4CFA">
        <w:rPr>
          <w:b w:val="0"/>
          <w:color w:val="auto"/>
          <w:lang w:val="en-US"/>
        </w:rPr>
        <w:t xml:space="preserve"> induce a defence amplification mechanism by upregulating Pip biosynthesis via enhanced </w:t>
      </w:r>
      <w:r w:rsidRPr="00EB4CFA">
        <w:rPr>
          <w:b w:val="0"/>
          <w:i/>
          <w:color w:val="auto"/>
          <w:lang w:val="en-US"/>
        </w:rPr>
        <w:t>ALD1</w:t>
      </w:r>
      <w:r w:rsidRPr="00EB4CFA">
        <w:rPr>
          <w:b w:val="0"/>
          <w:color w:val="auto"/>
          <w:lang w:val="en-US"/>
        </w:rPr>
        <w:t xml:space="preserve"> expression, </w:t>
      </w:r>
      <w:r w:rsidR="0016645B">
        <w:rPr>
          <w:b w:val="0"/>
          <w:color w:val="auto"/>
          <w:lang w:val="en-US"/>
        </w:rPr>
        <w:t>as well as induction of SA and c</w:t>
      </w:r>
      <w:r w:rsidRPr="00EB4CFA">
        <w:rPr>
          <w:b w:val="0"/>
          <w:color w:val="auto"/>
          <w:lang w:val="en-US"/>
        </w:rPr>
        <w:t>am</w:t>
      </w:r>
      <w:r w:rsidR="0016645B">
        <w:rPr>
          <w:b w:val="0"/>
          <w:color w:val="auto"/>
          <w:lang w:val="en-US"/>
        </w:rPr>
        <w:t>alexin</w:t>
      </w:r>
      <w:r w:rsidRPr="00EB4CFA">
        <w:rPr>
          <w:b w:val="0"/>
          <w:color w:val="auto"/>
          <w:lang w:val="en-US"/>
        </w:rPr>
        <w:t xml:space="preserve"> accumulation. Pip is further actively transported out of infected leaves and travels via </w:t>
      </w:r>
      <w:r w:rsidR="00891562" w:rsidRPr="00EB4CFA">
        <w:rPr>
          <w:b w:val="0"/>
          <w:color w:val="auto"/>
          <w:lang w:val="en-US"/>
        </w:rPr>
        <w:t xml:space="preserve">the </w:t>
      </w:r>
      <w:r w:rsidRPr="00EB4CFA">
        <w:rPr>
          <w:b w:val="0"/>
          <w:color w:val="auto"/>
          <w:lang w:val="en-US"/>
        </w:rPr>
        <w:t xml:space="preserve">phloem to leaves distal of the infection site. In distal leaves the arriving </w:t>
      </w:r>
      <w:r w:rsidR="00AF2D22">
        <w:rPr>
          <w:b w:val="0"/>
          <w:color w:val="auto"/>
          <w:lang w:val="en-US"/>
        </w:rPr>
        <w:t>Pip</w:t>
      </w:r>
      <w:r w:rsidRPr="00EB4CFA">
        <w:rPr>
          <w:b w:val="0"/>
          <w:color w:val="auto"/>
          <w:lang w:val="en-US"/>
        </w:rPr>
        <w:t xml:space="preserve"> induces a feedback amplification mechanism consisting of </w:t>
      </w:r>
      <w:r w:rsidRPr="00EB4CFA">
        <w:rPr>
          <w:b w:val="0"/>
          <w:i/>
          <w:color w:val="auto"/>
          <w:lang w:val="en-US"/>
        </w:rPr>
        <w:t>ALD1, FMO1</w:t>
      </w:r>
      <w:r w:rsidRPr="00EB4CFA">
        <w:rPr>
          <w:b w:val="0"/>
          <w:color w:val="auto"/>
          <w:lang w:val="en-US"/>
        </w:rPr>
        <w:t xml:space="preserve">, and </w:t>
      </w:r>
      <w:r w:rsidRPr="00EB4CFA">
        <w:rPr>
          <w:b w:val="0"/>
          <w:i/>
          <w:color w:val="auto"/>
          <w:lang w:val="en-US"/>
        </w:rPr>
        <w:t>ICS1</w:t>
      </w:r>
      <w:r w:rsidRPr="00EB4CFA">
        <w:rPr>
          <w:b w:val="0"/>
          <w:color w:val="auto"/>
          <w:lang w:val="en-US"/>
        </w:rPr>
        <w:t xml:space="preserve"> expression and accumulation of Pip and SA in distal leaves, which eventually results in activation of SA</w:t>
      </w:r>
      <w:r w:rsidR="001D06E3" w:rsidRPr="00EB4CFA">
        <w:rPr>
          <w:b w:val="0"/>
          <w:color w:val="auto"/>
          <w:lang w:val="en-US"/>
        </w:rPr>
        <w:t>R and defence priming in plants</w:t>
      </w:r>
      <w:r w:rsidRPr="00EB4CFA">
        <w:rPr>
          <w:b w:val="0"/>
          <w:color w:val="auto"/>
          <w:lang w:val="en-US"/>
        </w:rPr>
        <w:t xml:space="preserve"> </w:t>
      </w:r>
      <w:r w:rsidR="001D06E3" w:rsidRPr="00EB4CFA">
        <w:rPr>
          <w:b w:val="0"/>
          <w:color w:val="auto"/>
          <w:lang w:val="en-US"/>
        </w:rPr>
        <w:t>(</w:t>
      </w:r>
      <w:r w:rsidRPr="00EB4CFA">
        <w:rPr>
          <w:b w:val="0"/>
          <w:color w:val="auto"/>
          <w:lang w:val="en-US"/>
        </w:rPr>
        <w:t xml:space="preserve">Návarová </w:t>
      </w:r>
      <w:r w:rsidRPr="00EB4CFA">
        <w:rPr>
          <w:b w:val="0"/>
          <w:i/>
          <w:color w:val="auto"/>
          <w:lang w:val="en-US"/>
        </w:rPr>
        <w:t>et al.</w:t>
      </w:r>
      <w:r w:rsidRPr="00EB4CFA">
        <w:rPr>
          <w:b w:val="0"/>
          <w:color w:val="auto"/>
          <w:lang w:val="en-US"/>
        </w:rPr>
        <w:t>, 2012</w:t>
      </w:r>
      <w:r w:rsidR="001D06E3" w:rsidRPr="00EB4CFA">
        <w:rPr>
          <w:b w:val="0"/>
          <w:color w:val="auto"/>
          <w:lang w:val="en-US"/>
        </w:rPr>
        <w:t>)</w:t>
      </w:r>
      <w:r w:rsidRPr="00EB4CFA">
        <w:rPr>
          <w:b w:val="0"/>
          <w:color w:val="auto"/>
          <w:lang w:val="en-US"/>
        </w:rPr>
        <w:t>.</w:t>
      </w:r>
    </w:p>
    <w:p w:rsidR="008523FC" w:rsidRDefault="00D41758" w:rsidP="008523FC">
      <w:pPr>
        <w:spacing w:after="0" w:line="360" w:lineRule="auto"/>
        <w:jc w:val="both"/>
      </w:pPr>
      <w:r w:rsidRPr="00465AEC">
        <w:t xml:space="preserve">In the current model, </w:t>
      </w:r>
      <w:r w:rsidR="009B262F">
        <w:t xml:space="preserve">local </w:t>
      </w:r>
      <w:r w:rsidRPr="00465AEC">
        <w:t>Pip</w:t>
      </w:r>
      <w:r w:rsidR="00D00A58">
        <w:t>-</w:t>
      </w:r>
      <w:r w:rsidR="009B262F">
        <w:t>production</w:t>
      </w:r>
      <w:r w:rsidRPr="00465AEC">
        <w:t xml:space="preserve"> </w:t>
      </w:r>
      <w:r w:rsidR="009B262F">
        <w:t>initiates</w:t>
      </w:r>
      <w:r w:rsidRPr="00465AEC">
        <w:t xml:space="preserve"> an amplification module </w:t>
      </w:r>
      <w:r w:rsidR="00D00A58">
        <w:t>that</w:t>
      </w:r>
      <w:r w:rsidRPr="00465AEC">
        <w:t xml:space="preserve"> increase</w:t>
      </w:r>
      <w:r w:rsidR="00D00A58">
        <w:t>s</w:t>
      </w:r>
      <w:r w:rsidRPr="00465AEC">
        <w:t xml:space="preserve"> gene expression of </w:t>
      </w:r>
      <w:r w:rsidRPr="006D4451">
        <w:rPr>
          <w:i/>
        </w:rPr>
        <w:t>ALD1, FMO1</w:t>
      </w:r>
      <w:r w:rsidRPr="00465AEC">
        <w:t xml:space="preserve">, and </w:t>
      </w:r>
      <w:r w:rsidRPr="006D4451">
        <w:rPr>
          <w:i/>
        </w:rPr>
        <w:t>ICS1</w:t>
      </w:r>
      <w:r>
        <w:t xml:space="preserve"> in distal leaves</w:t>
      </w:r>
      <w:r w:rsidR="009B262F">
        <w:t>, thereby inducing</w:t>
      </w:r>
      <w:r w:rsidRPr="00465AEC">
        <w:t xml:space="preserve"> </w:t>
      </w:r>
      <w:r>
        <w:t xml:space="preserve">an increase in </w:t>
      </w:r>
      <w:r w:rsidRPr="00465AEC">
        <w:t>Pip</w:t>
      </w:r>
      <w:r w:rsidR="00D00A58">
        <w:t>- and SA-</w:t>
      </w:r>
      <w:r w:rsidRPr="00465AEC">
        <w:t xml:space="preserve">levels </w:t>
      </w:r>
      <w:r w:rsidR="009B262F">
        <w:t>systemically</w:t>
      </w:r>
      <w:r w:rsidR="00891562">
        <w:t xml:space="preserve"> (Figure 6). R</w:t>
      </w:r>
      <w:r w:rsidRPr="00465AEC">
        <w:t xml:space="preserve">esults from our laboratory point to a modification of </w:t>
      </w:r>
      <w:r w:rsidR="00D00A58">
        <w:t>Pip</w:t>
      </w:r>
      <w:r w:rsidRPr="00465AEC">
        <w:t xml:space="preserve"> by </w:t>
      </w:r>
      <w:r w:rsidR="00891562">
        <w:t xml:space="preserve">the </w:t>
      </w:r>
      <w:r w:rsidR="00D00A58">
        <w:t>FLAVIN-DEPENDENT MONOOXYGENASE</w:t>
      </w:r>
      <w:r w:rsidRPr="00465AEC">
        <w:t xml:space="preserve">1 (FMO1) </w:t>
      </w:r>
      <w:r w:rsidR="009B262F">
        <w:t>necessary for</w:t>
      </w:r>
      <w:r w:rsidRPr="00465AEC">
        <w:t xml:space="preserve"> proper </w:t>
      </w:r>
      <w:r w:rsidR="00862CE6">
        <w:lastRenderedPageBreak/>
        <w:t>Pip-signalling</w:t>
      </w:r>
      <w:r w:rsidRPr="00465AEC">
        <w:t xml:space="preserve">, as the SAR response could be restored in SAR-deficient </w:t>
      </w:r>
      <w:r w:rsidRPr="006D4451">
        <w:rPr>
          <w:i/>
        </w:rPr>
        <w:t>ald1</w:t>
      </w:r>
      <w:r w:rsidRPr="00465AEC">
        <w:t xml:space="preserve"> mutant plants treated with exogenously applied Pip, but not in likewise SAR-deficient </w:t>
      </w:r>
      <w:r w:rsidRPr="006D4451">
        <w:rPr>
          <w:i/>
        </w:rPr>
        <w:t>fmo1</w:t>
      </w:r>
      <w:r w:rsidRPr="00465AEC">
        <w:t xml:space="preserve"> plants (Návarová </w:t>
      </w:r>
      <w:r w:rsidRPr="006D4451">
        <w:rPr>
          <w:i/>
        </w:rPr>
        <w:t>et al</w:t>
      </w:r>
      <w:r w:rsidRPr="00465AEC">
        <w:t xml:space="preserve">., 2012). </w:t>
      </w:r>
      <w:r>
        <w:t xml:space="preserve">Flavin-dependent monooxygenases are enzymes first described in animals </w:t>
      </w:r>
      <w:r w:rsidR="009B262F">
        <w:t>but also</w:t>
      </w:r>
      <w:r>
        <w:t xml:space="preserve"> f</w:t>
      </w:r>
      <w:r w:rsidR="009B262F">
        <w:t>ound in bacteria, yeast,</w:t>
      </w:r>
      <w:r>
        <w:t xml:space="preserve"> and plants (Ziegler and Pettit, 1964; Bartsch </w:t>
      </w:r>
      <w:r w:rsidRPr="00785CA5">
        <w:rPr>
          <w:i/>
        </w:rPr>
        <w:t>et al.,</w:t>
      </w:r>
      <w:r>
        <w:t xml:space="preserve"> 2006). They catalyse oxygenation of their substrates, which contain nucleophilic nitrogen, phosphorous, sulfur, or</w:t>
      </w:r>
      <w:r w:rsidR="009820CE">
        <w:t xml:space="preserve"> selenium</w:t>
      </w:r>
      <w:r w:rsidR="00F865A3">
        <w:t>,</w:t>
      </w:r>
      <w:r w:rsidR="009820CE">
        <w:t xml:space="preserve"> by binding flavin ade</w:t>
      </w:r>
      <w:r>
        <w:t xml:space="preserve">nine </w:t>
      </w:r>
      <w:r w:rsidR="0016645B">
        <w:t>di</w:t>
      </w:r>
      <w:r>
        <w:t xml:space="preserve">nucleotide (FAD) as a cofactor and using NADPH as reduction equivalent (Bartsch </w:t>
      </w:r>
      <w:r w:rsidRPr="007B253D">
        <w:rPr>
          <w:i/>
        </w:rPr>
        <w:t>et al</w:t>
      </w:r>
      <w:r>
        <w:t xml:space="preserve">., 2006; Schlaich, 2007). In mammals, FMO enzymes play an important role in the detoxification of xenobiotics by hydroxylation of hydrophobic pharmaceuticals in liver tissue, thus adding water-soluble groups to facilitate a quick excretion of this substance (Lawton </w:t>
      </w:r>
      <w:r w:rsidRPr="00DD5E9D">
        <w:rPr>
          <w:i/>
        </w:rPr>
        <w:t>et al</w:t>
      </w:r>
      <w:r>
        <w:t xml:space="preserve">., 1994; Cashman, 2004; Koch </w:t>
      </w:r>
      <w:r w:rsidRPr="00785CA5">
        <w:rPr>
          <w:i/>
        </w:rPr>
        <w:t>et al.</w:t>
      </w:r>
      <w:r>
        <w:t xml:space="preserve">, 2006). The yeast FMO was shown to be involved in regulation of the redox status of the cell by oxidizing thiols (Suh </w:t>
      </w:r>
      <w:r w:rsidRPr="00DD5E9D">
        <w:rPr>
          <w:i/>
        </w:rPr>
        <w:t>et al</w:t>
      </w:r>
      <w:r>
        <w:t xml:space="preserve">., 1999) and an insect FMO was shown to deactivate a plant toxin (Naumann </w:t>
      </w:r>
      <w:r w:rsidRPr="00DD5E9D">
        <w:rPr>
          <w:i/>
        </w:rPr>
        <w:t>et al</w:t>
      </w:r>
      <w:r>
        <w:t xml:space="preserve">., 2002). </w:t>
      </w:r>
    </w:p>
    <w:p w:rsidR="00FC7225" w:rsidRDefault="00FC7225" w:rsidP="008523FC">
      <w:pPr>
        <w:spacing w:after="0" w:line="360" w:lineRule="auto"/>
        <w:jc w:val="both"/>
      </w:pPr>
    </w:p>
    <w:p w:rsidR="001B6982" w:rsidRDefault="00712665" w:rsidP="008523FC">
      <w:pPr>
        <w:spacing w:after="0" w:line="360" w:lineRule="auto"/>
        <w:jc w:val="both"/>
      </w:pPr>
      <w:r w:rsidRPr="006B0405">
        <w:rPr>
          <w:noProof/>
          <w:lang w:val="de-DE" w:eastAsia="de-DE"/>
        </w:rPr>
        <w:drawing>
          <wp:anchor distT="0" distB="0" distL="114300" distR="114300" simplePos="0" relativeHeight="251666432" behindDoc="0" locked="0" layoutInCell="1" allowOverlap="1" wp14:anchorId="2B7E10ED" wp14:editId="1E5C1690">
            <wp:simplePos x="895350" y="4752975"/>
            <wp:positionH relativeFrom="page">
              <wp:align>center</wp:align>
            </wp:positionH>
            <wp:positionV relativeFrom="paragraph">
              <wp:posOffset>0</wp:posOffset>
            </wp:positionV>
            <wp:extent cx="4680000" cy="3589021"/>
            <wp:effectExtent l="19050" t="19050" r="25400" b="11430"/>
            <wp:wrapTopAndBottom/>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p biosynthesis Zeier2013.png"/>
                    <pic:cNvPicPr/>
                  </pic:nvPicPr>
                  <pic:blipFill rotWithShape="1">
                    <a:blip r:embed="rId20" cstate="print">
                      <a:extLst>
                        <a:ext uri="{28A0092B-C50C-407E-A947-70E740481C1C}">
                          <a14:useLocalDpi xmlns:a14="http://schemas.microsoft.com/office/drawing/2010/main" val="0"/>
                        </a:ext>
                      </a:extLst>
                    </a:blip>
                    <a:srcRect l="-2028" t="-2059" r="-1376" b="-1471"/>
                    <a:stretch/>
                  </pic:blipFill>
                  <pic:spPr bwMode="auto">
                    <a:xfrm>
                      <a:off x="0" y="0"/>
                      <a:ext cx="4680000" cy="3589021"/>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D94965" w:rsidRPr="00EB4CFA" w:rsidRDefault="001B6982" w:rsidP="00226AB4">
      <w:pPr>
        <w:pStyle w:val="Beschriftung"/>
        <w:spacing w:after="0" w:line="360" w:lineRule="auto"/>
        <w:jc w:val="both"/>
        <w:rPr>
          <w:color w:val="auto"/>
          <w:lang w:val="en-US"/>
        </w:rPr>
      </w:pPr>
      <w:bookmarkStart w:id="18" w:name="_Toc435621125"/>
      <w:proofErr w:type="gramStart"/>
      <w:r w:rsidRPr="00EB4CFA">
        <w:rPr>
          <w:color w:val="auto"/>
        </w:rPr>
        <w:t xml:space="preserve">Figure </w:t>
      </w:r>
      <w:r w:rsidRPr="00EB4CFA">
        <w:rPr>
          <w:color w:val="auto"/>
        </w:rPr>
        <w:fldChar w:fldCharType="begin"/>
      </w:r>
      <w:r w:rsidRPr="00EB4CFA">
        <w:rPr>
          <w:color w:val="auto"/>
        </w:rPr>
        <w:instrText xml:space="preserve"> SEQ Figure \* ARABIC </w:instrText>
      </w:r>
      <w:r w:rsidRPr="00EB4CFA">
        <w:rPr>
          <w:color w:val="auto"/>
        </w:rPr>
        <w:fldChar w:fldCharType="separate"/>
      </w:r>
      <w:r w:rsidR="00CB17FE">
        <w:rPr>
          <w:noProof/>
          <w:color w:val="auto"/>
        </w:rPr>
        <w:t>7</w:t>
      </w:r>
      <w:r w:rsidRPr="00EB4CFA">
        <w:rPr>
          <w:color w:val="auto"/>
        </w:rPr>
        <w:fldChar w:fldCharType="end"/>
      </w:r>
      <w:r w:rsidR="0089676C">
        <w:rPr>
          <w:color w:val="auto"/>
        </w:rPr>
        <w:t>.</w:t>
      </w:r>
      <w:proofErr w:type="gramEnd"/>
      <w:r w:rsidRPr="00EB4CFA">
        <w:rPr>
          <w:color w:val="auto"/>
        </w:rPr>
        <w:t xml:space="preserve"> </w:t>
      </w:r>
      <w:proofErr w:type="gramStart"/>
      <w:r w:rsidRPr="00EB4CFA">
        <w:rPr>
          <w:color w:val="auto"/>
          <w:lang w:val="en-US"/>
        </w:rPr>
        <w:t xml:space="preserve">Current model of </w:t>
      </w:r>
      <w:r w:rsidR="00D00A58">
        <w:rPr>
          <w:color w:val="auto"/>
          <w:lang w:val="en-US"/>
        </w:rPr>
        <w:t>Pip-</w:t>
      </w:r>
      <w:r w:rsidRPr="00EB4CFA">
        <w:rPr>
          <w:color w:val="auto"/>
          <w:lang w:val="en-US"/>
        </w:rPr>
        <w:t>biosynthesis.</w:t>
      </w:r>
      <w:bookmarkEnd w:id="18"/>
      <w:proofErr w:type="gramEnd"/>
      <w:r w:rsidRPr="00EB4CFA">
        <w:rPr>
          <w:color w:val="auto"/>
          <w:lang w:val="en-US"/>
        </w:rPr>
        <w:t xml:space="preserve"> </w:t>
      </w:r>
    </w:p>
    <w:p w:rsidR="001B6982" w:rsidRPr="00EB4CFA" w:rsidRDefault="001B6982" w:rsidP="00D94965">
      <w:pPr>
        <w:pStyle w:val="Beschriftung"/>
        <w:jc w:val="both"/>
        <w:rPr>
          <w:b w:val="0"/>
          <w:color w:val="auto"/>
          <w:lang w:val="en-US"/>
        </w:rPr>
      </w:pPr>
      <w:r w:rsidRPr="00EB4CFA">
        <w:rPr>
          <w:b w:val="0"/>
          <w:color w:val="auto"/>
          <w:lang w:val="en-US"/>
        </w:rPr>
        <w:t xml:space="preserve">Lysine is converted to </w:t>
      </w:r>
      <w:r w:rsidRPr="00EB4CFA">
        <w:rPr>
          <w:b w:val="0"/>
          <w:i/>
          <w:color w:val="auto"/>
          <w:lang w:val="de-DE"/>
        </w:rPr>
        <w:t>ε</w:t>
      </w:r>
      <w:r w:rsidRPr="00EB4CFA">
        <w:rPr>
          <w:b w:val="0"/>
          <w:color w:val="auto"/>
          <w:lang w:val="en-US"/>
        </w:rPr>
        <w:t>-amino</w:t>
      </w:r>
      <w:r w:rsidRPr="00EB4CFA">
        <w:rPr>
          <w:b w:val="0"/>
          <w:i/>
          <w:color w:val="auto"/>
          <w:lang w:val="en-US"/>
        </w:rPr>
        <w:t>-</w:t>
      </w:r>
      <w:r w:rsidRPr="00EB4CFA">
        <w:rPr>
          <w:b w:val="0"/>
          <w:i/>
          <w:color w:val="auto"/>
          <w:lang w:val="de-DE"/>
        </w:rPr>
        <w:t>α</w:t>
      </w:r>
      <w:r w:rsidRPr="00EB4CFA">
        <w:rPr>
          <w:b w:val="0"/>
          <w:color w:val="auto"/>
          <w:lang w:val="en-US"/>
        </w:rPr>
        <w:t>-keto-caproic acid by the amino transferase ALD1</w:t>
      </w:r>
      <w:r w:rsidRPr="00EB4CFA">
        <w:rPr>
          <w:b w:val="0"/>
          <w:i/>
          <w:color w:val="auto"/>
          <w:lang w:val="en-US"/>
        </w:rPr>
        <w:t xml:space="preserve">. </w:t>
      </w:r>
      <w:r w:rsidRPr="00EB4CFA">
        <w:rPr>
          <w:b w:val="0"/>
          <w:i/>
          <w:color w:val="auto"/>
          <w:lang w:val="de-DE"/>
        </w:rPr>
        <w:t>ε</w:t>
      </w:r>
      <w:r w:rsidRPr="00EB4CFA">
        <w:rPr>
          <w:b w:val="0"/>
          <w:color w:val="auto"/>
          <w:lang w:val="en-US"/>
        </w:rPr>
        <w:t>-amino-</w:t>
      </w:r>
      <w:r w:rsidRPr="00EB4CFA">
        <w:rPr>
          <w:b w:val="0"/>
          <w:i/>
          <w:color w:val="auto"/>
          <w:lang w:val="de-DE"/>
        </w:rPr>
        <w:t>α</w:t>
      </w:r>
      <w:r w:rsidRPr="00EB4CFA">
        <w:rPr>
          <w:b w:val="0"/>
          <w:color w:val="auto"/>
          <w:lang w:val="en-US"/>
        </w:rPr>
        <w:t xml:space="preserve">-keto-caproic acid can spontaneously react to ∆1-piperideine-2-carboxylic acid, which yields </w:t>
      </w:r>
      <w:r w:rsidR="00D00A58">
        <w:rPr>
          <w:b w:val="0"/>
          <w:color w:val="auto"/>
          <w:lang w:val="en-US"/>
        </w:rPr>
        <w:t>Pip</w:t>
      </w:r>
      <w:r w:rsidRPr="00EB4CFA">
        <w:rPr>
          <w:b w:val="0"/>
          <w:color w:val="auto"/>
          <w:lang w:val="en-US"/>
        </w:rPr>
        <w:t xml:space="preserve"> after a reduction step</w:t>
      </w:r>
      <w:r w:rsidR="002820EE" w:rsidRPr="00EB4CFA">
        <w:rPr>
          <w:b w:val="0"/>
          <w:color w:val="auto"/>
          <w:lang w:val="en-US"/>
        </w:rPr>
        <w:t xml:space="preserve"> catalysed by a reductase</w:t>
      </w:r>
      <w:r w:rsidRPr="00EB4CFA">
        <w:rPr>
          <w:b w:val="0"/>
          <w:color w:val="auto"/>
          <w:lang w:val="en-US"/>
        </w:rPr>
        <w:t>. Pip is thoug</w:t>
      </w:r>
      <w:r w:rsidR="002820EE" w:rsidRPr="00EB4CFA">
        <w:rPr>
          <w:b w:val="0"/>
          <w:color w:val="auto"/>
          <w:lang w:val="en-US"/>
        </w:rPr>
        <w:t>ht to be a possible substrate for</w:t>
      </w:r>
      <w:r w:rsidRPr="00EB4CFA">
        <w:rPr>
          <w:b w:val="0"/>
          <w:color w:val="auto"/>
          <w:lang w:val="en-US"/>
        </w:rPr>
        <w:t xml:space="preserve"> FMO1, which converts it to </w:t>
      </w:r>
      <w:proofErr w:type="gramStart"/>
      <w:r w:rsidRPr="00EB4CFA">
        <w:rPr>
          <w:b w:val="0"/>
          <w:color w:val="auto"/>
          <w:lang w:val="en-US"/>
        </w:rPr>
        <w:t>a</w:t>
      </w:r>
      <w:proofErr w:type="gramEnd"/>
      <w:r w:rsidRPr="00EB4CFA">
        <w:rPr>
          <w:b w:val="0"/>
          <w:color w:val="auto"/>
          <w:lang w:val="en-US"/>
        </w:rPr>
        <w:t xml:space="preserve"> N-oxidized Pip-derivative. The amino acid lysine also serves as a precursor molecule for </w:t>
      </w:r>
      <w:r w:rsidRPr="00EB4CFA">
        <w:rPr>
          <w:b w:val="0"/>
          <w:i/>
          <w:color w:val="auto"/>
          <w:lang w:val="de-DE"/>
        </w:rPr>
        <w:t>α</w:t>
      </w:r>
      <w:r w:rsidRPr="00EB4CFA">
        <w:rPr>
          <w:b w:val="0"/>
          <w:color w:val="auto"/>
          <w:lang w:val="en-US"/>
        </w:rPr>
        <w:t xml:space="preserve">-aminoadipic acid, which was previously thought to be the precursor for Pip. In </w:t>
      </w:r>
      <w:r w:rsidRPr="00EB4CFA">
        <w:rPr>
          <w:b w:val="0"/>
          <w:i/>
          <w:color w:val="auto"/>
          <w:lang w:val="de-DE"/>
        </w:rPr>
        <w:t>α</w:t>
      </w:r>
      <w:r w:rsidR="00D00A58">
        <w:rPr>
          <w:b w:val="0"/>
          <w:color w:val="auto"/>
          <w:lang w:val="en-US"/>
        </w:rPr>
        <w:t>-aminoadipic acid biosy</w:t>
      </w:r>
      <w:r w:rsidRPr="00EB4CFA">
        <w:rPr>
          <w:b w:val="0"/>
          <w:color w:val="auto"/>
          <w:lang w:val="en-US"/>
        </w:rPr>
        <w:t>n</w:t>
      </w:r>
      <w:r w:rsidR="00D00A58">
        <w:rPr>
          <w:b w:val="0"/>
          <w:color w:val="auto"/>
          <w:lang w:val="en-US"/>
        </w:rPr>
        <w:t>t</w:t>
      </w:r>
      <w:r w:rsidRPr="00EB4CFA">
        <w:rPr>
          <w:b w:val="0"/>
          <w:color w:val="auto"/>
          <w:lang w:val="en-US"/>
        </w:rPr>
        <w:t xml:space="preserve">hesis, Lys is reduced by LKR/SDH to saccharopine, further dehydrogenated to </w:t>
      </w:r>
      <w:r w:rsidRPr="00EB4CFA">
        <w:rPr>
          <w:b w:val="0"/>
          <w:i/>
          <w:color w:val="auto"/>
          <w:lang w:val="de-DE"/>
        </w:rPr>
        <w:t>α</w:t>
      </w:r>
      <w:r w:rsidRPr="00EB4CFA">
        <w:rPr>
          <w:b w:val="0"/>
          <w:color w:val="auto"/>
          <w:lang w:val="en-US"/>
        </w:rPr>
        <w:t xml:space="preserve">-amino adipic semialdehyde and yields </w:t>
      </w:r>
      <w:r w:rsidRPr="00EB4CFA">
        <w:rPr>
          <w:b w:val="0"/>
          <w:i/>
          <w:color w:val="auto"/>
          <w:lang w:val="de-DE"/>
        </w:rPr>
        <w:t>α</w:t>
      </w:r>
      <w:r w:rsidRPr="00EB4CFA">
        <w:rPr>
          <w:b w:val="0"/>
          <w:color w:val="auto"/>
          <w:lang w:val="en-US"/>
        </w:rPr>
        <w:t xml:space="preserve">-aminoadipic acid in a last dehydrogenase-catalysed step. Pip can also be converted to ∆1-piperideine-6-carboxylic acid, which can serve as precursor for </w:t>
      </w:r>
      <w:r w:rsidRPr="00EB4CFA">
        <w:rPr>
          <w:b w:val="0"/>
          <w:i/>
          <w:color w:val="auto"/>
          <w:lang w:val="de-DE"/>
        </w:rPr>
        <w:t>α</w:t>
      </w:r>
      <w:r w:rsidRPr="00EB4CFA">
        <w:rPr>
          <w:b w:val="0"/>
          <w:color w:val="auto"/>
          <w:lang w:val="en-US"/>
        </w:rPr>
        <w:t xml:space="preserve">-amino adipic semialdehyde and can add to </w:t>
      </w:r>
      <w:r w:rsidRPr="00EB4CFA">
        <w:rPr>
          <w:b w:val="0"/>
          <w:i/>
          <w:color w:val="auto"/>
          <w:lang w:val="de-DE"/>
        </w:rPr>
        <w:t>α</w:t>
      </w:r>
      <w:r w:rsidRPr="00EB4CFA">
        <w:rPr>
          <w:b w:val="0"/>
          <w:color w:val="auto"/>
          <w:lang w:val="en-US"/>
        </w:rPr>
        <w:t>-aminoadi</w:t>
      </w:r>
      <w:r w:rsidR="001D06E3" w:rsidRPr="00EB4CFA">
        <w:rPr>
          <w:b w:val="0"/>
          <w:color w:val="auto"/>
          <w:lang w:val="en-US"/>
        </w:rPr>
        <w:t>pic acid content in plant cells</w:t>
      </w:r>
      <w:r w:rsidRPr="00EB4CFA">
        <w:rPr>
          <w:b w:val="0"/>
          <w:color w:val="auto"/>
          <w:lang w:val="en-US"/>
        </w:rPr>
        <w:t xml:space="preserve"> </w:t>
      </w:r>
      <w:r w:rsidR="001D06E3" w:rsidRPr="00EB4CFA">
        <w:rPr>
          <w:b w:val="0"/>
          <w:color w:val="auto"/>
          <w:lang w:val="en-US"/>
        </w:rPr>
        <w:t>(</w:t>
      </w:r>
      <w:r w:rsidRPr="00EB4CFA">
        <w:rPr>
          <w:b w:val="0"/>
          <w:color w:val="auto"/>
          <w:lang w:val="en-US"/>
        </w:rPr>
        <w:t>Zeier, 2013</w:t>
      </w:r>
      <w:r w:rsidR="001D06E3" w:rsidRPr="00EB4CFA">
        <w:rPr>
          <w:b w:val="0"/>
          <w:color w:val="auto"/>
          <w:lang w:val="en-US"/>
        </w:rPr>
        <w:t>)</w:t>
      </w:r>
      <w:r w:rsidRPr="00EB4CFA">
        <w:rPr>
          <w:b w:val="0"/>
          <w:color w:val="auto"/>
          <w:lang w:val="en-US"/>
        </w:rPr>
        <w:t>.</w:t>
      </w:r>
    </w:p>
    <w:p w:rsidR="00E1571D" w:rsidRDefault="008523FC" w:rsidP="008523FC">
      <w:pPr>
        <w:spacing w:after="0" w:line="360" w:lineRule="auto"/>
        <w:jc w:val="both"/>
      </w:pPr>
      <w:r>
        <w:t xml:space="preserve">The </w:t>
      </w:r>
      <w:r w:rsidRPr="00D41758">
        <w:rPr>
          <w:i/>
        </w:rPr>
        <w:t>Arabidopsis</w:t>
      </w:r>
      <w:r>
        <w:t xml:space="preserve"> </w:t>
      </w:r>
      <w:r w:rsidRPr="00D41758">
        <w:rPr>
          <w:i/>
        </w:rPr>
        <w:t>FMO1</w:t>
      </w:r>
      <w:r>
        <w:t xml:space="preserve"> gene product is crucial for development of the SAR response after pathogen attack, as deletions in this gene abolish plant defence against the bacterium </w:t>
      </w:r>
      <w:r w:rsidR="00226AB4">
        <w:rPr>
          <w:i/>
        </w:rPr>
        <w:lastRenderedPageBreak/>
        <w:t xml:space="preserve">Pseudomonas </w:t>
      </w:r>
      <w:r w:rsidRPr="00C42E24">
        <w:rPr>
          <w:i/>
        </w:rPr>
        <w:t>syringae</w:t>
      </w:r>
      <w:r>
        <w:rPr>
          <w:i/>
        </w:rPr>
        <w:t xml:space="preserve"> </w:t>
      </w:r>
      <w:r>
        <w:t xml:space="preserve">pv. </w:t>
      </w:r>
      <w:proofErr w:type="gramStart"/>
      <w:r>
        <w:rPr>
          <w:i/>
        </w:rPr>
        <w:t>maculicola</w:t>
      </w:r>
      <w:proofErr w:type="gramEnd"/>
      <w:r>
        <w:t xml:space="preserve"> </w:t>
      </w:r>
      <w:r w:rsidR="00226AB4">
        <w:t>(</w:t>
      </w:r>
      <w:r w:rsidR="00226AB4" w:rsidRPr="00226AB4">
        <w:rPr>
          <w:i/>
        </w:rPr>
        <w:t>Psm</w:t>
      </w:r>
      <w:r w:rsidR="00226AB4">
        <w:t xml:space="preserve">) </w:t>
      </w:r>
      <w:r w:rsidRPr="00226AB4">
        <w:t>and</w:t>
      </w:r>
      <w:r>
        <w:t xml:space="preserve"> the downy mildew agent </w:t>
      </w:r>
      <w:r w:rsidR="00226AB4">
        <w:rPr>
          <w:i/>
        </w:rPr>
        <w:t xml:space="preserve">Hyaloperonospora </w:t>
      </w:r>
      <w:r w:rsidRPr="00C42E24">
        <w:rPr>
          <w:i/>
        </w:rPr>
        <w:t>arabidopsidis</w:t>
      </w:r>
      <w:r>
        <w:t xml:space="preserve"> </w:t>
      </w:r>
      <w:r w:rsidR="00226AB4">
        <w:t>(</w:t>
      </w:r>
      <w:r w:rsidR="00226AB4" w:rsidRPr="00226AB4">
        <w:rPr>
          <w:i/>
        </w:rPr>
        <w:t>Hpa</w:t>
      </w:r>
      <w:r w:rsidR="00226AB4">
        <w:t xml:space="preserve">) </w:t>
      </w:r>
      <w:r>
        <w:t xml:space="preserve">in systemic, but not in locally infected leaves (Bartsch </w:t>
      </w:r>
      <w:r w:rsidRPr="00C42E24">
        <w:rPr>
          <w:i/>
        </w:rPr>
        <w:t>et al</w:t>
      </w:r>
      <w:r>
        <w:t xml:space="preserve">., 2006; Mishina and Zeier, 2006). </w:t>
      </w:r>
    </w:p>
    <w:p w:rsidR="00D00A58" w:rsidRDefault="00D00A58" w:rsidP="00FC7225">
      <w:pPr>
        <w:spacing w:after="0" w:line="360" w:lineRule="auto"/>
        <w:jc w:val="both"/>
      </w:pPr>
    </w:p>
    <w:p w:rsidR="000255EA" w:rsidRDefault="006B0405" w:rsidP="00FC7225">
      <w:pPr>
        <w:spacing w:after="0" w:line="360" w:lineRule="auto"/>
        <w:jc w:val="both"/>
      </w:pPr>
      <w:r w:rsidRPr="006B0405">
        <w:rPr>
          <w:noProof/>
          <w:lang w:val="de-DE" w:eastAsia="de-DE"/>
        </w:rPr>
        <w:drawing>
          <wp:anchor distT="0" distB="0" distL="114300" distR="114300" simplePos="0" relativeHeight="251667456" behindDoc="0" locked="0" layoutInCell="1" allowOverlap="1" wp14:anchorId="4DDA4A35" wp14:editId="4A5DC06D">
            <wp:simplePos x="895350" y="895350"/>
            <wp:positionH relativeFrom="page">
              <wp:align>center</wp:align>
            </wp:positionH>
            <wp:positionV relativeFrom="paragraph">
              <wp:posOffset>-3810</wp:posOffset>
            </wp:positionV>
            <wp:extent cx="3600000" cy="3628218"/>
            <wp:effectExtent l="19050" t="19050" r="19685" b="10795"/>
            <wp:wrapTopAndBottom/>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 biosynthesis_Wildermuth2001.png"/>
                    <pic:cNvPicPr/>
                  </pic:nvPicPr>
                  <pic:blipFill>
                    <a:blip r:embed="rId21">
                      <a:extLst>
                        <a:ext uri="{28A0092B-C50C-407E-A947-70E740481C1C}">
                          <a14:useLocalDpi xmlns:a14="http://schemas.microsoft.com/office/drawing/2010/main" val="0"/>
                        </a:ext>
                      </a:extLst>
                    </a:blip>
                    <a:stretch>
                      <a:fillRect/>
                    </a:stretch>
                  </pic:blipFill>
                  <pic:spPr>
                    <a:xfrm>
                      <a:off x="0" y="0"/>
                      <a:ext cx="3600000" cy="3628218"/>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p>
    <w:p w:rsidR="00D94965" w:rsidRPr="00EB4CFA" w:rsidRDefault="000255EA" w:rsidP="00837F74">
      <w:pPr>
        <w:pStyle w:val="Beschriftung"/>
        <w:spacing w:after="0" w:line="360" w:lineRule="auto"/>
        <w:jc w:val="both"/>
        <w:rPr>
          <w:color w:val="auto"/>
          <w:lang w:val="en-US"/>
        </w:rPr>
      </w:pPr>
      <w:bookmarkStart w:id="19" w:name="_Toc435621126"/>
      <w:proofErr w:type="gramStart"/>
      <w:r w:rsidRPr="00EB4CFA">
        <w:rPr>
          <w:color w:val="auto"/>
        </w:rPr>
        <w:t xml:space="preserve">Figure </w:t>
      </w:r>
      <w:r w:rsidRPr="00EB4CFA">
        <w:rPr>
          <w:color w:val="auto"/>
        </w:rPr>
        <w:fldChar w:fldCharType="begin"/>
      </w:r>
      <w:r w:rsidRPr="00EB4CFA">
        <w:rPr>
          <w:color w:val="auto"/>
        </w:rPr>
        <w:instrText xml:space="preserve"> SEQ Figure \* ARABIC </w:instrText>
      </w:r>
      <w:r w:rsidRPr="00EB4CFA">
        <w:rPr>
          <w:color w:val="auto"/>
        </w:rPr>
        <w:fldChar w:fldCharType="separate"/>
      </w:r>
      <w:r w:rsidR="00CB17FE">
        <w:rPr>
          <w:noProof/>
          <w:color w:val="auto"/>
        </w:rPr>
        <w:t>8</w:t>
      </w:r>
      <w:r w:rsidRPr="00EB4CFA">
        <w:rPr>
          <w:color w:val="auto"/>
        </w:rPr>
        <w:fldChar w:fldCharType="end"/>
      </w:r>
      <w:r w:rsidR="0089676C">
        <w:rPr>
          <w:color w:val="auto"/>
        </w:rPr>
        <w:t>.</w:t>
      </w:r>
      <w:proofErr w:type="gramEnd"/>
      <w:r w:rsidRPr="00EB4CFA">
        <w:rPr>
          <w:color w:val="auto"/>
        </w:rPr>
        <w:t xml:space="preserve"> </w:t>
      </w:r>
      <w:proofErr w:type="gramStart"/>
      <w:r w:rsidRPr="00EB4CFA">
        <w:rPr>
          <w:color w:val="auto"/>
          <w:lang w:val="en-US"/>
        </w:rPr>
        <w:t xml:space="preserve">Proposed scheme of </w:t>
      </w:r>
      <w:r w:rsidR="00D00A58">
        <w:rPr>
          <w:color w:val="auto"/>
          <w:lang w:val="en-US"/>
        </w:rPr>
        <w:t>SA-</w:t>
      </w:r>
      <w:r w:rsidRPr="00EB4CFA">
        <w:rPr>
          <w:color w:val="auto"/>
          <w:lang w:val="en-US"/>
        </w:rPr>
        <w:t xml:space="preserve">biosynthesis in </w:t>
      </w:r>
      <w:r w:rsidRPr="00EB4CFA">
        <w:rPr>
          <w:i/>
          <w:color w:val="auto"/>
          <w:lang w:val="en-US"/>
        </w:rPr>
        <w:t>A</w:t>
      </w:r>
      <w:r w:rsidR="00D00A58">
        <w:rPr>
          <w:i/>
          <w:color w:val="auto"/>
          <w:lang w:val="en-US"/>
        </w:rPr>
        <w:t>.</w:t>
      </w:r>
      <w:r w:rsidRPr="00EB4CFA">
        <w:rPr>
          <w:i/>
          <w:color w:val="auto"/>
          <w:lang w:val="en-US"/>
        </w:rPr>
        <w:t xml:space="preserve"> thaliana</w:t>
      </w:r>
      <w:r w:rsidRPr="00EB4CFA">
        <w:rPr>
          <w:color w:val="auto"/>
          <w:lang w:val="en-US"/>
        </w:rPr>
        <w:t xml:space="preserve"> vi</w:t>
      </w:r>
      <w:r w:rsidR="00D94965" w:rsidRPr="00EB4CFA">
        <w:rPr>
          <w:color w:val="auto"/>
          <w:lang w:val="en-US"/>
        </w:rPr>
        <w:t xml:space="preserve">a </w:t>
      </w:r>
      <w:r w:rsidR="00F865A3">
        <w:rPr>
          <w:color w:val="auto"/>
          <w:lang w:val="en-US"/>
        </w:rPr>
        <w:t>ISOCHORISMATE SYNTHASE1</w:t>
      </w:r>
      <w:r w:rsidR="00D94965" w:rsidRPr="00EB4CFA">
        <w:rPr>
          <w:color w:val="auto"/>
          <w:lang w:val="en-US"/>
        </w:rPr>
        <w:t xml:space="preserve"> (ICS</w:t>
      </w:r>
      <w:r w:rsidR="00D00A58">
        <w:rPr>
          <w:color w:val="auto"/>
          <w:lang w:val="en-US"/>
        </w:rPr>
        <w:t>1</w:t>
      </w:r>
      <w:r w:rsidR="00D94965" w:rsidRPr="00EB4CFA">
        <w:rPr>
          <w:color w:val="auto"/>
          <w:lang w:val="en-US"/>
        </w:rPr>
        <w:t>).</w:t>
      </w:r>
      <w:bookmarkEnd w:id="19"/>
      <w:proofErr w:type="gramEnd"/>
    </w:p>
    <w:p w:rsidR="006B0405" w:rsidRPr="00EB4CFA" w:rsidRDefault="000255EA" w:rsidP="00D94965">
      <w:pPr>
        <w:pStyle w:val="Beschriftung"/>
        <w:jc w:val="both"/>
        <w:rPr>
          <w:b w:val="0"/>
          <w:color w:val="auto"/>
        </w:rPr>
      </w:pPr>
      <w:r w:rsidRPr="00EB4CFA">
        <w:rPr>
          <w:b w:val="0"/>
          <w:color w:val="auto"/>
          <w:lang w:val="en-US"/>
        </w:rPr>
        <w:t xml:space="preserve">Also shown is the previously described SA-biosynthesis pathway via PAL, which was shown to be irrelevant for accumulation of SA upon pathogen infection. </w:t>
      </w:r>
      <w:proofErr w:type="gramStart"/>
      <w:r w:rsidRPr="00EB4CFA">
        <w:rPr>
          <w:b w:val="0"/>
          <w:color w:val="auto"/>
          <w:lang w:val="en-US"/>
        </w:rPr>
        <w:t>AS, anthranilate synthase; CM, chorismate mutase.</w:t>
      </w:r>
      <w:proofErr w:type="gramEnd"/>
      <w:r w:rsidRPr="00EB4CFA">
        <w:rPr>
          <w:b w:val="0"/>
          <w:color w:val="auto"/>
          <w:lang w:val="en-US"/>
        </w:rPr>
        <w:t xml:space="preserve"> </w:t>
      </w:r>
      <w:proofErr w:type="gramStart"/>
      <w:r w:rsidRPr="00EB4CFA">
        <w:rPr>
          <w:b w:val="0"/>
          <w:color w:val="auto"/>
          <w:lang w:val="en-US"/>
        </w:rPr>
        <w:t xml:space="preserve">Modified from Wildermuth </w:t>
      </w:r>
      <w:r w:rsidRPr="00EB4CFA">
        <w:rPr>
          <w:b w:val="0"/>
          <w:i/>
          <w:color w:val="auto"/>
          <w:lang w:val="en-US"/>
        </w:rPr>
        <w:t>et al</w:t>
      </w:r>
      <w:r w:rsidRPr="00EB4CFA">
        <w:rPr>
          <w:b w:val="0"/>
          <w:color w:val="auto"/>
          <w:lang w:val="en-US"/>
        </w:rPr>
        <w:t>., 2001.</w:t>
      </w:r>
      <w:proofErr w:type="gramEnd"/>
    </w:p>
    <w:p w:rsidR="00837F74" w:rsidRDefault="00837F74" w:rsidP="00145B22">
      <w:pPr>
        <w:spacing w:after="0" w:line="360" w:lineRule="auto"/>
        <w:jc w:val="both"/>
      </w:pPr>
      <w:r w:rsidRPr="001F3CC7">
        <w:rPr>
          <w:i/>
        </w:rPr>
        <w:t>FMO1</w:t>
      </w:r>
      <w:r>
        <w:t xml:space="preserve"> expression in locally infected leaves wa</w:t>
      </w:r>
      <w:r w:rsidR="003B100F">
        <w:t>s shown to be independent of SA-</w:t>
      </w:r>
      <w:r>
        <w:t xml:space="preserve">accumulation, whereas in systemic leaves </w:t>
      </w:r>
      <w:r w:rsidRPr="001F3CC7">
        <w:rPr>
          <w:i/>
        </w:rPr>
        <w:t>FMO1</w:t>
      </w:r>
      <w:r>
        <w:t xml:space="preserve"> expression and establishment of SAR were SA-dependent (Mishina and Zeier, 2006). A transgenic line, overexpressing </w:t>
      </w:r>
      <w:r w:rsidRPr="001F3CC7">
        <w:rPr>
          <w:i/>
        </w:rPr>
        <w:t>FMO1</w:t>
      </w:r>
      <w:r>
        <w:t xml:space="preserve"> under control of the </w:t>
      </w:r>
      <w:r w:rsidRPr="00670E5F">
        <w:rPr>
          <w:i/>
        </w:rPr>
        <w:t>35S CaMV</w:t>
      </w:r>
      <w:r>
        <w:t xml:space="preserve"> promoter, featured enhanced basal resistance against </w:t>
      </w:r>
      <w:r>
        <w:rPr>
          <w:i/>
        </w:rPr>
        <w:t>Psm</w:t>
      </w:r>
      <w:r>
        <w:t xml:space="preserve"> and </w:t>
      </w:r>
      <w:r>
        <w:rPr>
          <w:i/>
        </w:rPr>
        <w:t>Hpa</w:t>
      </w:r>
      <w:r>
        <w:t xml:space="preserve"> (Koch </w:t>
      </w:r>
      <w:r w:rsidRPr="003E7217">
        <w:rPr>
          <w:i/>
        </w:rPr>
        <w:t>et al.,</w:t>
      </w:r>
      <w:r>
        <w:t xml:space="preserve"> 2006) supporting a role for </w:t>
      </w:r>
      <w:r w:rsidRPr="00670E5F">
        <w:rPr>
          <w:i/>
        </w:rPr>
        <w:t>FMO1</w:t>
      </w:r>
      <w:r>
        <w:t xml:space="preserve"> in the regulation of defence responses in systemic leaves by participating in the potentiation of defence responses (Mishina and Zeier, 2006). </w:t>
      </w:r>
      <w:r w:rsidR="003B100F">
        <w:t>Increasing SA-</w:t>
      </w:r>
      <w:r w:rsidRPr="00465AEC">
        <w:t xml:space="preserve">levels are necessary for a full SAR response, albeit an attenuated SAR was observed in </w:t>
      </w:r>
      <w:r w:rsidRPr="006D4451">
        <w:rPr>
          <w:i/>
        </w:rPr>
        <w:t>sid2</w:t>
      </w:r>
      <w:r w:rsidRPr="00465AEC">
        <w:t xml:space="preserve"> </w:t>
      </w:r>
      <w:r w:rsidRPr="006B0405">
        <w:rPr>
          <w:bCs/>
        </w:rPr>
        <w:t>(</w:t>
      </w:r>
      <w:r>
        <w:rPr>
          <w:bCs/>
          <w:i/>
        </w:rPr>
        <w:t>salicylic acid induction-deficient2</w:t>
      </w:r>
      <w:r w:rsidR="003B100F" w:rsidRPr="003B100F">
        <w:rPr>
          <w:bCs/>
        </w:rPr>
        <w:t>)</w:t>
      </w:r>
      <w:r w:rsidRPr="003B100F">
        <w:rPr>
          <w:bCs/>
        </w:rPr>
        <w:t xml:space="preserve"> </w:t>
      </w:r>
      <w:r w:rsidRPr="00465AEC">
        <w:t>mutant plants, which are impa</w:t>
      </w:r>
      <w:r>
        <w:t>i</w:t>
      </w:r>
      <w:r w:rsidRPr="00465AEC">
        <w:t xml:space="preserve">red in SA-biosynthesis (Nawrath and Métraux, 1999). Gene products of </w:t>
      </w:r>
      <w:r w:rsidRPr="006D4451">
        <w:rPr>
          <w:i/>
        </w:rPr>
        <w:t>ALD1, FMO1, NPR1</w:t>
      </w:r>
      <w:r w:rsidRPr="00465AEC">
        <w:t xml:space="preserve">, and </w:t>
      </w:r>
      <w:r w:rsidRPr="006D4451">
        <w:rPr>
          <w:i/>
        </w:rPr>
        <w:t>PAD4</w:t>
      </w:r>
      <w:r w:rsidRPr="00465AEC">
        <w:t xml:space="preserve"> participate in induction of the S</w:t>
      </w:r>
      <w:r>
        <w:t>AR response, as mutant lines for these genes</w:t>
      </w:r>
      <w:r w:rsidRPr="00465AEC">
        <w:t xml:space="preserve"> </w:t>
      </w:r>
      <w:r w:rsidR="00145B22">
        <w:t>are impaired in SAR-</w:t>
      </w:r>
      <w:r>
        <w:t>establishment</w:t>
      </w:r>
      <w:r w:rsidRPr="00465AEC">
        <w:t>.</w:t>
      </w:r>
      <w:r>
        <w:t xml:space="preserve"> </w:t>
      </w:r>
      <w:r w:rsidRPr="006B0405">
        <w:rPr>
          <w:bCs/>
        </w:rPr>
        <w:t>Most interestingly, plants of thes</w:t>
      </w:r>
      <w:r w:rsidR="00145B22">
        <w:rPr>
          <w:bCs/>
        </w:rPr>
        <w:t>e mutant lines show a wild type-</w:t>
      </w:r>
      <w:r w:rsidRPr="006B0405">
        <w:rPr>
          <w:bCs/>
        </w:rPr>
        <w:t xml:space="preserve">like accumulation of </w:t>
      </w:r>
      <w:r>
        <w:rPr>
          <w:bCs/>
        </w:rPr>
        <w:t>SA</w:t>
      </w:r>
      <w:r w:rsidRPr="006B0405">
        <w:rPr>
          <w:bCs/>
        </w:rPr>
        <w:t xml:space="preserve"> in local</w:t>
      </w:r>
      <w:r>
        <w:rPr>
          <w:bCs/>
        </w:rPr>
        <w:t>ly</w:t>
      </w:r>
      <w:r w:rsidRPr="006B0405">
        <w:rPr>
          <w:bCs/>
        </w:rPr>
        <w:t xml:space="preserve"> infected, but not in distal leaves (Mishina and Zeier, 2006; Attaran </w:t>
      </w:r>
      <w:r w:rsidRPr="006B0405">
        <w:rPr>
          <w:bCs/>
          <w:i/>
        </w:rPr>
        <w:t>et al</w:t>
      </w:r>
      <w:r>
        <w:rPr>
          <w:bCs/>
        </w:rPr>
        <w:t>., 2009).</w:t>
      </w:r>
      <w:r w:rsidRPr="006B0405">
        <w:rPr>
          <w:bCs/>
        </w:rPr>
        <w:t xml:space="preserve"> </w:t>
      </w:r>
      <w:r>
        <w:rPr>
          <w:bCs/>
        </w:rPr>
        <w:t>SA</w:t>
      </w:r>
      <w:r w:rsidRPr="006B0405">
        <w:rPr>
          <w:bCs/>
        </w:rPr>
        <w:t xml:space="preserve"> is synthesized from chorismate via isochorismate, a reaction </w:t>
      </w:r>
      <w:r w:rsidRPr="006B0405">
        <w:rPr>
          <w:bCs/>
        </w:rPr>
        <w:lastRenderedPageBreak/>
        <w:t>catalysed by ICS1 (</w:t>
      </w:r>
      <w:r>
        <w:rPr>
          <w:bCs/>
        </w:rPr>
        <w:t xml:space="preserve">ISOCHORISMATE SYNTHASE1; </w:t>
      </w:r>
      <w:r w:rsidRPr="006B0405">
        <w:rPr>
          <w:bCs/>
        </w:rPr>
        <w:t xml:space="preserve">Wildermuth </w:t>
      </w:r>
      <w:r w:rsidRPr="006B0405">
        <w:rPr>
          <w:bCs/>
          <w:i/>
        </w:rPr>
        <w:t>et al.</w:t>
      </w:r>
      <w:r w:rsidRPr="006B0405">
        <w:rPr>
          <w:bCs/>
        </w:rPr>
        <w:t>, 2001</w:t>
      </w:r>
      <w:r>
        <w:rPr>
          <w:bCs/>
        </w:rPr>
        <w:t>;</w:t>
      </w:r>
      <w:r w:rsidRPr="00D64634">
        <w:rPr>
          <w:bCs/>
        </w:rPr>
        <w:t xml:space="preserve"> </w:t>
      </w:r>
      <w:r w:rsidRPr="006B0405">
        <w:rPr>
          <w:bCs/>
        </w:rPr>
        <w:t xml:space="preserve">Figure 8). The </w:t>
      </w:r>
      <w:r w:rsidRPr="00AD5811">
        <w:rPr>
          <w:bCs/>
          <w:i/>
        </w:rPr>
        <w:t>ICS1</w:t>
      </w:r>
      <w:r w:rsidRPr="006B0405">
        <w:rPr>
          <w:bCs/>
        </w:rPr>
        <w:t xml:space="preserve"> knockout line, </w:t>
      </w:r>
      <w:r w:rsidRPr="006B0405">
        <w:rPr>
          <w:bCs/>
          <w:i/>
        </w:rPr>
        <w:t>sid2</w:t>
      </w:r>
      <w:r w:rsidRPr="006B0405">
        <w:rPr>
          <w:bCs/>
        </w:rPr>
        <w:t xml:space="preserve"> does not accumulate SA upon bacterial infection, is more susceptible to virulent and avirulent </w:t>
      </w:r>
      <w:r>
        <w:rPr>
          <w:bCs/>
          <w:i/>
        </w:rPr>
        <w:t xml:space="preserve">Psm </w:t>
      </w:r>
      <w:r>
        <w:rPr>
          <w:bCs/>
        </w:rPr>
        <w:t>bacteria, and demonstrates</w:t>
      </w:r>
      <w:r w:rsidRPr="006B0405">
        <w:rPr>
          <w:bCs/>
        </w:rPr>
        <w:t xml:space="preserve"> only a very weak SAR reaction (</w:t>
      </w:r>
      <w:r w:rsidRPr="00F3557C">
        <w:rPr>
          <w:bCs/>
        </w:rPr>
        <w:t>Nawrath and Métraux, 1999</w:t>
      </w:r>
      <w:r>
        <w:rPr>
          <w:bCs/>
        </w:rPr>
        <w:t xml:space="preserve">; </w:t>
      </w:r>
      <w:r w:rsidRPr="006B0405">
        <w:rPr>
          <w:bCs/>
        </w:rPr>
        <w:t xml:space="preserve">Wildermuth </w:t>
      </w:r>
      <w:r w:rsidRPr="006B0405">
        <w:rPr>
          <w:bCs/>
          <w:i/>
        </w:rPr>
        <w:t>et al</w:t>
      </w:r>
      <w:r>
        <w:rPr>
          <w:bCs/>
        </w:rPr>
        <w:t xml:space="preserve">., 2001). </w:t>
      </w:r>
      <w:r w:rsidR="00E1571D" w:rsidRPr="006B0405">
        <w:t xml:space="preserve">It was previously </w:t>
      </w:r>
      <w:r w:rsidR="00145B22">
        <w:t>hypothesised</w:t>
      </w:r>
      <w:r w:rsidR="00E1571D" w:rsidRPr="006B0405">
        <w:t xml:space="preserve"> that </w:t>
      </w:r>
      <w:r>
        <w:t>SA</w:t>
      </w:r>
      <w:r w:rsidR="00E1571D" w:rsidRPr="006B0405">
        <w:t xml:space="preserve"> represents the mobile </w:t>
      </w:r>
      <w:r w:rsidR="00145B22">
        <w:t>signal for SAR-induction</w:t>
      </w:r>
      <w:r w:rsidR="00E1571D" w:rsidRPr="006B0405">
        <w:t xml:space="preserve"> by being converted to the methylated form in local leaves and back</w:t>
      </w:r>
      <w:r w:rsidR="00E1571D">
        <w:t xml:space="preserve"> to free SA</w:t>
      </w:r>
      <w:r w:rsidR="00E1571D" w:rsidRPr="006B0405">
        <w:t xml:space="preserve"> in</w:t>
      </w:r>
      <w:r w:rsidR="00E1571D">
        <w:t xml:space="preserve"> distal</w:t>
      </w:r>
      <w:r w:rsidR="00E1571D" w:rsidRPr="006B0405">
        <w:t xml:space="preserve"> leaves after travelling as methylsalicylate</w:t>
      </w:r>
      <w:r w:rsidR="0016645B">
        <w:t xml:space="preserve"> (MeSA)</w:t>
      </w:r>
      <w:r w:rsidR="00E1571D" w:rsidRPr="006B0405">
        <w:t xml:space="preserve"> via the phloem. Research</w:t>
      </w:r>
      <w:r w:rsidR="00F865A3">
        <w:t>, however,</w:t>
      </w:r>
      <w:r w:rsidR="00E1571D" w:rsidRPr="006B0405">
        <w:t xml:space="preserve"> has shown that SA is not the transported SAR signal in plants, as </w:t>
      </w:r>
      <w:r w:rsidR="00E1571D">
        <w:t>for instance</w:t>
      </w:r>
      <w:r w:rsidR="00E1571D" w:rsidRPr="006B0405">
        <w:t xml:space="preserve"> in grafting experiments transgenic tobacco rootstocks, unable to generate SA, induced a SAR reaction in nontransgenic scions (Vernooij </w:t>
      </w:r>
      <w:r w:rsidR="00E1571D" w:rsidRPr="006B0405">
        <w:rPr>
          <w:i/>
        </w:rPr>
        <w:t>et al</w:t>
      </w:r>
      <w:r w:rsidR="00E1571D">
        <w:t xml:space="preserve">., 1994). </w:t>
      </w:r>
    </w:p>
    <w:p w:rsidR="00145B22" w:rsidRDefault="00145B22" w:rsidP="00145B22">
      <w:pPr>
        <w:spacing w:after="0" w:line="360" w:lineRule="auto"/>
        <w:jc w:val="both"/>
      </w:pPr>
    </w:p>
    <w:p w:rsidR="003E72FB" w:rsidRDefault="006B0405" w:rsidP="00FC7225">
      <w:pPr>
        <w:keepNext/>
        <w:spacing w:after="0" w:line="360" w:lineRule="auto"/>
        <w:jc w:val="both"/>
      </w:pPr>
      <w:r w:rsidRPr="006B0405">
        <w:rPr>
          <w:noProof/>
          <w:lang w:val="de-DE" w:eastAsia="de-DE"/>
        </w:rPr>
        <w:drawing>
          <wp:anchor distT="0" distB="0" distL="114300" distR="114300" simplePos="0" relativeHeight="251668480" behindDoc="0" locked="0" layoutInCell="1" allowOverlap="1" wp14:anchorId="09ABE207" wp14:editId="220AE483">
            <wp:simplePos x="895350" y="895350"/>
            <wp:positionH relativeFrom="page">
              <wp:align>center</wp:align>
            </wp:positionH>
            <wp:positionV relativeFrom="paragraph">
              <wp:posOffset>-3810</wp:posOffset>
            </wp:positionV>
            <wp:extent cx="5400000" cy="3206210"/>
            <wp:effectExtent l="19050" t="19050" r="10795" b="13335"/>
            <wp:wrapTopAndBottom/>
            <wp:docPr id="14"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PR1-mediated SA signalling_Pajerowska-Mukhtar2013.png"/>
                    <pic:cNvPicPr/>
                  </pic:nvPicPr>
                  <pic:blipFill rotWithShape="1">
                    <a:blip r:embed="rId22">
                      <a:extLst>
                        <a:ext uri="{28A0092B-C50C-407E-A947-70E740481C1C}">
                          <a14:useLocalDpi xmlns:a14="http://schemas.microsoft.com/office/drawing/2010/main" val="0"/>
                        </a:ext>
                      </a:extLst>
                    </a:blip>
                    <a:srcRect l="4297" t="1800" b="3663"/>
                    <a:stretch/>
                  </pic:blipFill>
                  <pic:spPr bwMode="auto">
                    <a:xfrm>
                      <a:off x="0" y="0"/>
                      <a:ext cx="5400000" cy="3206210"/>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D94965" w:rsidRPr="00EB4CFA" w:rsidRDefault="003E72FB" w:rsidP="00837F74">
      <w:pPr>
        <w:pStyle w:val="Beschriftung"/>
        <w:spacing w:after="0" w:line="360" w:lineRule="auto"/>
        <w:jc w:val="both"/>
        <w:rPr>
          <w:color w:val="auto"/>
          <w:lang w:val="en-US"/>
        </w:rPr>
      </w:pPr>
      <w:bookmarkStart w:id="20" w:name="_Toc435621127"/>
      <w:proofErr w:type="gramStart"/>
      <w:r w:rsidRPr="00EB4CFA">
        <w:rPr>
          <w:color w:val="auto"/>
        </w:rPr>
        <w:t xml:space="preserve">Figure </w:t>
      </w:r>
      <w:r w:rsidRPr="00EB4CFA">
        <w:rPr>
          <w:color w:val="auto"/>
        </w:rPr>
        <w:fldChar w:fldCharType="begin"/>
      </w:r>
      <w:r w:rsidRPr="00EB4CFA">
        <w:rPr>
          <w:color w:val="auto"/>
        </w:rPr>
        <w:instrText xml:space="preserve"> SEQ Figure \* ARABIC </w:instrText>
      </w:r>
      <w:r w:rsidRPr="00EB4CFA">
        <w:rPr>
          <w:color w:val="auto"/>
        </w:rPr>
        <w:fldChar w:fldCharType="separate"/>
      </w:r>
      <w:r w:rsidR="00CB17FE">
        <w:rPr>
          <w:noProof/>
          <w:color w:val="auto"/>
        </w:rPr>
        <w:t>9</w:t>
      </w:r>
      <w:r w:rsidRPr="00EB4CFA">
        <w:rPr>
          <w:color w:val="auto"/>
        </w:rPr>
        <w:fldChar w:fldCharType="end"/>
      </w:r>
      <w:r w:rsidR="0089676C">
        <w:rPr>
          <w:color w:val="auto"/>
        </w:rPr>
        <w:t>.</w:t>
      </w:r>
      <w:proofErr w:type="gramEnd"/>
      <w:r w:rsidRPr="00EB4CFA">
        <w:rPr>
          <w:color w:val="auto"/>
        </w:rPr>
        <w:t xml:space="preserve"> </w:t>
      </w:r>
      <w:r w:rsidR="0089676C">
        <w:rPr>
          <w:color w:val="auto"/>
          <w:lang w:val="en-US"/>
        </w:rPr>
        <w:t>NPR1 mediates</w:t>
      </w:r>
      <w:r w:rsidRPr="00EB4CFA">
        <w:rPr>
          <w:color w:val="auto"/>
          <w:lang w:val="en-US"/>
        </w:rPr>
        <w:t xml:space="preserve"> </w:t>
      </w:r>
      <w:r w:rsidR="00145B22">
        <w:rPr>
          <w:color w:val="auto"/>
          <w:lang w:val="en-US"/>
        </w:rPr>
        <w:t>SA-</w:t>
      </w:r>
      <w:r w:rsidR="0089676C">
        <w:rPr>
          <w:color w:val="auto"/>
          <w:lang w:val="en-US"/>
        </w:rPr>
        <w:t>signalling</w:t>
      </w:r>
      <w:r w:rsidRPr="00EB4CFA">
        <w:rPr>
          <w:color w:val="auto"/>
          <w:lang w:val="en-US"/>
        </w:rPr>
        <w:t>.</w:t>
      </w:r>
      <w:bookmarkEnd w:id="20"/>
      <w:r w:rsidRPr="00EB4CFA">
        <w:rPr>
          <w:color w:val="auto"/>
          <w:lang w:val="en-US"/>
        </w:rPr>
        <w:t xml:space="preserve"> </w:t>
      </w:r>
    </w:p>
    <w:p w:rsidR="003E72FB" w:rsidRPr="001D06E3" w:rsidRDefault="003E72FB" w:rsidP="00D94965">
      <w:pPr>
        <w:pStyle w:val="Beschriftung"/>
        <w:jc w:val="both"/>
        <w:rPr>
          <w:b w:val="0"/>
          <w:color w:val="auto"/>
          <w:sz w:val="16"/>
          <w:szCs w:val="16"/>
          <w:lang w:val="en-US"/>
        </w:rPr>
      </w:pPr>
      <w:r w:rsidRPr="00EB4CFA">
        <w:rPr>
          <w:b w:val="0"/>
          <w:color w:val="auto"/>
          <w:lang w:val="en-US"/>
        </w:rPr>
        <w:t xml:space="preserve">(A) In uninfected cells </w:t>
      </w:r>
      <w:r w:rsidR="00145B22">
        <w:rPr>
          <w:b w:val="0"/>
          <w:color w:val="auto"/>
          <w:lang w:val="en-US"/>
        </w:rPr>
        <w:t xml:space="preserve">the </w:t>
      </w:r>
      <w:r w:rsidRPr="00EB4CFA">
        <w:rPr>
          <w:b w:val="0"/>
          <w:color w:val="auto"/>
          <w:lang w:val="en-US"/>
        </w:rPr>
        <w:t xml:space="preserve">NPR1 protein is present mostly in large oligomeric complexes in the cytosol, with only a small number of monomeric NPR1 able to enter the nucleus where it interacts with the repressor protein NON-INDUCIBLE IMMUNITY 1 (NIM1)-INTERACTING (NIMIN). This repressor complex and other repression mechanisms prevent the expression of </w:t>
      </w:r>
      <w:r w:rsidRPr="00EB4CFA">
        <w:rPr>
          <w:b w:val="0"/>
          <w:i/>
          <w:color w:val="auto"/>
          <w:lang w:val="en-US"/>
        </w:rPr>
        <w:t>PR-1</w:t>
      </w:r>
      <w:r w:rsidRPr="00EB4CFA">
        <w:rPr>
          <w:b w:val="0"/>
          <w:color w:val="auto"/>
          <w:lang w:val="en-US"/>
        </w:rPr>
        <w:t>. (B) Upon infection with a bacterial pathogen</w:t>
      </w:r>
      <w:r w:rsidR="00145B22">
        <w:rPr>
          <w:b w:val="0"/>
          <w:color w:val="auto"/>
          <w:lang w:val="en-US"/>
        </w:rPr>
        <w:t>, SA-</w:t>
      </w:r>
      <w:r w:rsidRPr="00EB4CFA">
        <w:rPr>
          <w:b w:val="0"/>
          <w:color w:val="auto"/>
          <w:lang w:val="en-US"/>
        </w:rPr>
        <w:t>levels</w:t>
      </w:r>
      <w:r w:rsidR="00BF2D59" w:rsidRPr="00EB4CFA">
        <w:rPr>
          <w:b w:val="0"/>
          <w:color w:val="auto"/>
          <w:lang w:val="en-US"/>
        </w:rPr>
        <w:t xml:space="preserve"> in the cell increase and allow</w:t>
      </w:r>
      <w:r w:rsidRPr="00EB4CFA">
        <w:rPr>
          <w:b w:val="0"/>
          <w:color w:val="auto"/>
          <w:lang w:val="en-US"/>
        </w:rPr>
        <w:t xml:space="preserve"> dissociation of larger numbers of NPR1 protein from the oligomeric complex and enables NPR1 monomers to enter the nucleus. Inside the nucleus, assembly of a TGA-NP</w:t>
      </w:r>
      <w:r w:rsidR="00013F4E" w:rsidRPr="00EB4CFA">
        <w:rPr>
          <w:b w:val="0"/>
          <w:color w:val="auto"/>
          <w:lang w:val="en-US"/>
        </w:rPr>
        <w:t>R1-SA complex together with additional</w:t>
      </w:r>
      <w:r w:rsidRPr="00EB4CFA">
        <w:rPr>
          <w:b w:val="0"/>
          <w:color w:val="auto"/>
          <w:lang w:val="en-US"/>
        </w:rPr>
        <w:t xml:space="preserve"> transcription </w:t>
      </w:r>
      <w:proofErr w:type="gramStart"/>
      <w:r w:rsidRPr="00EB4CFA">
        <w:rPr>
          <w:b w:val="0"/>
          <w:color w:val="auto"/>
          <w:lang w:val="en-US"/>
        </w:rPr>
        <w:t>factors,</w:t>
      </w:r>
      <w:proofErr w:type="gramEnd"/>
      <w:r w:rsidRPr="00EB4CFA">
        <w:rPr>
          <w:b w:val="0"/>
          <w:color w:val="auto"/>
          <w:lang w:val="en-US"/>
        </w:rPr>
        <w:t xml:space="preserve"> enables transcription of </w:t>
      </w:r>
      <w:r w:rsidRPr="00EB4CFA">
        <w:rPr>
          <w:b w:val="0"/>
          <w:i/>
          <w:color w:val="auto"/>
          <w:lang w:val="en-US"/>
        </w:rPr>
        <w:t>PR-1</w:t>
      </w:r>
      <w:r w:rsidRPr="00EB4CFA">
        <w:rPr>
          <w:b w:val="0"/>
          <w:color w:val="auto"/>
          <w:lang w:val="en-US"/>
        </w:rPr>
        <w:t xml:space="preserve"> followed by</w:t>
      </w:r>
      <w:r w:rsidR="001D06E3" w:rsidRPr="00EB4CFA">
        <w:rPr>
          <w:b w:val="0"/>
          <w:color w:val="auto"/>
          <w:lang w:val="en-US"/>
        </w:rPr>
        <w:t xml:space="preserve"> induction of defence responses</w:t>
      </w:r>
      <w:r w:rsidRPr="00EB4CFA">
        <w:rPr>
          <w:b w:val="0"/>
          <w:color w:val="auto"/>
          <w:lang w:val="en-US"/>
        </w:rPr>
        <w:t xml:space="preserve"> </w:t>
      </w:r>
      <w:r w:rsidR="001D06E3" w:rsidRPr="00EB4CFA">
        <w:rPr>
          <w:b w:val="0"/>
          <w:color w:val="auto"/>
          <w:lang w:val="en-US"/>
        </w:rPr>
        <w:t>(</w:t>
      </w:r>
      <w:r w:rsidRPr="00EB4CFA">
        <w:rPr>
          <w:b w:val="0"/>
          <w:color w:val="auto"/>
          <w:lang w:val="en-US"/>
        </w:rPr>
        <w:t xml:space="preserve">Pajerowska-Mukhtar </w:t>
      </w:r>
      <w:r w:rsidRPr="00EB4CFA">
        <w:rPr>
          <w:b w:val="0"/>
          <w:i/>
          <w:color w:val="auto"/>
          <w:lang w:val="en-US"/>
        </w:rPr>
        <w:t>et al</w:t>
      </w:r>
      <w:r w:rsidRPr="00EB4CFA">
        <w:rPr>
          <w:b w:val="0"/>
          <w:color w:val="auto"/>
          <w:lang w:val="en-US"/>
        </w:rPr>
        <w:t>., 2013</w:t>
      </w:r>
      <w:r w:rsidR="001D06E3" w:rsidRPr="00EB4CFA">
        <w:rPr>
          <w:b w:val="0"/>
          <w:color w:val="auto"/>
          <w:lang w:val="en-US"/>
        </w:rPr>
        <w:t>)</w:t>
      </w:r>
      <w:r w:rsidRPr="00EB4CFA">
        <w:rPr>
          <w:b w:val="0"/>
          <w:color w:val="auto"/>
          <w:lang w:val="en-US"/>
        </w:rPr>
        <w:t>.</w:t>
      </w:r>
    </w:p>
    <w:p w:rsidR="006B0405" w:rsidRPr="00837F74" w:rsidRDefault="00837F74" w:rsidP="00837F74">
      <w:pPr>
        <w:spacing w:after="0" w:line="360" w:lineRule="auto"/>
        <w:jc w:val="both"/>
        <w:rPr>
          <w:bCs/>
        </w:rPr>
      </w:pPr>
      <w:r>
        <w:t>A</w:t>
      </w:r>
      <w:r w:rsidRPr="006B0405">
        <w:t xml:space="preserve">nother experiment proved that SA is synthesised </w:t>
      </w:r>
      <w:r w:rsidRPr="006B0405">
        <w:rPr>
          <w:i/>
        </w:rPr>
        <w:t>de novo</w:t>
      </w:r>
      <w:r>
        <w:t xml:space="preserve"> in distal leaves and that MeSA, proposed to be the dislocated form of SA,</w:t>
      </w:r>
      <w:r w:rsidRPr="006B0405">
        <w:t xml:space="preserve"> cannot be the transport form, as most of the highly volatile MeSA evaporates from leaves and mutant plant lines with a defect in the SA methyl transferase gene </w:t>
      </w:r>
      <w:r w:rsidRPr="006B0405">
        <w:rPr>
          <w:i/>
        </w:rPr>
        <w:t>BSMT1</w:t>
      </w:r>
      <w:r w:rsidRPr="006B0405">
        <w:t xml:space="preserve"> </w:t>
      </w:r>
      <w:r>
        <w:t>(</w:t>
      </w:r>
      <w:r w:rsidRPr="00CD7D6F">
        <w:t>SAM-dependent carboxyl methyltransferase</w:t>
      </w:r>
      <w:r>
        <w:t>)</w:t>
      </w:r>
      <w:r w:rsidRPr="00CD7D6F">
        <w:t xml:space="preserve"> </w:t>
      </w:r>
      <w:r>
        <w:t>exhibit a WT-</w:t>
      </w:r>
      <w:r w:rsidRPr="006B0405">
        <w:t xml:space="preserve">like SAR response (Attaran </w:t>
      </w:r>
      <w:r w:rsidRPr="006B0405">
        <w:rPr>
          <w:i/>
        </w:rPr>
        <w:t>et al</w:t>
      </w:r>
      <w:r w:rsidRPr="006B0405">
        <w:t xml:space="preserve">., 2009). </w:t>
      </w:r>
      <w:r>
        <w:t>An in</w:t>
      </w:r>
      <w:r w:rsidRPr="006B0405">
        <w:t xml:space="preserve">crease in </w:t>
      </w:r>
      <w:r>
        <w:t>SA</w:t>
      </w:r>
      <w:r w:rsidR="00145B22">
        <w:t>-</w:t>
      </w:r>
      <w:r w:rsidRPr="006B0405">
        <w:t xml:space="preserve">levels is mandatory for basal </w:t>
      </w:r>
      <w:r w:rsidRPr="006B0405">
        <w:lastRenderedPageBreak/>
        <w:t>resistance and elicitation of SAR,</w:t>
      </w:r>
      <w:r w:rsidR="00145B22">
        <w:t xml:space="preserve"> however,</w:t>
      </w:r>
      <w:r w:rsidRPr="006B0405">
        <w:t xml:space="preserve"> as SA-mediated signalling is responsible for expression of a large number of defence-related genes and transcription factors, as well as regulation of signalling and hormone networks to economically allocate resources. </w:t>
      </w:r>
      <w:r w:rsidR="00E1571D" w:rsidRPr="006B0405">
        <w:t>A central part in SA-mediated signalling plays NONEXPRESSOR OF PR-1 (N</w:t>
      </w:r>
      <w:r w:rsidR="00145B22">
        <w:t>PR1), a protein that is found</w:t>
      </w:r>
      <w:r w:rsidR="00E1571D" w:rsidRPr="006B0405">
        <w:t xml:space="preserve"> mostly</w:t>
      </w:r>
      <w:r w:rsidR="00145B22">
        <w:t xml:space="preserve"> in</w:t>
      </w:r>
      <w:r w:rsidR="00E1571D" w:rsidRPr="006B0405">
        <w:t xml:space="preserve"> oligomeric form in the cytosol of non-infected plant cells (Figure 9). A small amount of NPR1 is present in monomeric form and can enter the nucleus, where it interacts with NON-INDUCIBLE IMMUNITY 1 (NIM1-) INTERACTING</w:t>
      </w:r>
      <w:r w:rsidR="00E1571D">
        <w:t xml:space="preserve"> (NIMIN)</w:t>
      </w:r>
      <w:r w:rsidR="00E1571D" w:rsidRPr="006B0405">
        <w:t xml:space="preserve">, a repressor upstream of the coding region for </w:t>
      </w:r>
      <w:r w:rsidR="00E1571D" w:rsidRPr="006B0405">
        <w:rPr>
          <w:i/>
        </w:rPr>
        <w:t>PR-1</w:t>
      </w:r>
      <w:r w:rsidR="00E1571D" w:rsidRPr="006B0405">
        <w:t xml:space="preserve"> (Mou </w:t>
      </w:r>
      <w:r w:rsidR="00E1571D" w:rsidRPr="006B0405">
        <w:rPr>
          <w:i/>
        </w:rPr>
        <w:t>et al</w:t>
      </w:r>
      <w:r w:rsidR="00E1571D" w:rsidRPr="006B0405">
        <w:t>., 2003</w:t>
      </w:r>
      <w:r w:rsidR="00E1571D">
        <w:t>;</w:t>
      </w:r>
      <w:r w:rsidR="00E1571D" w:rsidRPr="00D64634">
        <w:t xml:space="preserve"> </w:t>
      </w:r>
      <w:r w:rsidR="00E1571D" w:rsidRPr="006B0405">
        <w:t xml:space="preserve">Figure 9). Accumulation of </w:t>
      </w:r>
      <w:r w:rsidR="00C226A2">
        <w:t>SA</w:t>
      </w:r>
      <w:r w:rsidR="00E1571D" w:rsidRPr="006B0405">
        <w:t xml:space="preserve"> in infected plant cells leads to changes in redox potential in the cell and subsequent reduction of NPR1 to its monomeric form. Consequently, more monomeric NPR1 is able to enter the nucleus, where association of NPR1 with a complex consisting of transcription factors and transcriptional regulators as well as SA enables transcription of </w:t>
      </w:r>
      <w:r w:rsidR="00E1571D" w:rsidRPr="006B0405">
        <w:rPr>
          <w:i/>
        </w:rPr>
        <w:t>PR</w:t>
      </w:r>
      <w:r w:rsidR="00E1571D" w:rsidRPr="006B0405">
        <w:t xml:space="preserve"> genes followed by induction of </w:t>
      </w:r>
      <w:r w:rsidR="00C226A2">
        <w:t>SAR</w:t>
      </w:r>
      <w:r w:rsidR="00E1571D" w:rsidRPr="006B0405">
        <w:t xml:space="preserve"> (Mou </w:t>
      </w:r>
      <w:r w:rsidR="00E1571D" w:rsidRPr="006B0405">
        <w:rPr>
          <w:i/>
        </w:rPr>
        <w:t>et al</w:t>
      </w:r>
      <w:r w:rsidR="00E1571D">
        <w:t>., 2003; D</w:t>
      </w:r>
      <w:r w:rsidR="00E1571D" w:rsidRPr="006B0405">
        <w:t xml:space="preserve">a Cunha </w:t>
      </w:r>
      <w:r w:rsidR="00E1571D" w:rsidRPr="006B0405">
        <w:rPr>
          <w:i/>
        </w:rPr>
        <w:t>et al.,</w:t>
      </w:r>
      <w:r w:rsidR="00E1571D" w:rsidRPr="006B0405">
        <w:t xml:space="preserve"> 2006</w:t>
      </w:r>
      <w:r w:rsidR="00E1571D">
        <w:t>;</w:t>
      </w:r>
      <w:r w:rsidR="00E1571D" w:rsidRPr="00D64634">
        <w:t xml:space="preserve"> </w:t>
      </w:r>
      <w:r w:rsidR="00E1571D" w:rsidRPr="006B0405">
        <w:t>Figure 9).</w:t>
      </w:r>
      <w:r w:rsidR="00E1571D">
        <w:t xml:space="preserve"> </w:t>
      </w:r>
    </w:p>
    <w:p w:rsidR="00145B22" w:rsidRDefault="00145B22" w:rsidP="00FC7225">
      <w:pPr>
        <w:keepNext/>
        <w:spacing w:after="0" w:line="360" w:lineRule="auto"/>
        <w:jc w:val="both"/>
      </w:pPr>
    </w:p>
    <w:p w:rsidR="00D329F0" w:rsidRDefault="006B0405" w:rsidP="00FC7225">
      <w:pPr>
        <w:keepNext/>
        <w:spacing w:after="0" w:line="360" w:lineRule="auto"/>
        <w:jc w:val="both"/>
      </w:pPr>
      <w:r w:rsidRPr="006B0405">
        <w:rPr>
          <w:noProof/>
          <w:lang w:val="de-DE" w:eastAsia="de-DE"/>
        </w:rPr>
        <w:drawing>
          <wp:anchor distT="0" distB="0" distL="114300" distR="114300" simplePos="0" relativeHeight="251669504" behindDoc="0" locked="0" layoutInCell="1" allowOverlap="1" wp14:anchorId="16ED3163" wp14:editId="248C547F">
            <wp:simplePos x="895350" y="895350"/>
            <wp:positionH relativeFrom="page">
              <wp:align>center</wp:align>
            </wp:positionH>
            <wp:positionV relativeFrom="paragraph">
              <wp:posOffset>-3810</wp:posOffset>
            </wp:positionV>
            <wp:extent cx="2649600" cy="1440000"/>
            <wp:effectExtent l="19050" t="19050" r="17780" b="27305"/>
            <wp:wrapTopAndBottom/>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parison JA-Ile Cor_Katsir2008.png"/>
                    <pic:cNvPicPr/>
                  </pic:nvPicPr>
                  <pic:blipFill>
                    <a:blip r:embed="rId23">
                      <a:extLst>
                        <a:ext uri="{28A0092B-C50C-407E-A947-70E740481C1C}">
                          <a14:useLocalDpi xmlns:a14="http://schemas.microsoft.com/office/drawing/2010/main" val="0"/>
                        </a:ext>
                      </a:extLst>
                    </a:blip>
                    <a:stretch>
                      <a:fillRect/>
                    </a:stretch>
                  </pic:blipFill>
                  <pic:spPr>
                    <a:xfrm>
                      <a:off x="0" y="0"/>
                      <a:ext cx="2649600" cy="1440000"/>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p>
    <w:p w:rsidR="00D94965" w:rsidRPr="00EB4CFA" w:rsidRDefault="00D329F0" w:rsidP="00C226A2">
      <w:pPr>
        <w:pStyle w:val="Beschriftung"/>
        <w:spacing w:after="0" w:line="360" w:lineRule="auto"/>
        <w:jc w:val="both"/>
        <w:rPr>
          <w:color w:val="auto"/>
          <w:lang w:val="en-US"/>
        </w:rPr>
      </w:pPr>
      <w:bookmarkStart w:id="21" w:name="_Toc435621128"/>
      <w:proofErr w:type="gramStart"/>
      <w:r w:rsidRPr="00EB4CFA">
        <w:rPr>
          <w:color w:val="auto"/>
        </w:rPr>
        <w:t xml:space="preserve">Figure </w:t>
      </w:r>
      <w:r w:rsidRPr="00EB4CFA">
        <w:rPr>
          <w:color w:val="auto"/>
        </w:rPr>
        <w:fldChar w:fldCharType="begin"/>
      </w:r>
      <w:r w:rsidRPr="00EB4CFA">
        <w:rPr>
          <w:color w:val="auto"/>
        </w:rPr>
        <w:instrText xml:space="preserve"> SEQ Figure \* ARABIC </w:instrText>
      </w:r>
      <w:r w:rsidRPr="00EB4CFA">
        <w:rPr>
          <w:color w:val="auto"/>
        </w:rPr>
        <w:fldChar w:fldCharType="separate"/>
      </w:r>
      <w:r w:rsidR="00CB17FE">
        <w:rPr>
          <w:noProof/>
          <w:color w:val="auto"/>
        </w:rPr>
        <w:t>10</w:t>
      </w:r>
      <w:r w:rsidRPr="00EB4CFA">
        <w:rPr>
          <w:color w:val="auto"/>
        </w:rPr>
        <w:fldChar w:fldCharType="end"/>
      </w:r>
      <w:r w:rsidR="0089676C">
        <w:rPr>
          <w:color w:val="auto"/>
        </w:rPr>
        <w:t>.</w:t>
      </w:r>
      <w:proofErr w:type="gramEnd"/>
      <w:r w:rsidRPr="00EB4CFA">
        <w:rPr>
          <w:color w:val="auto"/>
        </w:rPr>
        <w:t xml:space="preserve"> </w:t>
      </w:r>
      <w:proofErr w:type="gramStart"/>
      <w:r w:rsidRPr="00EB4CFA">
        <w:rPr>
          <w:color w:val="auto"/>
          <w:lang w:val="en-US"/>
        </w:rPr>
        <w:t>Comparison of Ja-Ile and coronatine.</w:t>
      </w:r>
      <w:bookmarkEnd w:id="21"/>
      <w:proofErr w:type="gramEnd"/>
      <w:r w:rsidRPr="00EB4CFA">
        <w:rPr>
          <w:color w:val="auto"/>
          <w:lang w:val="en-US"/>
        </w:rPr>
        <w:t xml:space="preserve"> </w:t>
      </w:r>
    </w:p>
    <w:p w:rsidR="00D329F0" w:rsidRPr="00EB4CFA" w:rsidRDefault="00D329F0" w:rsidP="00D329F0">
      <w:pPr>
        <w:pStyle w:val="Beschriftung"/>
        <w:jc w:val="both"/>
        <w:rPr>
          <w:b w:val="0"/>
          <w:color w:val="auto"/>
          <w:lang w:val="en-US"/>
        </w:rPr>
      </w:pPr>
      <w:r w:rsidRPr="00EB4CFA">
        <w:rPr>
          <w:b w:val="0"/>
          <w:color w:val="auto"/>
          <w:lang w:val="en-US"/>
        </w:rPr>
        <w:t xml:space="preserve">The toxin coronatine introduced into plant cells by </w:t>
      </w:r>
      <w:r w:rsidR="00145B22">
        <w:rPr>
          <w:b w:val="0"/>
          <w:i/>
          <w:color w:val="auto"/>
          <w:lang w:val="en-US"/>
        </w:rPr>
        <w:t>Psm</w:t>
      </w:r>
      <w:r w:rsidRPr="00EB4CFA">
        <w:rPr>
          <w:b w:val="0"/>
          <w:color w:val="auto"/>
          <w:lang w:val="en-US"/>
        </w:rPr>
        <w:t xml:space="preserve"> has a structure very similar to jasmonate-isoleucine, the </w:t>
      </w:r>
      <w:r w:rsidR="001D06E3" w:rsidRPr="00EB4CFA">
        <w:rPr>
          <w:b w:val="0"/>
          <w:color w:val="auto"/>
          <w:lang w:val="en-US"/>
        </w:rPr>
        <w:t xml:space="preserve">bioactive form of </w:t>
      </w:r>
      <w:r w:rsidR="00145B22">
        <w:rPr>
          <w:b w:val="0"/>
          <w:color w:val="auto"/>
          <w:lang w:val="en-US"/>
        </w:rPr>
        <w:t xml:space="preserve">JA </w:t>
      </w:r>
      <w:r w:rsidR="001D06E3" w:rsidRPr="00EB4CFA">
        <w:rPr>
          <w:b w:val="0"/>
          <w:color w:val="auto"/>
          <w:lang w:val="en-US"/>
        </w:rPr>
        <w:t>(</w:t>
      </w:r>
      <w:r w:rsidRPr="00EB4CFA">
        <w:rPr>
          <w:b w:val="0"/>
          <w:color w:val="auto"/>
          <w:lang w:val="en-US"/>
        </w:rPr>
        <w:t xml:space="preserve">Katsir </w:t>
      </w:r>
      <w:r w:rsidRPr="00EB4CFA">
        <w:rPr>
          <w:b w:val="0"/>
          <w:i/>
          <w:color w:val="auto"/>
          <w:lang w:val="en-US"/>
        </w:rPr>
        <w:t>et al</w:t>
      </w:r>
      <w:r w:rsidRPr="00EB4CFA">
        <w:rPr>
          <w:b w:val="0"/>
          <w:color w:val="auto"/>
          <w:lang w:val="en-US"/>
        </w:rPr>
        <w:t>., 2008</w:t>
      </w:r>
      <w:r w:rsidR="001D06E3" w:rsidRPr="00EB4CFA">
        <w:rPr>
          <w:b w:val="0"/>
          <w:color w:val="auto"/>
          <w:lang w:val="en-US"/>
        </w:rPr>
        <w:t>)</w:t>
      </w:r>
      <w:r w:rsidRPr="00EB4CFA">
        <w:rPr>
          <w:b w:val="0"/>
          <w:color w:val="auto"/>
          <w:lang w:val="en-US"/>
        </w:rPr>
        <w:t>.</w:t>
      </w:r>
    </w:p>
    <w:p w:rsidR="008523FC" w:rsidRDefault="00C226A2" w:rsidP="00E1571D">
      <w:pPr>
        <w:spacing w:line="360" w:lineRule="auto"/>
        <w:jc w:val="both"/>
      </w:pPr>
      <w:r>
        <w:t>It was recently shown that additionally to its role in SA-signalling described above, NPR1, as well as it</w:t>
      </w:r>
      <w:r w:rsidR="00F865A3">
        <w:t>s paralog</w:t>
      </w:r>
      <w:r w:rsidR="00DE7A09">
        <w:t>ues NPR3 and NPR4, is</w:t>
      </w:r>
      <w:r>
        <w:t xml:space="preserve"> able to bind SA and function</w:t>
      </w:r>
      <w:r w:rsidR="00DE7A09">
        <w:t>s as SA-receptor</w:t>
      </w:r>
      <w:r>
        <w:t xml:space="preserve"> (Wu </w:t>
      </w:r>
      <w:r w:rsidRPr="00D64634">
        <w:rPr>
          <w:i/>
        </w:rPr>
        <w:t>et al</w:t>
      </w:r>
      <w:r>
        <w:t xml:space="preserve">., 2012; Fu </w:t>
      </w:r>
      <w:r w:rsidRPr="00D64634">
        <w:rPr>
          <w:i/>
        </w:rPr>
        <w:t>et al</w:t>
      </w:r>
      <w:r>
        <w:t>., 2012; Yan and Dong, 2014). In further experiments, NPR1 not only activated</w:t>
      </w:r>
      <w:r w:rsidRPr="006B0405">
        <w:t xml:space="preserve"> a l</w:t>
      </w:r>
      <w:r>
        <w:t xml:space="preserve">arge number of defence-related </w:t>
      </w:r>
      <w:r w:rsidRPr="006B0405">
        <w:t>genes, but also downregulate</w:t>
      </w:r>
      <w:r>
        <w:t>d</w:t>
      </w:r>
      <w:r w:rsidRPr="006B0405">
        <w:t xml:space="preserve"> genes involved in basic cell processes, f</w:t>
      </w:r>
      <w:r w:rsidR="00DE7A09">
        <w:t>or instance photosynthesis</w:t>
      </w:r>
      <w:r w:rsidRPr="006B0405">
        <w:t xml:space="preserve">, in order to prioritise defence reactions over growth in the plant (Spoel and Dong, 2012). </w:t>
      </w:r>
      <w:r>
        <w:t>Furthermore, SA</w:t>
      </w:r>
      <w:r w:rsidRPr="006B0405">
        <w:t xml:space="preserve"> </w:t>
      </w:r>
      <w:r>
        <w:t xml:space="preserve">is </w:t>
      </w:r>
      <w:r w:rsidRPr="006B0405">
        <w:t>not only</w:t>
      </w:r>
      <w:r>
        <w:t xml:space="preserve"> involved in controlling</w:t>
      </w:r>
      <w:r w:rsidRPr="006B0405">
        <w:t xml:space="preserve"> expression of defence-related</w:t>
      </w:r>
      <w:r>
        <w:t xml:space="preserve"> genes in SAR, but also regulates</w:t>
      </w:r>
      <w:r w:rsidRPr="006B0405">
        <w:t xml:space="preserve"> cell-to-cell signalling by induction of plasmodesmata closure upon perception of PAMPs (Wang </w:t>
      </w:r>
      <w:r w:rsidRPr="006B0405">
        <w:rPr>
          <w:i/>
        </w:rPr>
        <w:t>et al</w:t>
      </w:r>
      <w:r>
        <w:t>., 2013 b) and</w:t>
      </w:r>
      <w:r w:rsidRPr="006B0405">
        <w:t xml:space="preserve"> defence signalling by actively repressing JA- and </w:t>
      </w:r>
      <w:r>
        <w:t>ethylene (</w:t>
      </w:r>
      <w:r w:rsidRPr="006B0405">
        <w:t>ET</w:t>
      </w:r>
      <w:r>
        <w:t>)</w:t>
      </w:r>
      <w:r w:rsidRPr="006B0405">
        <w:t xml:space="preserve">-responsive genes (Vlot </w:t>
      </w:r>
      <w:r w:rsidRPr="006B0405">
        <w:rPr>
          <w:i/>
        </w:rPr>
        <w:t>et al</w:t>
      </w:r>
      <w:r w:rsidRPr="006B0405">
        <w:t xml:space="preserve">., 2009). Similar to other compounds in plants, </w:t>
      </w:r>
      <w:r>
        <w:t>SA can be toxic in higher doses and</w:t>
      </w:r>
      <w:r w:rsidRPr="006B0405">
        <w:t xml:space="preserve"> needs to be conjugated with other compounds</w:t>
      </w:r>
      <w:r>
        <w:t xml:space="preserve"> for inactivation</w:t>
      </w:r>
      <w:r w:rsidRPr="006B0405">
        <w:t xml:space="preserve">. Glucosylation by UDP-glucosyltransferases on either of its two hydroxyl groups converts </w:t>
      </w:r>
      <w:r>
        <w:t>SA</w:t>
      </w:r>
      <w:r w:rsidRPr="006B0405">
        <w:t xml:space="preserve"> into the </w:t>
      </w:r>
      <w:r w:rsidRPr="006B0405">
        <w:lastRenderedPageBreak/>
        <w:t xml:space="preserve">corresponding glycosylated </w:t>
      </w:r>
      <w:r>
        <w:t xml:space="preserve">(SAG) </w:t>
      </w:r>
      <w:r w:rsidRPr="006B0405">
        <w:t>form, which is the</w:t>
      </w:r>
      <w:r>
        <w:t xml:space="preserve"> abundant</w:t>
      </w:r>
      <w:r w:rsidRPr="006B0405">
        <w:t xml:space="preserve"> inactive form of SA and </w:t>
      </w:r>
      <w:r w:rsidR="00DE7A09">
        <w:t xml:space="preserve">is </w:t>
      </w:r>
      <w:r w:rsidRPr="006B0405">
        <w:t xml:space="preserve">stored in plant vacuoles (Dempsey </w:t>
      </w:r>
      <w:r w:rsidRPr="006B0405">
        <w:rPr>
          <w:i/>
        </w:rPr>
        <w:t>et al</w:t>
      </w:r>
      <w:r w:rsidRPr="006B0405">
        <w:t xml:space="preserve">., 2011). </w:t>
      </w:r>
    </w:p>
    <w:p w:rsidR="00C226A2" w:rsidRDefault="00C226A2" w:rsidP="00FC7225">
      <w:pPr>
        <w:keepNext/>
        <w:spacing w:after="0" w:line="360" w:lineRule="auto"/>
        <w:jc w:val="both"/>
      </w:pPr>
    </w:p>
    <w:p w:rsidR="00C136CC" w:rsidRDefault="006B0405" w:rsidP="00FC7225">
      <w:pPr>
        <w:keepNext/>
        <w:spacing w:after="0" w:line="360" w:lineRule="auto"/>
        <w:jc w:val="both"/>
      </w:pPr>
      <w:r w:rsidRPr="006B0405">
        <w:rPr>
          <w:b/>
          <w:noProof/>
          <w:lang w:val="de-DE" w:eastAsia="de-DE"/>
        </w:rPr>
        <w:drawing>
          <wp:anchor distT="0" distB="0" distL="114300" distR="114300" simplePos="0" relativeHeight="251670528" behindDoc="0" locked="0" layoutInCell="1" allowOverlap="1" wp14:anchorId="36924216" wp14:editId="23FE1771">
            <wp:simplePos x="895350" y="895350"/>
            <wp:positionH relativeFrom="page">
              <wp:align>center</wp:align>
            </wp:positionH>
            <wp:positionV relativeFrom="paragraph">
              <wp:posOffset>-3810</wp:posOffset>
            </wp:positionV>
            <wp:extent cx="3960000" cy="4699334"/>
            <wp:effectExtent l="19050" t="19050" r="21590" b="25400"/>
            <wp:wrapTopAndBottom/>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malexin biosynthesis newer_Rauhut2009.png"/>
                    <pic:cNvPicPr/>
                  </pic:nvPicPr>
                  <pic:blipFill rotWithShape="1">
                    <a:blip r:embed="rId24">
                      <a:extLst>
                        <a:ext uri="{28A0092B-C50C-407E-A947-70E740481C1C}">
                          <a14:useLocalDpi xmlns:a14="http://schemas.microsoft.com/office/drawing/2010/main" val="0"/>
                        </a:ext>
                      </a:extLst>
                    </a:blip>
                    <a:srcRect l="-1313" t="-1101" r="-1317" b="-1101"/>
                    <a:stretch/>
                  </pic:blipFill>
                  <pic:spPr bwMode="auto">
                    <a:xfrm>
                      <a:off x="0" y="0"/>
                      <a:ext cx="3960000" cy="4699334"/>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D94965" w:rsidRPr="00EB4CFA" w:rsidRDefault="00C136CC" w:rsidP="00C226A2">
      <w:pPr>
        <w:pStyle w:val="Beschriftung"/>
        <w:spacing w:after="0" w:line="360" w:lineRule="auto"/>
        <w:jc w:val="both"/>
        <w:rPr>
          <w:color w:val="auto"/>
          <w:lang w:val="en-US"/>
        </w:rPr>
      </w:pPr>
      <w:bookmarkStart w:id="22" w:name="_Toc435621129"/>
      <w:proofErr w:type="gramStart"/>
      <w:r w:rsidRPr="00EB4CFA">
        <w:rPr>
          <w:color w:val="auto"/>
        </w:rPr>
        <w:t xml:space="preserve">Figure </w:t>
      </w:r>
      <w:r w:rsidRPr="00EB4CFA">
        <w:rPr>
          <w:color w:val="auto"/>
        </w:rPr>
        <w:fldChar w:fldCharType="begin"/>
      </w:r>
      <w:r w:rsidRPr="00EB4CFA">
        <w:rPr>
          <w:color w:val="auto"/>
        </w:rPr>
        <w:instrText xml:space="preserve"> SEQ Figure \* ARABIC </w:instrText>
      </w:r>
      <w:r w:rsidRPr="00EB4CFA">
        <w:rPr>
          <w:color w:val="auto"/>
        </w:rPr>
        <w:fldChar w:fldCharType="separate"/>
      </w:r>
      <w:r w:rsidR="00CB17FE">
        <w:rPr>
          <w:noProof/>
          <w:color w:val="auto"/>
        </w:rPr>
        <w:t>11</w:t>
      </w:r>
      <w:r w:rsidRPr="00EB4CFA">
        <w:rPr>
          <w:color w:val="auto"/>
        </w:rPr>
        <w:fldChar w:fldCharType="end"/>
      </w:r>
      <w:r w:rsidR="0089676C">
        <w:rPr>
          <w:color w:val="auto"/>
        </w:rPr>
        <w:t>.</w:t>
      </w:r>
      <w:proofErr w:type="gramEnd"/>
      <w:r w:rsidRPr="00EB4CFA">
        <w:rPr>
          <w:color w:val="auto"/>
        </w:rPr>
        <w:t xml:space="preserve"> </w:t>
      </w:r>
      <w:proofErr w:type="gramStart"/>
      <w:r w:rsidRPr="00EB4CFA">
        <w:rPr>
          <w:color w:val="auto"/>
          <w:lang w:val="en-US"/>
        </w:rPr>
        <w:t xml:space="preserve">Biosynthesis of camalexin and other indolic compounds in </w:t>
      </w:r>
      <w:r w:rsidRPr="00EB4CFA">
        <w:rPr>
          <w:i/>
          <w:color w:val="auto"/>
          <w:lang w:val="en-US"/>
        </w:rPr>
        <w:t>A</w:t>
      </w:r>
      <w:r w:rsidR="00DE7A09">
        <w:rPr>
          <w:i/>
          <w:color w:val="auto"/>
          <w:lang w:val="en-US"/>
        </w:rPr>
        <w:t>.</w:t>
      </w:r>
      <w:r w:rsidRPr="00EB4CFA">
        <w:rPr>
          <w:i/>
          <w:color w:val="auto"/>
          <w:lang w:val="en-US"/>
        </w:rPr>
        <w:t xml:space="preserve"> thaliana</w:t>
      </w:r>
      <w:r w:rsidRPr="00EB4CFA">
        <w:rPr>
          <w:color w:val="auto"/>
          <w:lang w:val="en-US"/>
        </w:rPr>
        <w:t>.</w:t>
      </w:r>
      <w:bookmarkEnd w:id="22"/>
      <w:proofErr w:type="gramEnd"/>
      <w:r w:rsidRPr="00EB4CFA">
        <w:rPr>
          <w:color w:val="auto"/>
          <w:lang w:val="en-US"/>
        </w:rPr>
        <w:t xml:space="preserve"> </w:t>
      </w:r>
    </w:p>
    <w:p w:rsidR="00C136CC" w:rsidRPr="00EB4CFA" w:rsidRDefault="00C136CC" w:rsidP="00C136CC">
      <w:pPr>
        <w:pStyle w:val="Beschriftung"/>
        <w:jc w:val="both"/>
        <w:rPr>
          <w:b w:val="0"/>
          <w:color w:val="auto"/>
          <w:lang w:val="en-US"/>
        </w:rPr>
      </w:pPr>
      <w:r w:rsidRPr="00EB4CFA">
        <w:rPr>
          <w:b w:val="0"/>
          <w:color w:val="auto"/>
          <w:lang w:val="en-US"/>
        </w:rPr>
        <w:t>Cytochrome P450s CYP79B2 and CYP79B3 catalyse the conversion of tryptophan to indole-3-acetaldoxime (IAOx), the substrate for CYP71A13 to generate indole-3-acetonitrile (IAN), which is converted in further ste</w:t>
      </w:r>
      <w:r w:rsidR="00C3637D" w:rsidRPr="00EB4CFA">
        <w:rPr>
          <w:b w:val="0"/>
          <w:color w:val="auto"/>
          <w:lang w:val="en-US"/>
        </w:rPr>
        <w:t>ps to the phytoalexin camalexin</w:t>
      </w:r>
      <w:r w:rsidRPr="00EB4CFA">
        <w:rPr>
          <w:b w:val="0"/>
          <w:color w:val="auto"/>
          <w:lang w:val="en-US"/>
        </w:rPr>
        <w:t xml:space="preserve"> </w:t>
      </w:r>
      <w:r w:rsidR="00C3637D" w:rsidRPr="00EB4CFA">
        <w:rPr>
          <w:b w:val="0"/>
          <w:color w:val="auto"/>
          <w:lang w:val="en-US"/>
        </w:rPr>
        <w:t>(</w:t>
      </w:r>
      <w:r w:rsidRPr="00EB4CFA">
        <w:rPr>
          <w:b w:val="0"/>
          <w:color w:val="auto"/>
          <w:lang w:val="en-US"/>
        </w:rPr>
        <w:t>Rauhut and Glawischnig, 2009</w:t>
      </w:r>
      <w:r w:rsidR="00C3637D" w:rsidRPr="00EB4CFA">
        <w:rPr>
          <w:b w:val="0"/>
          <w:color w:val="auto"/>
          <w:lang w:val="en-US"/>
        </w:rPr>
        <w:t>)</w:t>
      </w:r>
      <w:r w:rsidRPr="00EB4CFA">
        <w:rPr>
          <w:b w:val="0"/>
          <w:color w:val="auto"/>
          <w:lang w:val="en-US"/>
        </w:rPr>
        <w:t>.</w:t>
      </w:r>
    </w:p>
    <w:p w:rsidR="006B0405" w:rsidRDefault="00C226A2" w:rsidP="006B0405">
      <w:pPr>
        <w:spacing w:line="360" w:lineRule="auto"/>
        <w:jc w:val="both"/>
      </w:pPr>
      <w:r w:rsidRPr="006B0405">
        <w:t xml:space="preserve">As described earlier, conversion of </w:t>
      </w:r>
      <w:r>
        <w:t>SA</w:t>
      </w:r>
      <w:r w:rsidRPr="006B0405">
        <w:t xml:space="preserve"> to its methylester by </w:t>
      </w:r>
      <w:r>
        <w:t>BSMT1</w:t>
      </w:r>
      <w:r w:rsidRPr="006B0405">
        <w:t xml:space="preserve"> exceedingly increases volatility and leads to a rapid evaporation from leaves (Attaran </w:t>
      </w:r>
      <w:r w:rsidRPr="006B0405">
        <w:rPr>
          <w:i/>
        </w:rPr>
        <w:t>et al</w:t>
      </w:r>
      <w:r w:rsidRPr="006B0405">
        <w:t xml:space="preserve">., 2009; Dempsey </w:t>
      </w:r>
      <w:r w:rsidRPr="006B0405">
        <w:rPr>
          <w:i/>
        </w:rPr>
        <w:t>et al</w:t>
      </w:r>
      <w:r w:rsidRPr="006B0405">
        <w:t xml:space="preserve">., 2011). Production of </w:t>
      </w:r>
      <w:r>
        <w:t>MeSA</w:t>
      </w:r>
      <w:r w:rsidRPr="006B0405">
        <w:t xml:space="preserve"> is another possibility for the plant to dispose of excess SA, but this reaction </w:t>
      </w:r>
      <w:r>
        <w:t xml:space="preserve">is also </w:t>
      </w:r>
      <w:r w:rsidRPr="006B0405">
        <w:t xml:space="preserve">used by pathogenic bacteria to suppress SA-mediated defence responses (Attaran </w:t>
      </w:r>
      <w:r w:rsidRPr="006B0405">
        <w:rPr>
          <w:i/>
        </w:rPr>
        <w:t>et al</w:t>
      </w:r>
      <w:r w:rsidRPr="006B0405">
        <w:t>., 2009). It is known from other signalling metabolites that they</w:t>
      </w:r>
      <w:r w:rsidR="00DE7A09">
        <w:t xml:space="preserve"> can</w:t>
      </w:r>
      <w:r w:rsidRPr="006B0405">
        <w:t xml:space="preserve"> achieve bioactivity after receiving some </w:t>
      </w:r>
      <w:r>
        <w:t>kind of modification, one</w:t>
      </w:r>
      <w:r w:rsidRPr="006B0405">
        <w:t xml:space="preserve"> example</w:t>
      </w:r>
      <w:r>
        <w:t xml:space="preserve"> being</w:t>
      </w:r>
      <w:r w:rsidRPr="006B0405">
        <w:t xml:space="preserve"> </w:t>
      </w:r>
      <w:r w:rsidR="001C79B4">
        <w:t>JA</w:t>
      </w:r>
      <w:r>
        <w:t>, which in its bioactive form</w:t>
      </w:r>
      <w:r w:rsidRPr="006B0405">
        <w:t xml:space="preserve"> is conjugated to the amino a</w:t>
      </w:r>
      <w:r>
        <w:t>cid isoleucine</w:t>
      </w:r>
      <w:r w:rsidRPr="006B0405">
        <w:t xml:space="preserve"> </w:t>
      </w:r>
      <w:r>
        <w:t xml:space="preserve">and </w:t>
      </w:r>
      <w:r w:rsidRPr="006B0405">
        <w:t>perceived by the receptor</w:t>
      </w:r>
      <w:r>
        <w:t xml:space="preserve"> </w:t>
      </w:r>
      <w:r w:rsidRPr="006B0405">
        <w:t xml:space="preserve">COI1 (Katsir </w:t>
      </w:r>
      <w:r w:rsidRPr="006B0405">
        <w:rPr>
          <w:i/>
        </w:rPr>
        <w:t>et al</w:t>
      </w:r>
      <w:r w:rsidRPr="006B0405">
        <w:t xml:space="preserve">., 2008; Koo </w:t>
      </w:r>
      <w:r w:rsidRPr="006B0405">
        <w:rPr>
          <w:i/>
        </w:rPr>
        <w:t>et al</w:t>
      </w:r>
      <w:r w:rsidRPr="006B0405">
        <w:t xml:space="preserve">., 2009; Yan </w:t>
      </w:r>
      <w:r w:rsidRPr="006B0405">
        <w:rPr>
          <w:i/>
        </w:rPr>
        <w:t>et al</w:t>
      </w:r>
      <w:r w:rsidRPr="006B0405">
        <w:t>.</w:t>
      </w:r>
      <w:r>
        <w:t xml:space="preserve">, 2009). </w:t>
      </w:r>
      <w:r w:rsidR="001C79B4">
        <w:t>SA</w:t>
      </w:r>
      <w:r>
        <w:t xml:space="preserve"> can hypothetically</w:t>
      </w:r>
      <w:r w:rsidRPr="006B0405">
        <w:t xml:space="preserve"> be conjugated to amino acids by GH3-like phytohormone amino acid synthet</w:t>
      </w:r>
      <w:r w:rsidR="001C79B4">
        <w:t xml:space="preserve">ases, one of these </w:t>
      </w:r>
      <w:r w:rsidR="001C79B4">
        <w:lastRenderedPageBreak/>
        <w:t>conjugates c</w:t>
      </w:r>
      <w:r>
        <w:t>ould be for instance</w:t>
      </w:r>
      <w:r w:rsidR="001C79B4">
        <w:t xml:space="preserve"> the aspartate conjugate</w:t>
      </w:r>
      <w:r w:rsidRPr="006B0405">
        <w:t xml:space="preserve"> SA-Asp (</w:t>
      </w:r>
      <w:r>
        <w:t xml:space="preserve">Staswick </w:t>
      </w:r>
      <w:r w:rsidRPr="008C6D19">
        <w:rPr>
          <w:i/>
        </w:rPr>
        <w:t>et al</w:t>
      </w:r>
      <w:r>
        <w:t xml:space="preserve">., 2002; Zhang </w:t>
      </w:r>
      <w:r w:rsidRPr="008C6D19">
        <w:rPr>
          <w:i/>
        </w:rPr>
        <w:t>et al</w:t>
      </w:r>
      <w:r>
        <w:t xml:space="preserve">., 2007; </w:t>
      </w:r>
      <w:r w:rsidRPr="006B0405">
        <w:t xml:space="preserve">Dempsey </w:t>
      </w:r>
      <w:r w:rsidRPr="006B0405">
        <w:rPr>
          <w:i/>
        </w:rPr>
        <w:t>et al</w:t>
      </w:r>
      <w:r w:rsidRPr="006B0405">
        <w:t xml:space="preserve">., 2011). </w:t>
      </w:r>
      <w:r>
        <w:t xml:space="preserve">Overexpression of the amino acid synthetase GH3.5, showing activity on </w:t>
      </w:r>
      <w:r w:rsidR="001C79B4">
        <w:t>indole acetic acid (</w:t>
      </w:r>
      <w:r>
        <w:t>IAA</w:t>
      </w:r>
      <w:r w:rsidR="001C79B4">
        <w:t>)</w:t>
      </w:r>
      <w:r>
        <w:t xml:space="preserve"> and SA in vitro with a preference for IAA as a substrate, resulted in increased levels of SA-Asp after pathogen infection (Zhang </w:t>
      </w:r>
      <w:r w:rsidRPr="008C6D19">
        <w:rPr>
          <w:i/>
        </w:rPr>
        <w:t>et al</w:t>
      </w:r>
      <w:r>
        <w:t xml:space="preserve">., 2007). But, as in a </w:t>
      </w:r>
      <w:r w:rsidRPr="008C6D19">
        <w:rPr>
          <w:i/>
        </w:rPr>
        <w:t>gh3.5</w:t>
      </w:r>
      <w:r>
        <w:t xml:space="preserve"> null mutant no differences were observed for levels of SA, SAG, or SA-Asp, and increased susceptibility could also be credited to disturbances in auxin </w:t>
      </w:r>
      <w:proofErr w:type="gramStart"/>
      <w:r>
        <w:t>homeostasis,</w:t>
      </w:r>
      <w:proofErr w:type="gramEnd"/>
      <w:r>
        <w:t xml:space="preserve"> activation of </w:t>
      </w:r>
      <w:r w:rsidR="001C79B4">
        <w:t>SA</w:t>
      </w:r>
      <w:r>
        <w:t xml:space="preserve"> by conjugation to amino acids seems a very unlikely hypothesis (Park </w:t>
      </w:r>
      <w:r w:rsidRPr="008C6D19">
        <w:rPr>
          <w:i/>
        </w:rPr>
        <w:t>et al.,</w:t>
      </w:r>
      <w:r>
        <w:t xml:space="preserve"> 2007; Zhang </w:t>
      </w:r>
      <w:r w:rsidRPr="008C6D19">
        <w:rPr>
          <w:i/>
        </w:rPr>
        <w:t>et al</w:t>
      </w:r>
      <w:r>
        <w:t xml:space="preserve">., 2007). </w:t>
      </w:r>
      <w:r w:rsidR="001C79B4">
        <w:t>SA</w:t>
      </w:r>
      <w:r w:rsidR="00E1571D" w:rsidRPr="004E5113">
        <w:t xml:space="preserve">-mediated defence responses are active against biotrophic and hemibiotrophic pathogens and </w:t>
      </w:r>
      <w:r w:rsidR="001C79B4">
        <w:t>JA</w:t>
      </w:r>
      <w:r w:rsidR="00E1571D" w:rsidRPr="004E5113">
        <w:t xml:space="preserve">- and </w:t>
      </w:r>
      <w:r w:rsidR="001C79B4">
        <w:t>ET</w:t>
      </w:r>
      <w:r w:rsidR="00E1571D" w:rsidRPr="004E5113">
        <w:t>-mediated defence response</w:t>
      </w:r>
      <w:r w:rsidR="00E1571D">
        <w:t>s</w:t>
      </w:r>
      <w:r w:rsidR="00E1571D" w:rsidRPr="004E5113">
        <w:t xml:space="preserve"> were found to be most effective against necrotrophic pathogens (Glazebrook, 2005). Research showed a closely regulated crosstalk between SA- and JA/ET-mediated signalling in plant defence with prioritization of SA- over JA-mediated responses and strong NPR1-dependent repression of JA-regulated genes by </w:t>
      </w:r>
      <w:r w:rsidR="001C79B4">
        <w:t>SA</w:t>
      </w:r>
      <w:r w:rsidR="00E1571D" w:rsidRPr="004E5113">
        <w:t xml:space="preserve"> (Gupta </w:t>
      </w:r>
      <w:r w:rsidR="00E1571D" w:rsidRPr="004E5113">
        <w:rPr>
          <w:i/>
        </w:rPr>
        <w:t>et al</w:t>
      </w:r>
      <w:r w:rsidR="00E1571D" w:rsidRPr="004E5113">
        <w:t xml:space="preserve">., 2000; Spoel </w:t>
      </w:r>
      <w:r w:rsidR="00E1571D" w:rsidRPr="004E5113">
        <w:rPr>
          <w:i/>
        </w:rPr>
        <w:t>et al</w:t>
      </w:r>
      <w:r w:rsidR="00E1571D" w:rsidRPr="004E5113">
        <w:t xml:space="preserve">., 2003; Vlot </w:t>
      </w:r>
      <w:r w:rsidR="00E1571D" w:rsidRPr="004E5113">
        <w:rPr>
          <w:i/>
        </w:rPr>
        <w:t>et al</w:t>
      </w:r>
      <w:r w:rsidR="00E1571D" w:rsidRPr="004E5113">
        <w:t xml:space="preserve">., 2009). In </w:t>
      </w:r>
      <w:r w:rsidR="00E1571D" w:rsidRPr="004E5113">
        <w:rPr>
          <w:i/>
        </w:rPr>
        <w:t>Arabidopsis</w:t>
      </w:r>
      <w:r w:rsidR="00E1571D" w:rsidRPr="004E5113">
        <w:t xml:space="preserve"> mutants with reduced </w:t>
      </w:r>
      <w:r w:rsidR="000B4D4B">
        <w:t>SA-levels</w:t>
      </w:r>
      <w:r w:rsidR="00E1571D" w:rsidRPr="004E5113">
        <w:t xml:space="preserve">, responses to </w:t>
      </w:r>
      <w:r w:rsidR="001C79B4">
        <w:t>JA</w:t>
      </w:r>
      <w:r w:rsidR="00E1571D" w:rsidRPr="004E5113">
        <w:t xml:space="preserve"> were much </w:t>
      </w:r>
      <w:r w:rsidR="00E1571D">
        <w:t>stronger than in WT plants upon</w:t>
      </w:r>
      <w:r w:rsidR="00E1571D" w:rsidRPr="004E5113">
        <w:t xml:space="preserve"> infection</w:t>
      </w:r>
      <w:r w:rsidR="00E1571D">
        <w:t xml:space="preserve"> with the bacterial pathogen </w:t>
      </w:r>
      <w:r w:rsidR="00E1571D" w:rsidRPr="004212CB">
        <w:rPr>
          <w:i/>
        </w:rPr>
        <w:t>P.</w:t>
      </w:r>
      <w:r w:rsidR="001C79B4">
        <w:rPr>
          <w:i/>
        </w:rPr>
        <w:t xml:space="preserve"> </w:t>
      </w:r>
      <w:r w:rsidR="00E1571D" w:rsidRPr="004212CB">
        <w:rPr>
          <w:i/>
        </w:rPr>
        <w:t>syringae</w:t>
      </w:r>
      <w:r w:rsidR="00E1571D" w:rsidRPr="004E5113">
        <w:t xml:space="preserve"> (Gupta </w:t>
      </w:r>
      <w:r w:rsidR="00E1571D" w:rsidRPr="004E5113">
        <w:rPr>
          <w:i/>
        </w:rPr>
        <w:t>et al</w:t>
      </w:r>
      <w:r w:rsidR="00E1571D" w:rsidRPr="004E5113">
        <w:t xml:space="preserve">., 2000; Spoel </w:t>
      </w:r>
      <w:r w:rsidR="00E1571D" w:rsidRPr="004E5113">
        <w:rPr>
          <w:i/>
        </w:rPr>
        <w:t>et al</w:t>
      </w:r>
      <w:r w:rsidR="00E1571D" w:rsidRPr="004E5113">
        <w:t xml:space="preserve">., 2003). This negative crosstalk between SA and JA is often exploited by pathogens to facilitate infection, for instance the effector coronatine from </w:t>
      </w:r>
      <w:r w:rsidR="001C79B4">
        <w:rPr>
          <w:i/>
        </w:rPr>
        <w:t>Psm</w:t>
      </w:r>
      <w:r w:rsidR="00E1571D" w:rsidRPr="004E5113">
        <w:t xml:space="preserve"> has a structure very similar to Ja-Ile, the bioactive form of </w:t>
      </w:r>
      <w:r w:rsidR="001C79B4">
        <w:t>JA</w:t>
      </w:r>
      <w:r w:rsidR="00E1571D" w:rsidRPr="004E5113">
        <w:t xml:space="preserve"> (Figure 10). </w:t>
      </w:r>
      <w:r w:rsidR="00E1571D">
        <w:t xml:space="preserve">The necrotrophic fungus </w:t>
      </w:r>
      <w:r w:rsidR="00E1571D" w:rsidRPr="004E5113">
        <w:rPr>
          <w:i/>
        </w:rPr>
        <w:t>Botrytis cinerea</w:t>
      </w:r>
      <w:r w:rsidR="00E1571D">
        <w:t xml:space="preserve">, on the other hand, facilitates infection by manipulating the plant to increase SA-levels, which represses JA-mediated signalling </w:t>
      </w:r>
      <w:r w:rsidR="00DE7A09">
        <w:t xml:space="preserve">that would be effective against this fungus </w:t>
      </w:r>
      <w:r w:rsidR="00E1571D">
        <w:t xml:space="preserve">(La Camera </w:t>
      </w:r>
      <w:r w:rsidR="00E1571D" w:rsidRPr="004E5113">
        <w:rPr>
          <w:i/>
        </w:rPr>
        <w:t>et al</w:t>
      </w:r>
      <w:r w:rsidR="00E1571D">
        <w:t>., 2011).</w:t>
      </w:r>
      <w:r w:rsidR="00E1571D" w:rsidRPr="008523FC">
        <w:t xml:space="preserve"> </w:t>
      </w:r>
      <w:r w:rsidR="00E1571D" w:rsidRPr="00465AEC">
        <w:t>Upon infection</w:t>
      </w:r>
      <w:r w:rsidR="00E1571D">
        <w:t xml:space="preserve"> with different pathogens</w:t>
      </w:r>
      <w:r w:rsidR="00E1571D" w:rsidRPr="00465AEC">
        <w:t xml:space="preserve">, </w:t>
      </w:r>
      <w:r w:rsidR="00E1571D" w:rsidRPr="00DD2024">
        <w:rPr>
          <w:i/>
        </w:rPr>
        <w:t>A</w:t>
      </w:r>
      <w:r w:rsidR="00DE7A09">
        <w:rPr>
          <w:i/>
        </w:rPr>
        <w:t>.</w:t>
      </w:r>
      <w:r w:rsidR="00E1571D">
        <w:rPr>
          <w:i/>
        </w:rPr>
        <w:t xml:space="preserve"> thaliana</w:t>
      </w:r>
      <w:r w:rsidR="00E1571D" w:rsidRPr="00465AEC">
        <w:t xml:space="preserve"> plants also accumulate camalexin, a phytoalexin derived from tryptophan</w:t>
      </w:r>
      <w:r w:rsidR="00E1571D">
        <w:t xml:space="preserve">, </w:t>
      </w:r>
      <w:r w:rsidR="00E1571D" w:rsidRPr="00DD2024">
        <w:t>in the vicinity of the infection site</w:t>
      </w:r>
      <w:r w:rsidR="00E1571D" w:rsidRPr="00465AEC">
        <w:t xml:space="preserve"> (Glawisch</w:t>
      </w:r>
      <w:r w:rsidR="00E1571D">
        <w:t>nig, 2007;</w:t>
      </w:r>
      <w:r w:rsidR="00E1571D" w:rsidRPr="009C429F">
        <w:t xml:space="preserve"> </w:t>
      </w:r>
      <w:r w:rsidR="00E1571D" w:rsidRPr="00465AEC">
        <w:t>Figure 11</w:t>
      </w:r>
      <w:r w:rsidR="00E1571D">
        <w:t>). This phytoalexin</w:t>
      </w:r>
      <w:r w:rsidR="00E1571D" w:rsidRPr="00465AEC">
        <w:t xml:space="preserve"> also accumulate</w:t>
      </w:r>
      <w:r w:rsidR="00E1571D">
        <w:t>d</w:t>
      </w:r>
      <w:r w:rsidR="00E1571D" w:rsidRPr="00465AEC">
        <w:t xml:space="preserve"> after treatment with several abiotic stresses that induce formation of ROS, for example application of heavy metal ions, UV-B irradiation, and the toxin fusaric acid (Glawischnig, 2007). Camalexin was shown to disrupt bacterial membranes </w:t>
      </w:r>
      <w:r w:rsidR="00E1571D" w:rsidRPr="009C429F">
        <w:rPr>
          <w:i/>
        </w:rPr>
        <w:t>in vitro</w:t>
      </w:r>
      <w:r w:rsidR="00E1571D" w:rsidRPr="00465AEC">
        <w:t xml:space="preserve">, although the high concentrations needed for an antibacterial effect would have a strong toxic effect in plant cells. </w:t>
      </w:r>
      <w:r w:rsidR="00E1571D" w:rsidRPr="006B0405">
        <w:t>For phytopathogenic fungi, on the other hand, a tenfold low</w:t>
      </w:r>
      <w:r w:rsidR="00DE7A09">
        <w:t>er concentration of camalexin was shown to be</w:t>
      </w:r>
      <w:r w:rsidR="00E1571D" w:rsidRPr="006B0405">
        <w:t xml:space="preserve"> sufficient for an antimicrobial effect (Glawischnig, 2007). </w:t>
      </w:r>
      <w:r w:rsidR="006B0405" w:rsidRPr="006B0405">
        <w:t>The importance of camalexin in plant defence against necrotrophic fun</w:t>
      </w:r>
      <w:r w:rsidR="001C79B4">
        <w:t xml:space="preserve">gi is </w:t>
      </w:r>
      <w:r w:rsidR="00DE7A09">
        <w:t xml:space="preserve">further </w:t>
      </w:r>
      <w:r w:rsidR="001C79B4">
        <w:t>emphasized by phytoalexin-</w:t>
      </w:r>
      <w:r w:rsidR="006B0405" w:rsidRPr="006B0405">
        <w:t xml:space="preserve">deficient mutants, notably </w:t>
      </w:r>
      <w:r w:rsidR="006B0405" w:rsidRPr="006B0405">
        <w:rPr>
          <w:i/>
        </w:rPr>
        <w:t xml:space="preserve">pad2 </w:t>
      </w:r>
      <w:r w:rsidR="006B0405" w:rsidRPr="006B0405">
        <w:t xml:space="preserve">and </w:t>
      </w:r>
      <w:r w:rsidR="006B0405" w:rsidRPr="006B0405">
        <w:rPr>
          <w:i/>
        </w:rPr>
        <w:t>pad3</w:t>
      </w:r>
      <w:r w:rsidR="00F865A3">
        <w:t>, which</w:t>
      </w:r>
      <w:r w:rsidR="006B0405" w:rsidRPr="006B0405">
        <w:t xml:space="preserve"> are only slightly impaired in resistance against the hemibiotroph </w:t>
      </w:r>
      <w:r w:rsidR="006B0405" w:rsidRPr="006B0405">
        <w:rPr>
          <w:i/>
        </w:rPr>
        <w:t>Psm</w:t>
      </w:r>
      <w:r w:rsidR="006B0405" w:rsidRPr="006B0405">
        <w:t>, but exhibit enhanced susceptibility</w:t>
      </w:r>
      <w:r w:rsidR="001C79B4">
        <w:t xml:space="preserve"> towards the necrotrophic fungi </w:t>
      </w:r>
      <w:r w:rsidR="001C79B4" w:rsidRPr="001C79B4">
        <w:rPr>
          <w:i/>
        </w:rPr>
        <w:t>B. cinerea</w:t>
      </w:r>
      <w:r w:rsidR="001C79B4">
        <w:t xml:space="preserve"> and</w:t>
      </w:r>
      <w:r w:rsidR="006B0405" w:rsidRPr="006B0405">
        <w:t xml:space="preserve"> </w:t>
      </w:r>
      <w:r w:rsidR="006B0405" w:rsidRPr="006B0405">
        <w:rPr>
          <w:i/>
        </w:rPr>
        <w:t>A.</w:t>
      </w:r>
      <w:r w:rsidR="001C79B4">
        <w:rPr>
          <w:i/>
        </w:rPr>
        <w:t xml:space="preserve"> </w:t>
      </w:r>
      <w:r w:rsidR="006B0405" w:rsidRPr="006B0405">
        <w:rPr>
          <w:i/>
        </w:rPr>
        <w:t>brassici</w:t>
      </w:r>
      <w:r w:rsidR="00F865A3">
        <w:rPr>
          <w:i/>
        </w:rPr>
        <w:t>c</w:t>
      </w:r>
      <w:r w:rsidR="006B0405" w:rsidRPr="006B0405">
        <w:rPr>
          <w:i/>
        </w:rPr>
        <w:t>ola</w:t>
      </w:r>
      <w:r w:rsidR="006B0405" w:rsidRPr="006B0405">
        <w:t xml:space="preserve"> (Glazebrook and Ausubel, 1994; Zhou </w:t>
      </w:r>
      <w:r w:rsidR="006B0405" w:rsidRPr="006B0405">
        <w:rPr>
          <w:i/>
        </w:rPr>
        <w:t>et al</w:t>
      </w:r>
      <w:r w:rsidR="006B0405" w:rsidRPr="006B0405">
        <w:t xml:space="preserve">., 1999; Glawischnig, 2007). </w:t>
      </w:r>
    </w:p>
    <w:p w:rsidR="00B517AA" w:rsidRDefault="00B517AA" w:rsidP="00AA1C1F">
      <w:pPr>
        <w:pStyle w:val="berschrift2"/>
        <w:spacing w:after="240"/>
        <w:rPr>
          <w:color w:val="auto"/>
        </w:rPr>
        <w:sectPr w:rsidR="00B517AA" w:rsidSect="009608E1">
          <w:headerReference w:type="default" r:id="rId25"/>
          <w:type w:val="continuous"/>
          <w:pgSz w:w="11906" w:h="16838"/>
          <w:pgMar w:top="1417" w:right="1417" w:bottom="1134" w:left="1417" w:header="708" w:footer="708" w:gutter="0"/>
          <w:cols w:space="708"/>
          <w:titlePg/>
          <w:docGrid w:linePitch="360"/>
        </w:sectPr>
      </w:pPr>
    </w:p>
    <w:p w:rsidR="00CF017C" w:rsidRDefault="00563EC1" w:rsidP="00AA1C1F">
      <w:pPr>
        <w:pStyle w:val="berschrift2"/>
        <w:spacing w:after="240"/>
        <w:rPr>
          <w:color w:val="auto"/>
        </w:rPr>
      </w:pPr>
      <w:bookmarkStart w:id="23" w:name="_Toc435621206"/>
      <w:r w:rsidRPr="009A016B">
        <w:rPr>
          <w:color w:val="auto"/>
        </w:rPr>
        <w:lastRenderedPageBreak/>
        <w:t xml:space="preserve">3.4 </w:t>
      </w:r>
      <w:r w:rsidR="0043331F" w:rsidRPr="009A016B">
        <w:rPr>
          <w:color w:val="auto"/>
        </w:rPr>
        <w:t>Mitogen-</w:t>
      </w:r>
      <w:r w:rsidR="00CF017C" w:rsidRPr="009A016B">
        <w:rPr>
          <w:color w:val="auto"/>
        </w:rPr>
        <w:t>activated protein kinase signalling in plants</w:t>
      </w:r>
      <w:bookmarkEnd w:id="23"/>
    </w:p>
    <w:p w:rsidR="00830D2B" w:rsidRPr="00830D2B" w:rsidRDefault="0051098E" w:rsidP="00830D2B">
      <w:pPr>
        <w:spacing w:after="0" w:line="360" w:lineRule="auto"/>
        <w:jc w:val="both"/>
      </w:pPr>
      <w:r>
        <w:rPr>
          <w:bCs/>
        </w:rPr>
        <w:t>MAP kinase</w:t>
      </w:r>
      <w:r w:rsidR="0043331F">
        <w:rPr>
          <w:bCs/>
        </w:rPr>
        <w:t xml:space="preserve"> signalling cascades ar</w:t>
      </w:r>
      <w:r w:rsidR="009A016B">
        <w:rPr>
          <w:bCs/>
        </w:rPr>
        <w:t>e found ubiquitiously in eukary</w:t>
      </w:r>
      <w:r w:rsidR="0043331F">
        <w:rPr>
          <w:bCs/>
        </w:rPr>
        <w:t>o</w:t>
      </w:r>
      <w:r w:rsidR="009A016B">
        <w:rPr>
          <w:bCs/>
        </w:rPr>
        <w:t>t</w:t>
      </w:r>
      <w:r w:rsidR="0043331F">
        <w:rPr>
          <w:bCs/>
        </w:rPr>
        <w:t>es and are necessary to translate extracellular stimuli into intracellular responses</w:t>
      </w:r>
      <w:r w:rsidR="00AA1C1F" w:rsidRPr="006B0405">
        <w:rPr>
          <w:bCs/>
        </w:rPr>
        <w:t xml:space="preserve"> (Figure 15).</w:t>
      </w:r>
      <w:r w:rsidR="0043331F">
        <w:rPr>
          <w:bCs/>
        </w:rPr>
        <w:t xml:space="preserve"> </w:t>
      </w:r>
      <w:r w:rsidR="006A19F3">
        <w:rPr>
          <w:bCs/>
        </w:rPr>
        <w:t xml:space="preserve">Signal perception by a membrane-localised receptor leads to activation of MAPKK kinases (MAPKKK or MEKK) that phosphorylate MAPK kinases (MAPKK or MEK) on two Ser/Thr residues in a </w:t>
      </w:r>
      <w:r w:rsidR="006A19F3" w:rsidRPr="006A19F3">
        <w:t>Ser/Thr-X</w:t>
      </w:r>
      <w:r w:rsidR="006A19F3" w:rsidRPr="00830D2B">
        <w:rPr>
          <w:vertAlign w:val="subscript"/>
        </w:rPr>
        <w:t>3−5</w:t>
      </w:r>
      <w:r w:rsidR="006A19F3" w:rsidRPr="006A19F3">
        <w:t>-Ser/Thr</w:t>
      </w:r>
      <w:r w:rsidR="006A19F3">
        <w:rPr>
          <w:bCs/>
        </w:rPr>
        <w:t xml:space="preserve"> motif of the MAPKK activation loop. In turn, activation of MAPKK leads to phosphorylation of a Thr and a Tyr residue in the Thr-X-Tyr activation motif of MAP kinases downstream in the signalling cascade. </w:t>
      </w:r>
      <w:r w:rsidR="006A19F3" w:rsidRPr="006A19F3">
        <w:t>The activated MAP kinase</w:t>
      </w:r>
      <w:r w:rsidR="006A19F3">
        <w:t xml:space="preserve"> is able to phosphorylate transcription factors that</w:t>
      </w:r>
      <w:r w:rsidR="00E231EB">
        <w:t xml:space="preserve"> in turn</w:t>
      </w:r>
      <w:r w:rsidR="006A19F3">
        <w:t xml:space="preserve"> activate gene expression (Widmann </w:t>
      </w:r>
      <w:r w:rsidR="006A19F3" w:rsidRPr="008C3282">
        <w:rPr>
          <w:i/>
        </w:rPr>
        <w:t>et al</w:t>
      </w:r>
      <w:r w:rsidR="006A19F3">
        <w:t>., 1999</w:t>
      </w:r>
      <w:r w:rsidR="00830D2B">
        <w:t>; Meng and Zhang, 2013</w:t>
      </w:r>
      <w:r>
        <w:t>; Figure 12</w:t>
      </w:r>
      <w:r w:rsidR="006A19F3">
        <w:t>).</w:t>
      </w:r>
      <w:r w:rsidR="009A016B">
        <w:t xml:space="preserve"> </w:t>
      </w:r>
    </w:p>
    <w:p w:rsidR="00AA1C1F" w:rsidRPr="006B0405" w:rsidRDefault="00AA1C1F" w:rsidP="00C96AC6">
      <w:pPr>
        <w:spacing w:after="0" w:line="360" w:lineRule="auto"/>
        <w:jc w:val="both"/>
        <w:rPr>
          <w:bCs/>
        </w:rPr>
      </w:pPr>
    </w:p>
    <w:p w:rsidR="00AA1C1F" w:rsidRDefault="00AA1C1F" w:rsidP="00FC7225">
      <w:pPr>
        <w:keepNext/>
        <w:spacing w:after="0" w:line="360" w:lineRule="auto"/>
        <w:jc w:val="both"/>
      </w:pPr>
      <w:r w:rsidRPr="006B0405">
        <w:rPr>
          <w:noProof/>
          <w:lang w:val="de-DE" w:eastAsia="de-DE"/>
        </w:rPr>
        <w:drawing>
          <wp:anchor distT="0" distB="0" distL="114300" distR="114300" simplePos="0" relativeHeight="251671552" behindDoc="0" locked="0" layoutInCell="1" allowOverlap="1" wp14:anchorId="65D60E89" wp14:editId="5FF8785B">
            <wp:simplePos x="895350" y="2828925"/>
            <wp:positionH relativeFrom="page">
              <wp:align>center</wp:align>
            </wp:positionH>
            <wp:positionV relativeFrom="paragraph">
              <wp:posOffset>3810</wp:posOffset>
            </wp:positionV>
            <wp:extent cx="4320000" cy="3770024"/>
            <wp:effectExtent l="19050" t="19050" r="23495" b="20955"/>
            <wp:wrapTopAndBottom/>
            <wp:docPr id="42" name="Grafik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P kinase signalling in resistance_Meng2013.png"/>
                    <pic:cNvPicPr/>
                  </pic:nvPicPr>
                  <pic:blipFill>
                    <a:blip r:embed="rId26">
                      <a:extLst>
                        <a:ext uri="{28A0092B-C50C-407E-A947-70E740481C1C}">
                          <a14:useLocalDpi xmlns:a14="http://schemas.microsoft.com/office/drawing/2010/main" val="0"/>
                        </a:ext>
                      </a:extLst>
                    </a:blip>
                    <a:stretch>
                      <a:fillRect/>
                    </a:stretch>
                  </pic:blipFill>
                  <pic:spPr>
                    <a:xfrm>
                      <a:off x="0" y="0"/>
                      <a:ext cx="4320000" cy="3770024"/>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p>
    <w:p w:rsidR="00D94965" w:rsidRPr="00EB4CFA" w:rsidRDefault="00AA1C1F" w:rsidP="00900516">
      <w:pPr>
        <w:pStyle w:val="Beschriftung"/>
        <w:spacing w:after="0" w:line="360" w:lineRule="auto"/>
        <w:jc w:val="both"/>
        <w:rPr>
          <w:color w:val="auto"/>
          <w:lang w:val="en-US"/>
        </w:rPr>
      </w:pPr>
      <w:bookmarkStart w:id="24" w:name="_Toc435621130"/>
      <w:proofErr w:type="gramStart"/>
      <w:r w:rsidRPr="00EB4CFA">
        <w:rPr>
          <w:color w:val="auto"/>
        </w:rPr>
        <w:t xml:space="preserve">Figure </w:t>
      </w:r>
      <w:r w:rsidRPr="00EB4CFA">
        <w:rPr>
          <w:color w:val="auto"/>
        </w:rPr>
        <w:fldChar w:fldCharType="begin"/>
      </w:r>
      <w:r w:rsidRPr="00EB4CFA">
        <w:rPr>
          <w:color w:val="auto"/>
        </w:rPr>
        <w:instrText xml:space="preserve"> SEQ Figure \* ARABIC </w:instrText>
      </w:r>
      <w:r w:rsidRPr="00EB4CFA">
        <w:rPr>
          <w:color w:val="auto"/>
        </w:rPr>
        <w:fldChar w:fldCharType="separate"/>
      </w:r>
      <w:r w:rsidR="00CB17FE">
        <w:rPr>
          <w:noProof/>
          <w:color w:val="auto"/>
        </w:rPr>
        <w:t>12</w:t>
      </w:r>
      <w:r w:rsidRPr="00EB4CFA">
        <w:rPr>
          <w:color w:val="auto"/>
        </w:rPr>
        <w:fldChar w:fldCharType="end"/>
      </w:r>
      <w:r w:rsidR="0089676C">
        <w:rPr>
          <w:color w:val="auto"/>
        </w:rPr>
        <w:t>.</w:t>
      </w:r>
      <w:proofErr w:type="gramEnd"/>
      <w:r w:rsidRPr="00EB4CFA">
        <w:rPr>
          <w:color w:val="auto"/>
        </w:rPr>
        <w:t xml:space="preserve"> </w:t>
      </w:r>
      <w:r w:rsidRPr="00EB4CFA">
        <w:rPr>
          <w:color w:val="auto"/>
          <w:lang w:val="en-US"/>
        </w:rPr>
        <w:t xml:space="preserve">MAP kinase signalling in </w:t>
      </w:r>
      <w:r w:rsidRPr="00EB4CFA">
        <w:rPr>
          <w:i/>
          <w:color w:val="auto"/>
          <w:lang w:val="en-US"/>
        </w:rPr>
        <w:t>Arabidopsis</w:t>
      </w:r>
      <w:r w:rsidRPr="00EB4CFA">
        <w:rPr>
          <w:color w:val="auto"/>
          <w:lang w:val="en-US"/>
        </w:rPr>
        <w:t xml:space="preserve"> innate immunity.</w:t>
      </w:r>
      <w:bookmarkEnd w:id="24"/>
      <w:r w:rsidRPr="00EB4CFA">
        <w:rPr>
          <w:color w:val="auto"/>
          <w:lang w:val="en-US"/>
        </w:rPr>
        <w:t xml:space="preserve"> </w:t>
      </w:r>
    </w:p>
    <w:p w:rsidR="00AA1C1F" w:rsidRPr="00EB4CFA" w:rsidRDefault="00AA1C1F" w:rsidP="00AA1C1F">
      <w:pPr>
        <w:pStyle w:val="Beschriftung"/>
        <w:jc w:val="both"/>
        <w:rPr>
          <w:b w:val="0"/>
          <w:color w:val="auto"/>
          <w:lang w:val="en-US"/>
        </w:rPr>
      </w:pPr>
      <w:r w:rsidRPr="00EB4CFA">
        <w:rPr>
          <w:b w:val="0"/>
          <w:color w:val="auto"/>
          <w:lang w:val="en-US"/>
        </w:rPr>
        <w:t>Perception of an elicitor by a LRR receptor (e</w:t>
      </w:r>
      <w:r w:rsidR="0051098E">
        <w:rPr>
          <w:b w:val="0"/>
          <w:color w:val="auto"/>
          <w:lang w:val="en-US"/>
        </w:rPr>
        <w:t>.g. FLS2) activates a MAPK</w:t>
      </w:r>
      <w:r w:rsidRPr="00EB4CFA">
        <w:rPr>
          <w:b w:val="0"/>
          <w:color w:val="auto"/>
          <w:lang w:val="en-US"/>
        </w:rPr>
        <w:t xml:space="preserve"> signalling cascade, which results in activation of transcription factors to induce expression of defence-related genes. Activation of the </w:t>
      </w:r>
      <w:r w:rsidR="0051098E">
        <w:rPr>
          <w:b w:val="0"/>
          <w:color w:val="auto"/>
          <w:lang w:val="en-US"/>
        </w:rPr>
        <w:t>MAPK</w:t>
      </w:r>
      <w:r w:rsidRPr="00EB4CFA">
        <w:rPr>
          <w:b w:val="0"/>
          <w:color w:val="auto"/>
          <w:lang w:val="en-US"/>
        </w:rPr>
        <w:t xml:space="preserve"> signalling network is one of the earliest events after pathogen perception and can modulate homeostasis of hormone and metabolism networks. NB-LRRs, nucleotide-binding site–leucine-rich repeat proteins; NO, nitric oxide; OGs, oligogalacturonic acids; PGNs, peptidoglycans; ROS, reactive oxygen species; SA, salicylic acid; TTSS, type three secretion system</w:t>
      </w:r>
      <w:r w:rsidR="00C3637D" w:rsidRPr="00EB4CFA">
        <w:rPr>
          <w:b w:val="0"/>
          <w:color w:val="auto"/>
          <w:lang w:val="en-US"/>
        </w:rPr>
        <w:t>; WAKs, wall-associated kinases</w:t>
      </w:r>
      <w:r w:rsidRPr="00EB4CFA">
        <w:rPr>
          <w:b w:val="0"/>
          <w:color w:val="auto"/>
          <w:lang w:val="en-US"/>
        </w:rPr>
        <w:t xml:space="preserve"> </w:t>
      </w:r>
      <w:r w:rsidR="00C3637D" w:rsidRPr="00EB4CFA">
        <w:rPr>
          <w:b w:val="0"/>
          <w:color w:val="auto"/>
          <w:lang w:val="en-US"/>
        </w:rPr>
        <w:t>(</w:t>
      </w:r>
      <w:r w:rsidRPr="00EB4CFA">
        <w:rPr>
          <w:b w:val="0"/>
          <w:color w:val="auto"/>
          <w:lang w:val="en-US"/>
        </w:rPr>
        <w:t>Meng and Zhang, 2013</w:t>
      </w:r>
      <w:r w:rsidR="00C3637D" w:rsidRPr="00EB4CFA">
        <w:rPr>
          <w:b w:val="0"/>
          <w:color w:val="auto"/>
          <w:lang w:val="en-US"/>
        </w:rPr>
        <w:t>)</w:t>
      </w:r>
      <w:r w:rsidRPr="00EB4CFA">
        <w:rPr>
          <w:b w:val="0"/>
          <w:color w:val="auto"/>
          <w:lang w:val="en-US"/>
        </w:rPr>
        <w:t>.</w:t>
      </w:r>
    </w:p>
    <w:p w:rsidR="007D3368" w:rsidRPr="00900516" w:rsidRDefault="00900516" w:rsidP="007D3368">
      <w:pPr>
        <w:spacing w:after="0" w:line="360" w:lineRule="auto"/>
        <w:jc w:val="both"/>
      </w:pPr>
      <w:r>
        <w:t xml:space="preserve">In plants, MAPK signalling cascades play important roles in the regulation of development and responses to different stresses like pathogen infection, wounding, temperature, drought, osmolarity, UV-irradiation, and ROS (Ichimura </w:t>
      </w:r>
      <w:r w:rsidRPr="008C3282">
        <w:rPr>
          <w:i/>
        </w:rPr>
        <w:t>et al</w:t>
      </w:r>
      <w:r>
        <w:t xml:space="preserve">., 2002; Pedley and Martin, 2005; </w:t>
      </w:r>
      <w:r w:rsidRPr="00AB18A6">
        <w:t>Zhang, 2008</w:t>
      </w:r>
      <w:r>
        <w:t xml:space="preserve">; Pitzschke </w:t>
      </w:r>
      <w:r w:rsidRPr="008C3282">
        <w:rPr>
          <w:i/>
        </w:rPr>
        <w:t>et al</w:t>
      </w:r>
      <w:r>
        <w:t xml:space="preserve">., 2009; Rodriguez </w:t>
      </w:r>
      <w:r w:rsidRPr="008C3282">
        <w:rPr>
          <w:i/>
        </w:rPr>
        <w:t>et al</w:t>
      </w:r>
      <w:r>
        <w:t xml:space="preserve">., 2010; Tena </w:t>
      </w:r>
      <w:r w:rsidRPr="008C3282">
        <w:rPr>
          <w:i/>
        </w:rPr>
        <w:t>et al</w:t>
      </w:r>
      <w:r>
        <w:t xml:space="preserve">., 2011; Meng and Zhang, </w:t>
      </w:r>
      <w:r>
        <w:lastRenderedPageBreak/>
        <w:t xml:space="preserve">2013). In the </w:t>
      </w:r>
      <w:r w:rsidRPr="00C96AC6">
        <w:rPr>
          <w:i/>
        </w:rPr>
        <w:t>Arabidopsis</w:t>
      </w:r>
      <w:r>
        <w:t xml:space="preserve"> genome, sequences for 20 MAPKs, 10 MAPKKs, and close to 60 MAPKKKs were found, suggesting a high grade of functional redundancy in MAPK signalling (</w:t>
      </w:r>
      <w:r w:rsidRPr="00AB18A6">
        <w:t xml:space="preserve">Ichimura </w:t>
      </w:r>
      <w:r w:rsidRPr="00AB18A6">
        <w:rPr>
          <w:i/>
        </w:rPr>
        <w:t>et al</w:t>
      </w:r>
      <w:r w:rsidRPr="00AB18A6">
        <w:t>., 2002</w:t>
      </w:r>
      <w:r>
        <w:t xml:space="preserve">; Hamel </w:t>
      </w:r>
      <w:r w:rsidRPr="00C96AC6">
        <w:rPr>
          <w:i/>
        </w:rPr>
        <w:t>et al</w:t>
      </w:r>
      <w:r>
        <w:t xml:space="preserve">., 2006). </w:t>
      </w:r>
      <w:r w:rsidR="00F90A1E">
        <w:rPr>
          <w:bCs/>
        </w:rPr>
        <w:t>One exa</w:t>
      </w:r>
      <w:r w:rsidR="0051098E">
        <w:rPr>
          <w:bCs/>
        </w:rPr>
        <w:t xml:space="preserve">mple for a MAPK </w:t>
      </w:r>
      <w:r w:rsidR="00F90A1E">
        <w:rPr>
          <w:bCs/>
        </w:rPr>
        <w:t xml:space="preserve">cascade </w:t>
      </w:r>
      <w:r>
        <w:rPr>
          <w:bCs/>
        </w:rPr>
        <w:t xml:space="preserve">reportedly </w:t>
      </w:r>
      <w:r w:rsidR="00F90A1E">
        <w:rPr>
          <w:bCs/>
        </w:rPr>
        <w:t>involved</w:t>
      </w:r>
      <w:r w:rsidR="001B6360">
        <w:rPr>
          <w:bCs/>
        </w:rPr>
        <w:t xml:space="preserve"> in defence signalling</w:t>
      </w:r>
      <w:r w:rsidR="00F90A1E">
        <w:rPr>
          <w:bCs/>
        </w:rPr>
        <w:t xml:space="preserve"> is the p</w:t>
      </w:r>
      <w:r w:rsidR="007D3368">
        <w:rPr>
          <w:bCs/>
        </w:rPr>
        <w:t>erception of the MAMP flg22 by its PRR receptor FLS2</w:t>
      </w:r>
      <w:r w:rsidR="00F90A1E">
        <w:rPr>
          <w:bCs/>
        </w:rPr>
        <w:t>, which</w:t>
      </w:r>
      <w:r w:rsidR="007D3368" w:rsidRPr="006B0405">
        <w:rPr>
          <w:bCs/>
        </w:rPr>
        <w:t xml:space="preserve"> induces heterodimer formation with BIK1 and activation of a phosphorylation-activation cascade comprising </w:t>
      </w:r>
      <w:r w:rsidR="007D3368">
        <w:rPr>
          <w:bCs/>
        </w:rPr>
        <w:t>MEKK1, MKK4 and MKK5</w:t>
      </w:r>
      <w:r w:rsidR="0051098E">
        <w:rPr>
          <w:bCs/>
        </w:rPr>
        <w:t>, as well as MPK</w:t>
      </w:r>
      <w:r w:rsidR="007D3368" w:rsidRPr="006B0405">
        <w:rPr>
          <w:bCs/>
        </w:rPr>
        <w:t xml:space="preserve">3 and </w:t>
      </w:r>
      <w:r w:rsidR="0051098E">
        <w:rPr>
          <w:bCs/>
        </w:rPr>
        <w:t>MPK</w:t>
      </w:r>
      <w:r w:rsidR="007D3368" w:rsidRPr="006B0405">
        <w:rPr>
          <w:bCs/>
        </w:rPr>
        <w:t>6 (</w:t>
      </w:r>
      <w:r w:rsidR="007D3368">
        <w:rPr>
          <w:bCs/>
        </w:rPr>
        <w:t xml:space="preserve">Asai </w:t>
      </w:r>
      <w:r w:rsidR="007D3368" w:rsidRPr="000215E2">
        <w:rPr>
          <w:bCs/>
          <w:i/>
        </w:rPr>
        <w:t>et al</w:t>
      </w:r>
      <w:r w:rsidR="007D3368">
        <w:rPr>
          <w:bCs/>
        </w:rPr>
        <w:t xml:space="preserve">., 2002; </w:t>
      </w:r>
      <w:r w:rsidR="007D3368" w:rsidRPr="006B0405">
        <w:rPr>
          <w:bCs/>
        </w:rPr>
        <w:t>Meng and Zhang, 2013). This phosphorylation cascade provides a robust means to amplify the perceived signal and enables gene expression via activation of</w:t>
      </w:r>
      <w:r w:rsidR="007D3368">
        <w:rPr>
          <w:bCs/>
        </w:rPr>
        <w:t xml:space="preserve"> transcription factors (Conrath</w:t>
      </w:r>
      <w:r w:rsidR="007D3368" w:rsidRPr="006B0405">
        <w:rPr>
          <w:bCs/>
        </w:rPr>
        <w:t>, 2011; Meng and Zhang, 2013). Several effectors introduced into plant cells by pathogenic bacteria or fung</w:t>
      </w:r>
      <w:r w:rsidR="0051098E">
        <w:rPr>
          <w:bCs/>
        </w:rPr>
        <w:t>i directly target the MAPK</w:t>
      </w:r>
      <w:r w:rsidR="007D3368" w:rsidRPr="006B0405">
        <w:rPr>
          <w:bCs/>
        </w:rPr>
        <w:t xml:space="preserve"> network in plants to prevent this signal amplification mechanism (Meng and Zhang, 2013).</w:t>
      </w:r>
      <w:r w:rsidR="003F4016">
        <w:rPr>
          <w:bCs/>
        </w:rPr>
        <w:t xml:space="preserve"> T</w:t>
      </w:r>
      <w:r w:rsidR="00632519">
        <w:rPr>
          <w:bCs/>
        </w:rPr>
        <w:t>o inactivate MAPKs</w:t>
      </w:r>
      <w:r w:rsidR="007D3368">
        <w:rPr>
          <w:bCs/>
        </w:rPr>
        <w:t xml:space="preserve">, </w:t>
      </w:r>
      <w:r w:rsidR="00632519">
        <w:rPr>
          <w:bCs/>
        </w:rPr>
        <w:t>dephosphorylation of either Thr-</w:t>
      </w:r>
      <w:r w:rsidR="00F865A3">
        <w:rPr>
          <w:bCs/>
        </w:rPr>
        <w:t xml:space="preserve"> </w:t>
      </w:r>
      <w:r w:rsidR="00632519">
        <w:rPr>
          <w:bCs/>
        </w:rPr>
        <w:t>or Tyr-</w:t>
      </w:r>
      <w:r w:rsidR="007D3368">
        <w:rPr>
          <w:bCs/>
        </w:rPr>
        <w:t>residue is sufficient</w:t>
      </w:r>
      <w:r w:rsidR="003F4016">
        <w:rPr>
          <w:bCs/>
        </w:rPr>
        <w:t xml:space="preserve"> and is needed </w:t>
      </w:r>
      <w:r w:rsidR="007D3368">
        <w:rPr>
          <w:bCs/>
        </w:rPr>
        <w:t>to control the extent, duration, an</w:t>
      </w:r>
      <w:r w:rsidR="00632519">
        <w:rPr>
          <w:bCs/>
        </w:rPr>
        <w:t xml:space="preserve">d physiological outcome of MAPK </w:t>
      </w:r>
      <w:r w:rsidR="007D3368">
        <w:rPr>
          <w:bCs/>
        </w:rPr>
        <w:t>activat</w:t>
      </w:r>
      <w:r w:rsidR="00632519">
        <w:rPr>
          <w:bCs/>
        </w:rPr>
        <w:t>ion. Inactivation of MAPKs</w:t>
      </w:r>
      <w:r w:rsidR="007D3368">
        <w:rPr>
          <w:bCs/>
        </w:rPr>
        <w:t xml:space="preserve"> is attained by Ser/Thr phosphatases (PP2C family), protein Tyr phosphatases (PTPs), or dual specificity phosphatases (DSPs) (Wang </w:t>
      </w:r>
      <w:r w:rsidR="007D3368" w:rsidRPr="000215E2">
        <w:rPr>
          <w:bCs/>
          <w:i/>
        </w:rPr>
        <w:t>et al</w:t>
      </w:r>
      <w:r w:rsidR="007D3368">
        <w:rPr>
          <w:bCs/>
        </w:rPr>
        <w:t xml:space="preserve">., 2007; Meng and Zhang, 2013). To ensure signalling specificity of MAPK cascades, </w:t>
      </w:r>
      <w:r w:rsidR="007D3368" w:rsidRPr="00756438">
        <w:rPr>
          <w:bCs/>
          <w:i/>
        </w:rPr>
        <w:t>MPK3, MPK6</w:t>
      </w:r>
      <w:r w:rsidR="007D3368">
        <w:rPr>
          <w:bCs/>
        </w:rPr>
        <w:t xml:space="preserve">, and </w:t>
      </w:r>
      <w:r w:rsidR="007D3368" w:rsidRPr="00756438">
        <w:rPr>
          <w:bCs/>
          <w:i/>
        </w:rPr>
        <w:t>MPK4</w:t>
      </w:r>
      <w:r w:rsidR="007D3368">
        <w:rPr>
          <w:bCs/>
        </w:rPr>
        <w:t xml:space="preserve"> show different expression levels in diverse tissues, for instance higher expression levels in guard cells that control aperture of stomata, the major entranceway for bacterial pathogens like </w:t>
      </w:r>
      <w:r w:rsidR="003F4016">
        <w:rPr>
          <w:bCs/>
          <w:i/>
        </w:rPr>
        <w:t>P.</w:t>
      </w:r>
      <w:r>
        <w:rPr>
          <w:bCs/>
          <w:i/>
        </w:rPr>
        <w:t xml:space="preserve"> </w:t>
      </w:r>
      <w:r w:rsidR="003F4016">
        <w:rPr>
          <w:bCs/>
          <w:i/>
        </w:rPr>
        <w:t>syringae</w:t>
      </w:r>
      <w:r w:rsidR="007D3368">
        <w:rPr>
          <w:bCs/>
        </w:rPr>
        <w:t xml:space="preserve"> (Petersen </w:t>
      </w:r>
      <w:r w:rsidR="007D3368" w:rsidRPr="007D3368">
        <w:rPr>
          <w:bCs/>
          <w:i/>
        </w:rPr>
        <w:t>et al</w:t>
      </w:r>
      <w:r w:rsidR="007D3368">
        <w:rPr>
          <w:bCs/>
        </w:rPr>
        <w:t xml:space="preserve">., 2000; Zeng </w:t>
      </w:r>
      <w:r w:rsidR="007D3368" w:rsidRPr="007D3368">
        <w:rPr>
          <w:bCs/>
          <w:i/>
        </w:rPr>
        <w:t>et al</w:t>
      </w:r>
      <w:r w:rsidR="007D3368">
        <w:rPr>
          <w:bCs/>
        </w:rPr>
        <w:t>., 2010; Meng and Zhang, 2013).</w:t>
      </w:r>
    </w:p>
    <w:p w:rsidR="00B517AA" w:rsidRDefault="00B517AA" w:rsidP="00B517AA">
      <w:pPr>
        <w:pStyle w:val="berschrift2"/>
        <w:rPr>
          <w:color w:val="auto"/>
        </w:rPr>
        <w:sectPr w:rsidR="00B517AA" w:rsidSect="009608E1">
          <w:headerReference w:type="default" r:id="rId27"/>
          <w:type w:val="continuous"/>
          <w:pgSz w:w="11906" w:h="16838"/>
          <w:pgMar w:top="1417" w:right="1417" w:bottom="1134" w:left="1417" w:header="708" w:footer="708" w:gutter="0"/>
          <w:cols w:space="708"/>
          <w:titlePg/>
          <w:docGrid w:linePitch="360"/>
        </w:sectPr>
      </w:pPr>
    </w:p>
    <w:p w:rsidR="00102B90" w:rsidRPr="00102B90" w:rsidRDefault="00563EC1" w:rsidP="00102B90">
      <w:pPr>
        <w:pStyle w:val="berschrift2"/>
        <w:spacing w:after="240"/>
        <w:rPr>
          <w:color w:val="auto"/>
        </w:rPr>
      </w:pPr>
      <w:bookmarkStart w:id="25" w:name="_Toc435621207"/>
      <w:r>
        <w:rPr>
          <w:color w:val="auto"/>
        </w:rPr>
        <w:lastRenderedPageBreak/>
        <w:t xml:space="preserve">3.5 </w:t>
      </w:r>
      <w:r w:rsidR="00102B90" w:rsidRPr="00102B90">
        <w:rPr>
          <w:color w:val="auto"/>
        </w:rPr>
        <w:t xml:space="preserve">Chemical inducers of </w:t>
      </w:r>
      <w:r w:rsidR="00CF3120">
        <w:rPr>
          <w:color w:val="auto"/>
        </w:rPr>
        <w:t>plant pathogen resistance</w:t>
      </w:r>
      <w:bookmarkEnd w:id="25"/>
    </w:p>
    <w:p w:rsidR="006B0405" w:rsidRPr="006B0405" w:rsidRDefault="006B0405" w:rsidP="00431343">
      <w:pPr>
        <w:spacing w:after="0" w:line="360" w:lineRule="auto"/>
        <w:jc w:val="both"/>
      </w:pPr>
      <w:r w:rsidRPr="006B0405">
        <w:t xml:space="preserve">Several chemical compounds were discovered that are able to induce resistance to a number of pathogens after exogenous application. Treating plants with </w:t>
      </w:r>
      <w:r w:rsidR="00E60F82">
        <w:t>SA</w:t>
      </w:r>
      <w:r w:rsidR="00340C68">
        <w:t xml:space="preserve"> or the SA-analogues benzo-</w:t>
      </w:r>
      <w:r w:rsidRPr="006B0405">
        <w:t>(1</w:t>
      </w:r>
      <w:proofErr w:type="gramStart"/>
      <w:r w:rsidRPr="006B0405">
        <w:t>,2,3</w:t>
      </w:r>
      <w:proofErr w:type="gramEnd"/>
      <w:r w:rsidR="00340C68">
        <w:t>,)-</w:t>
      </w:r>
      <w:r w:rsidR="00946C8D">
        <w:t xml:space="preserve">thiadiazole-7-carbothioc </w:t>
      </w:r>
      <w:r w:rsidRPr="006B0405">
        <w:t>acid S-methylester (BTH) and 2,6-dichloroison</w:t>
      </w:r>
      <w:r w:rsidR="00340C68">
        <w:t>i</w:t>
      </w:r>
      <w:r w:rsidRPr="006B0405">
        <w:t>cotinic acid (INA)</w:t>
      </w:r>
      <w:r w:rsidR="0079735B">
        <w:t>,</w:t>
      </w:r>
      <w:r w:rsidRPr="006B0405">
        <w:t xml:space="preserve"> induces local </w:t>
      </w:r>
      <w:r w:rsidRPr="006B0405">
        <w:rPr>
          <w:i/>
        </w:rPr>
        <w:t>PR-1</w:t>
      </w:r>
      <w:r w:rsidRPr="006B0405">
        <w:t xml:space="preserve"> g</w:t>
      </w:r>
      <w:r w:rsidR="001D4A89">
        <w:t>ene expression, a marker for SA-</w:t>
      </w:r>
      <w:r w:rsidRPr="006B0405">
        <w:t xml:space="preserve">signalling in plants (Kessmann </w:t>
      </w:r>
      <w:r w:rsidRPr="006B0405">
        <w:rPr>
          <w:i/>
        </w:rPr>
        <w:t>et al</w:t>
      </w:r>
      <w:r w:rsidR="00E742E8">
        <w:t xml:space="preserve">., 1994; Sticher </w:t>
      </w:r>
      <w:r w:rsidR="00E742E8" w:rsidRPr="00E742E8">
        <w:rPr>
          <w:i/>
        </w:rPr>
        <w:t>et al</w:t>
      </w:r>
      <w:r w:rsidR="00E742E8">
        <w:t>.,</w:t>
      </w:r>
      <w:r w:rsidRPr="006B0405">
        <w:t xml:space="preserve"> 1997). </w:t>
      </w:r>
      <w:r w:rsidR="009A4453" w:rsidRPr="007127C9">
        <w:t xml:space="preserve">Using </w:t>
      </w:r>
      <w:r w:rsidR="009A4453">
        <w:t>SA</w:t>
      </w:r>
      <w:r w:rsidR="009A4453" w:rsidRPr="007127C9">
        <w:t xml:space="preserve"> and its analogues for induction of plant resistance is not optimal though, because resistance induction by exogenous</w:t>
      </w:r>
      <w:r w:rsidR="001D4A89">
        <w:t>ly</w:t>
      </w:r>
      <w:r w:rsidR="009A4453" w:rsidRPr="007127C9">
        <w:t xml:space="preserve"> applied SA, BTH, or INA was found to be restricted to treated tissue, the applied SA was swiftly converted to its glycoside and inactivated in this way, and it</w:t>
      </w:r>
      <w:r w:rsidR="001D4A89">
        <w:t xml:space="preserve"> is also a fine line between SA-</w:t>
      </w:r>
      <w:r w:rsidR="009A4453" w:rsidRPr="007127C9">
        <w:t xml:space="preserve">efficacy and </w:t>
      </w:r>
      <w:r w:rsidR="001D4A89">
        <w:t>-</w:t>
      </w:r>
      <w:r w:rsidR="009A4453" w:rsidRPr="007127C9">
        <w:t xml:space="preserve">toxicity (Kessmann </w:t>
      </w:r>
      <w:r w:rsidR="009A4453" w:rsidRPr="007127C9">
        <w:rPr>
          <w:i/>
        </w:rPr>
        <w:t>et al</w:t>
      </w:r>
      <w:r w:rsidR="009A4453">
        <w:t>., 1994).</w:t>
      </w:r>
      <w:r w:rsidR="009A4453" w:rsidRPr="007127C9">
        <w:t xml:space="preserve"> The non-protein amino acid </w:t>
      </w:r>
      <w:r w:rsidR="009A4453" w:rsidRPr="007127C9">
        <w:rPr>
          <w:i/>
        </w:rPr>
        <w:t>ß</w:t>
      </w:r>
      <w:r w:rsidR="009A4453" w:rsidRPr="007127C9">
        <w:t xml:space="preserve">-aminobutyric acid (BABA) does not occur naturally in </w:t>
      </w:r>
      <w:r w:rsidR="009A4453" w:rsidRPr="007127C9">
        <w:rPr>
          <w:i/>
        </w:rPr>
        <w:t>A</w:t>
      </w:r>
      <w:r w:rsidR="001D4A89">
        <w:rPr>
          <w:i/>
        </w:rPr>
        <w:t>.</w:t>
      </w:r>
      <w:r w:rsidR="009A4453" w:rsidRPr="007127C9">
        <w:rPr>
          <w:i/>
        </w:rPr>
        <w:t xml:space="preserve"> thaliana</w:t>
      </w:r>
      <w:r w:rsidR="009A4453" w:rsidRPr="007127C9">
        <w:t xml:space="preserve">, but is able to induce resistance against different pathogens, including the oomycete pathogens </w:t>
      </w:r>
      <w:r w:rsidR="009A4453" w:rsidRPr="007127C9">
        <w:rPr>
          <w:i/>
        </w:rPr>
        <w:t xml:space="preserve">Hyaloperonospora arabidopsidis </w:t>
      </w:r>
      <w:r w:rsidR="009A4453" w:rsidRPr="007127C9">
        <w:t>and</w:t>
      </w:r>
      <w:r w:rsidR="009A4453" w:rsidRPr="007127C9">
        <w:rPr>
          <w:i/>
        </w:rPr>
        <w:t xml:space="preserve"> Phythopthora infestans, </w:t>
      </w:r>
      <w:r w:rsidR="009A4453" w:rsidRPr="007127C9">
        <w:t xml:space="preserve">the bacterium </w:t>
      </w:r>
      <w:r w:rsidR="009A4453" w:rsidRPr="007127C9">
        <w:rPr>
          <w:i/>
        </w:rPr>
        <w:t>Pseudomonas syringae</w:t>
      </w:r>
      <w:r w:rsidR="009A4453" w:rsidRPr="007127C9">
        <w:t xml:space="preserve">, and the fungus </w:t>
      </w:r>
      <w:r w:rsidR="009A4453" w:rsidRPr="007127C9">
        <w:rPr>
          <w:i/>
        </w:rPr>
        <w:t>Botrytis cinerea</w:t>
      </w:r>
      <w:r w:rsidR="009A4453" w:rsidRPr="007127C9">
        <w:t xml:space="preserve"> (Zimmerli </w:t>
      </w:r>
      <w:r w:rsidR="009A4453" w:rsidRPr="007127C9">
        <w:rPr>
          <w:i/>
        </w:rPr>
        <w:t>et al</w:t>
      </w:r>
      <w:r w:rsidR="009A4453" w:rsidRPr="007127C9">
        <w:t xml:space="preserve">., 2001; Cohen, 2002; Tsai </w:t>
      </w:r>
      <w:r w:rsidR="009A4453" w:rsidRPr="007127C9">
        <w:rPr>
          <w:i/>
        </w:rPr>
        <w:t>et al.,</w:t>
      </w:r>
      <w:r w:rsidR="009A4453" w:rsidRPr="007127C9">
        <w:t xml:space="preserve"> 2011), as well as several abiotic stresses (Ton </w:t>
      </w:r>
      <w:r w:rsidR="009A4453" w:rsidRPr="007127C9">
        <w:rPr>
          <w:i/>
        </w:rPr>
        <w:t>et al</w:t>
      </w:r>
      <w:r w:rsidR="009A4453" w:rsidRPr="007127C9">
        <w:t xml:space="preserve">., 2005). BABA is effective against a wide array of biotrophic and necrotrophic pathogens and results gained from recent studies hinted at </w:t>
      </w:r>
      <w:r w:rsidR="009A4453" w:rsidRPr="007127C9">
        <w:lastRenderedPageBreak/>
        <w:t xml:space="preserve">priming of plant defences via BABA, enabling the plant to react faster and stronger to a threat (see below; Ton </w:t>
      </w:r>
      <w:r w:rsidR="009A4453" w:rsidRPr="007127C9">
        <w:rPr>
          <w:i/>
        </w:rPr>
        <w:t>et al</w:t>
      </w:r>
      <w:r w:rsidR="009A4453" w:rsidRPr="007127C9">
        <w:t>., 2005).</w:t>
      </w:r>
    </w:p>
    <w:p w:rsidR="007127C9" w:rsidRDefault="007127C9" w:rsidP="00FC7225">
      <w:pPr>
        <w:keepNext/>
        <w:spacing w:after="0" w:line="360" w:lineRule="auto"/>
        <w:jc w:val="both"/>
      </w:pPr>
    </w:p>
    <w:p w:rsidR="009E4967" w:rsidRDefault="006B0405" w:rsidP="00FC7225">
      <w:pPr>
        <w:keepNext/>
        <w:spacing w:after="0" w:line="360" w:lineRule="auto"/>
        <w:jc w:val="both"/>
      </w:pPr>
      <w:r w:rsidRPr="006B0405">
        <w:rPr>
          <w:b/>
          <w:noProof/>
          <w:lang w:val="de-DE" w:eastAsia="de-DE"/>
        </w:rPr>
        <w:drawing>
          <wp:anchor distT="0" distB="0" distL="114300" distR="114300" simplePos="0" relativeHeight="251672576" behindDoc="0" locked="0" layoutInCell="1" allowOverlap="1" wp14:anchorId="5A2E2C0D" wp14:editId="385CC544">
            <wp:simplePos x="895350" y="895350"/>
            <wp:positionH relativeFrom="page">
              <wp:align>center</wp:align>
            </wp:positionH>
            <wp:positionV relativeFrom="paragraph">
              <wp:posOffset>-3810</wp:posOffset>
            </wp:positionV>
            <wp:extent cx="3562350" cy="2454275"/>
            <wp:effectExtent l="19050" t="19050" r="19050" b="22225"/>
            <wp:wrapTopAndBottom/>
            <wp:docPr id="13"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emical SAr inducers.png"/>
                    <pic:cNvPicPr/>
                  </pic:nvPicPr>
                  <pic:blipFill rotWithShape="1">
                    <a:blip r:embed="rId28" cstate="print">
                      <a:extLst>
                        <a:ext uri="{28A0092B-C50C-407E-A947-70E740481C1C}">
                          <a14:useLocalDpi xmlns:a14="http://schemas.microsoft.com/office/drawing/2010/main" val="0"/>
                        </a:ext>
                      </a:extLst>
                    </a:blip>
                    <a:srcRect l="-4986" t="-4883" r="-4692"/>
                    <a:stretch/>
                  </pic:blipFill>
                  <pic:spPr bwMode="auto">
                    <a:xfrm>
                      <a:off x="0" y="0"/>
                      <a:ext cx="3561445" cy="2454271"/>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D94965" w:rsidRPr="00EB4CFA" w:rsidRDefault="009E4967" w:rsidP="009A4453">
      <w:pPr>
        <w:pStyle w:val="Beschriftung"/>
        <w:spacing w:after="0" w:line="360" w:lineRule="auto"/>
        <w:jc w:val="both"/>
        <w:rPr>
          <w:color w:val="auto"/>
          <w:lang w:val="en-US"/>
        </w:rPr>
      </w:pPr>
      <w:bookmarkStart w:id="26" w:name="_Toc435621131"/>
      <w:proofErr w:type="gramStart"/>
      <w:r w:rsidRPr="00EB4CFA">
        <w:rPr>
          <w:color w:val="auto"/>
        </w:rPr>
        <w:t xml:space="preserve">Figure </w:t>
      </w:r>
      <w:r w:rsidRPr="00EB4CFA">
        <w:rPr>
          <w:color w:val="auto"/>
        </w:rPr>
        <w:fldChar w:fldCharType="begin"/>
      </w:r>
      <w:r w:rsidRPr="00EB4CFA">
        <w:rPr>
          <w:color w:val="auto"/>
        </w:rPr>
        <w:instrText xml:space="preserve"> SEQ Figure \* ARABIC </w:instrText>
      </w:r>
      <w:r w:rsidRPr="00EB4CFA">
        <w:rPr>
          <w:color w:val="auto"/>
        </w:rPr>
        <w:fldChar w:fldCharType="separate"/>
      </w:r>
      <w:r w:rsidR="00CB17FE">
        <w:rPr>
          <w:noProof/>
          <w:color w:val="auto"/>
        </w:rPr>
        <w:t>13</w:t>
      </w:r>
      <w:r w:rsidRPr="00EB4CFA">
        <w:rPr>
          <w:color w:val="auto"/>
        </w:rPr>
        <w:fldChar w:fldCharType="end"/>
      </w:r>
      <w:r w:rsidR="00CF1261">
        <w:rPr>
          <w:color w:val="auto"/>
        </w:rPr>
        <w:t>.</w:t>
      </w:r>
      <w:proofErr w:type="gramEnd"/>
      <w:r w:rsidRPr="00EB4CFA">
        <w:rPr>
          <w:color w:val="auto"/>
        </w:rPr>
        <w:t xml:space="preserve"> </w:t>
      </w:r>
      <w:proofErr w:type="gramStart"/>
      <w:r w:rsidRPr="00EB4CFA">
        <w:rPr>
          <w:color w:val="auto"/>
          <w:lang w:val="en-US"/>
        </w:rPr>
        <w:t>Chemicals shown to induce resistance against pathogens.</w:t>
      </w:r>
      <w:bookmarkEnd w:id="26"/>
      <w:proofErr w:type="gramEnd"/>
      <w:r w:rsidRPr="00EB4CFA">
        <w:rPr>
          <w:color w:val="auto"/>
          <w:lang w:val="en-US"/>
        </w:rPr>
        <w:t xml:space="preserve"> </w:t>
      </w:r>
    </w:p>
    <w:p w:rsidR="009E4967" w:rsidRPr="00EB4CFA" w:rsidRDefault="009E4967" w:rsidP="009E4967">
      <w:pPr>
        <w:pStyle w:val="Beschriftung"/>
        <w:jc w:val="both"/>
        <w:rPr>
          <w:b w:val="0"/>
          <w:color w:val="auto"/>
          <w:lang w:val="en-US"/>
        </w:rPr>
      </w:pPr>
      <w:r w:rsidRPr="00EB4CFA">
        <w:rPr>
          <w:b w:val="0"/>
          <w:color w:val="auto"/>
          <w:lang w:val="en-US"/>
        </w:rPr>
        <w:t xml:space="preserve">Exogenous application of </w:t>
      </w:r>
      <w:r w:rsidR="001D4A89">
        <w:rPr>
          <w:b w:val="0"/>
          <w:color w:val="auto"/>
          <w:lang w:val="en-US"/>
        </w:rPr>
        <w:t>SA</w:t>
      </w:r>
      <w:r w:rsidRPr="00EB4CFA">
        <w:rPr>
          <w:b w:val="0"/>
          <w:color w:val="auto"/>
          <w:lang w:val="en-US"/>
        </w:rPr>
        <w:t xml:space="preserve"> and the SA-analogues benzo (1,2,3,) thiadiazole-7-carbothioc acid S-methyles</w:t>
      </w:r>
      <w:r w:rsidR="00F865A3">
        <w:rPr>
          <w:b w:val="0"/>
          <w:color w:val="auto"/>
          <w:lang w:val="en-US"/>
        </w:rPr>
        <w:t>ter (BTH) and 2,6-dichloroisoni</w:t>
      </w:r>
      <w:r w:rsidRPr="00EB4CFA">
        <w:rPr>
          <w:b w:val="0"/>
          <w:color w:val="auto"/>
          <w:lang w:val="en-US"/>
        </w:rPr>
        <w:t xml:space="preserve">cotinic acid (INA), as well as the non-protein amino acids </w:t>
      </w:r>
      <w:r w:rsidRPr="00EB4CFA">
        <w:rPr>
          <w:b w:val="0"/>
          <w:i/>
          <w:color w:val="auto"/>
          <w:lang w:val="en-US"/>
        </w:rPr>
        <w:t>ß</w:t>
      </w:r>
      <w:r w:rsidRPr="00EB4CFA">
        <w:rPr>
          <w:b w:val="0"/>
          <w:color w:val="auto"/>
          <w:lang w:val="en-US"/>
        </w:rPr>
        <w:t xml:space="preserve">-aminobutyric acid (BABA) and </w:t>
      </w:r>
      <w:r w:rsidR="001D4A89">
        <w:rPr>
          <w:b w:val="0"/>
          <w:color w:val="auto"/>
          <w:lang w:val="en-US"/>
        </w:rPr>
        <w:t>Pip</w:t>
      </w:r>
      <w:r w:rsidRPr="00EB4CFA">
        <w:rPr>
          <w:b w:val="0"/>
          <w:color w:val="auto"/>
          <w:lang w:val="en-US"/>
        </w:rPr>
        <w:t>, were shown to induce resistance in plants.</w:t>
      </w:r>
    </w:p>
    <w:p w:rsidR="007127C9" w:rsidRPr="007127C9" w:rsidRDefault="007127C9" w:rsidP="007127C9">
      <w:pPr>
        <w:spacing w:line="360" w:lineRule="auto"/>
        <w:jc w:val="both"/>
        <w:rPr>
          <w:bCs/>
        </w:rPr>
      </w:pPr>
      <w:r w:rsidRPr="007127C9">
        <w:t xml:space="preserve">Interestingly, </w:t>
      </w:r>
      <w:r w:rsidR="001D4A89">
        <w:t>BABA-treatment</w:t>
      </w:r>
      <w:r w:rsidRPr="007127C9">
        <w:t xml:space="preserve"> induced resistance in already infected plants up to three days post infection, while other chemical inducers of resistance were shown to be effective only prior to infection (Cohen, 2002).</w:t>
      </w:r>
      <w:r w:rsidRPr="007127C9">
        <w:rPr>
          <w:bCs/>
        </w:rPr>
        <w:t xml:space="preserve"> The defence regulator </w:t>
      </w:r>
      <w:r w:rsidR="009A4453">
        <w:rPr>
          <w:bCs/>
        </w:rPr>
        <w:t xml:space="preserve">Pip </w:t>
      </w:r>
      <w:r w:rsidRPr="007127C9">
        <w:rPr>
          <w:bCs/>
        </w:rPr>
        <w:t xml:space="preserve">also induces resistance to virulent and avirulent </w:t>
      </w:r>
      <w:r w:rsidR="009A4453">
        <w:rPr>
          <w:bCs/>
          <w:i/>
        </w:rPr>
        <w:t xml:space="preserve">Psm </w:t>
      </w:r>
      <w:r w:rsidR="009A4453">
        <w:rPr>
          <w:bCs/>
        </w:rPr>
        <w:t>strains</w:t>
      </w:r>
      <w:r w:rsidRPr="007127C9">
        <w:rPr>
          <w:bCs/>
        </w:rPr>
        <w:t xml:space="preserve"> by activating </w:t>
      </w:r>
      <w:r w:rsidRPr="007127C9">
        <w:rPr>
          <w:bCs/>
          <w:i/>
        </w:rPr>
        <w:t>ALD1</w:t>
      </w:r>
      <w:r w:rsidR="001D4A89">
        <w:rPr>
          <w:bCs/>
        </w:rPr>
        <w:t xml:space="preserve"> expression and increasing Pip-</w:t>
      </w:r>
      <w:r w:rsidRPr="007127C9">
        <w:rPr>
          <w:bCs/>
        </w:rPr>
        <w:t xml:space="preserve">levels throughout the plant in this way (Návarová </w:t>
      </w:r>
      <w:r w:rsidRPr="007127C9">
        <w:rPr>
          <w:bCs/>
          <w:i/>
        </w:rPr>
        <w:t>et al</w:t>
      </w:r>
      <w:r w:rsidR="009A4453">
        <w:rPr>
          <w:bCs/>
        </w:rPr>
        <w:t>., 2012). Pip</w:t>
      </w:r>
      <w:r w:rsidRPr="007127C9">
        <w:rPr>
          <w:bCs/>
        </w:rPr>
        <w:t xml:space="preserve"> has a strong priming effect on camalexin and its own biosynthesis and on expression of defence-related genes as well. Results from our laboratory suggest that BABA-induced resistance in </w:t>
      </w:r>
      <w:r w:rsidRPr="007127C9">
        <w:rPr>
          <w:bCs/>
          <w:i/>
        </w:rPr>
        <w:t>Arabidopsis</w:t>
      </w:r>
      <w:r w:rsidRPr="007127C9">
        <w:rPr>
          <w:bCs/>
        </w:rPr>
        <w:t xml:space="preserve"> is dependent on Pip-mediated responses in plants rather than a BABA-specific pathway (Návarová </w:t>
      </w:r>
      <w:r w:rsidRPr="007127C9">
        <w:rPr>
          <w:bCs/>
          <w:i/>
        </w:rPr>
        <w:t>et al</w:t>
      </w:r>
      <w:r w:rsidRPr="007127C9">
        <w:rPr>
          <w:bCs/>
        </w:rPr>
        <w:t>., 2012).</w:t>
      </w:r>
    </w:p>
    <w:p w:rsidR="00B517AA" w:rsidRDefault="00B517AA" w:rsidP="00102B90">
      <w:pPr>
        <w:pStyle w:val="berschrift2"/>
        <w:spacing w:after="240"/>
        <w:jc w:val="both"/>
        <w:rPr>
          <w:color w:val="auto"/>
        </w:rPr>
        <w:sectPr w:rsidR="00B517AA" w:rsidSect="009608E1">
          <w:headerReference w:type="default" r:id="rId29"/>
          <w:type w:val="continuous"/>
          <w:pgSz w:w="11906" w:h="16838"/>
          <w:pgMar w:top="1417" w:right="1417" w:bottom="1134" w:left="1417" w:header="708" w:footer="708" w:gutter="0"/>
          <w:cols w:space="708"/>
          <w:titlePg/>
          <w:docGrid w:linePitch="360"/>
        </w:sectPr>
      </w:pPr>
    </w:p>
    <w:p w:rsidR="006B0405" w:rsidRPr="00102B90" w:rsidRDefault="00563EC1" w:rsidP="00102B90">
      <w:pPr>
        <w:pStyle w:val="berschrift2"/>
        <w:spacing w:after="240"/>
        <w:jc w:val="both"/>
        <w:rPr>
          <w:color w:val="auto"/>
        </w:rPr>
      </w:pPr>
      <w:bookmarkStart w:id="27" w:name="_Toc435621208"/>
      <w:r>
        <w:rPr>
          <w:color w:val="auto"/>
        </w:rPr>
        <w:lastRenderedPageBreak/>
        <w:t xml:space="preserve">3.6 </w:t>
      </w:r>
      <w:r w:rsidR="006B0405" w:rsidRPr="00102B90">
        <w:rPr>
          <w:color w:val="auto"/>
        </w:rPr>
        <w:t xml:space="preserve">Mechanisms of priming in systemic acquired </w:t>
      </w:r>
      <w:r w:rsidR="00D64C53">
        <w:rPr>
          <w:color w:val="auto"/>
        </w:rPr>
        <w:t xml:space="preserve">and chemical-induced </w:t>
      </w:r>
      <w:r w:rsidR="006B0405" w:rsidRPr="00102B90">
        <w:rPr>
          <w:color w:val="auto"/>
        </w:rPr>
        <w:t>resistance</w:t>
      </w:r>
      <w:bookmarkEnd w:id="27"/>
    </w:p>
    <w:p w:rsidR="00431343" w:rsidRPr="00431343" w:rsidRDefault="006B0405" w:rsidP="00431343">
      <w:pPr>
        <w:spacing w:line="360" w:lineRule="auto"/>
        <w:jc w:val="both"/>
        <w:rPr>
          <w:b/>
        </w:rPr>
      </w:pPr>
      <w:r w:rsidRPr="006B0405">
        <w:t xml:space="preserve">A key mechanism in </w:t>
      </w:r>
      <w:r w:rsidR="00C83CE8">
        <w:t xml:space="preserve">SAR </w:t>
      </w:r>
      <w:r w:rsidRPr="006B0405">
        <w:t>and chemically induced resistance is priming of plant responses, which enables primed plants to react faster and stronger to a threat compared to non-primed plants (</w:t>
      </w:r>
      <w:r w:rsidR="002D451E">
        <w:t>Conrath</w:t>
      </w:r>
      <w:r w:rsidR="00885488">
        <w:t xml:space="preserve"> </w:t>
      </w:r>
      <w:r w:rsidR="00885488" w:rsidRPr="00885488">
        <w:rPr>
          <w:i/>
        </w:rPr>
        <w:t>et al</w:t>
      </w:r>
      <w:r w:rsidR="00885488">
        <w:t>.</w:t>
      </w:r>
      <w:r w:rsidR="002D451E">
        <w:t xml:space="preserve">, 2001; </w:t>
      </w:r>
      <w:r w:rsidRPr="006B0405">
        <w:t xml:space="preserve">Bruce </w:t>
      </w:r>
      <w:r w:rsidRPr="006B0405">
        <w:rPr>
          <w:i/>
        </w:rPr>
        <w:t>et al</w:t>
      </w:r>
      <w:r w:rsidRPr="006B0405">
        <w:t>., 2007</w:t>
      </w:r>
      <w:r w:rsidR="00024971">
        <w:t>;</w:t>
      </w:r>
      <w:r w:rsidR="00024971" w:rsidRPr="00024971">
        <w:t xml:space="preserve"> </w:t>
      </w:r>
      <w:r w:rsidR="00024971" w:rsidRPr="006B0405">
        <w:t>Figure 13</w:t>
      </w:r>
      <w:r w:rsidRPr="006B0405">
        <w:t xml:space="preserve">). </w:t>
      </w:r>
      <w:r w:rsidR="00CE6EC5">
        <w:t>Priming, or sensitation</w:t>
      </w:r>
      <w:r w:rsidR="00D21BE3">
        <w:t>,</w:t>
      </w:r>
      <w:r w:rsidR="00CE6EC5">
        <w:t xml:space="preserve"> of plant defence responses, was first de</w:t>
      </w:r>
      <w:r w:rsidR="008A6D02">
        <w:t xml:space="preserve">scribed by Chester in 1933 as an important </w:t>
      </w:r>
      <w:r w:rsidR="00CE6EC5">
        <w:t>mechanism for SAR (Chester, 1933; Conrath, 2011).</w:t>
      </w:r>
      <w:r w:rsidR="008C6D19">
        <w:t xml:space="preserve"> </w:t>
      </w:r>
    </w:p>
    <w:p w:rsidR="006B0405" w:rsidRPr="006B0405" w:rsidRDefault="006B0405" w:rsidP="006B0405">
      <w:pPr>
        <w:spacing w:line="360" w:lineRule="auto"/>
        <w:jc w:val="both"/>
      </w:pPr>
    </w:p>
    <w:p w:rsidR="009E4967" w:rsidRDefault="006B0405" w:rsidP="00FC7225">
      <w:pPr>
        <w:keepNext/>
        <w:spacing w:after="0" w:line="360" w:lineRule="auto"/>
        <w:jc w:val="both"/>
      </w:pPr>
      <w:r w:rsidRPr="006B0405">
        <w:rPr>
          <w:b/>
          <w:noProof/>
          <w:lang w:val="de-DE" w:eastAsia="de-DE"/>
        </w:rPr>
        <w:lastRenderedPageBreak/>
        <w:drawing>
          <wp:anchor distT="0" distB="0" distL="114300" distR="114300" simplePos="0" relativeHeight="251673600" behindDoc="0" locked="0" layoutInCell="1" allowOverlap="1" wp14:anchorId="5A0893AC" wp14:editId="161622C0">
            <wp:simplePos x="895350" y="895350"/>
            <wp:positionH relativeFrom="page">
              <wp:align>center</wp:align>
            </wp:positionH>
            <wp:positionV relativeFrom="paragraph">
              <wp:posOffset>-3810</wp:posOffset>
            </wp:positionV>
            <wp:extent cx="2995200" cy="2520000"/>
            <wp:effectExtent l="19050" t="19050" r="15240" b="13970"/>
            <wp:wrapTopAndBottom/>
            <wp:docPr id="16" name="Grafi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iming schematics_Bruce2007.png"/>
                    <pic:cNvPicPr/>
                  </pic:nvPicPr>
                  <pic:blipFill>
                    <a:blip r:embed="rId30">
                      <a:extLst>
                        <a:ext uri="{28A0092B-C50C-407E-A947-70E740481C1C}">
                          <a14:useLocalDpi xmlns:a14="http://schemas.microsoft.com/office/drawing/2010/main" val="0"/>
                        </a:ext>
                      </a:extLst>
                    </a:blip>
                    <a:stretch>
                      <a:fillRect/>
                    </a:stretch>
                  </pic:blipFill>
                  <pic:spPr>
                    <a:xfrm>
                      <a:off x="0" y="0"/>
                      <a:ext cx="2995200" cy="2520000"/>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p>
    <w:p w:rsidR="00D94965" w:rsidRPr="00EB4CFA" w:rsidRDefault="009E4967" w:rsidP="00C83CE8">
      <w:pPr>
        <w:pStyle w:val="Beschriftung"/>
        <w:spacing w:after="0" w:line="360" w:lineRule="auto"/>
        <w:jc w:val="both"/>
        <w:rPr>
          <w:color w:val="auto"/>
          <w:lang w:val="en-US"/>
        </w:rPr>
      </w:pPr>
      <w:bookmarkStart w:id="28" w:name="_Toc435621132"/>
      <w:proofErr w:type="gramStart"/>
      <w:r w:rsidRPr="00EB4CFA">
        <w:rPr>
          <w:color w:val="auto"/>
        </w:rPr>
        <w:t xml:space="preserve">Figure </w:t>
      </w:r>
      <w:r w:rsidRPr="00EB4CFA">
        <w:rPr>
          <w:color w:val="auto"/>
        </w:rPr>
        <w:fldChar w:fldCharType="begin"/>
      </w:r>
      <w:r w:rsidRPr="00EB4CFA">
        <w:rPr>
          <w:color w:val="auto"/>
        </w:rPr>
        <w:instrText xml:space="preserve"> SEQ Figure \* ARABIC </w:instrText>
      </w:r>
      <w:r w:rsidRPr="00EB4CFA">
        <w:rPr>
          <w:color w:val="auto"/>
        </w:rPr>
        <w:fldChar w:fldCharType="separate"/>
      </w:r>
      <w:r w:rsidR="00CB17FE">
        <w:rPr>
          <w:noProof/>
          <w:color w:val="auto"/>
        </w:rPr>
        <w:t>14</w:t>
      </w:r>
      <w:r w:rsidRPr="00EB4CFA">
        <w:rPr>
          <w:color w:val="auto"/>
        </w:rPr>
        <w:fldChar w:fldCharType="end"/>
      </w:r>
      <w:r w:rsidR="00CF1261">
        <w:rPr>
          <w:color w:val="auto"/>
        </w:rPr>
        <w:t>.</w:t>
      </w:r>
      <w:proofErr w:type="gramEnd"/>
      <w:r w:rsidRPr="00EB4CFA">
        <w:rPr>
          <w:color w:val="auto"/>
        </w:rPr>
        <w:t xml:space="preserve"> </w:t>
      </w:r>
      <w:proofErr w:type="gramStart"/>
      <w:r w:rsidRPr="00EB4CFA">
        <w:rPr>
          <w:color w:val="auto"/>
          <w:lang w:val="en-US"/>
        </w:rPr>
        <w:t>Si</w:t>
      </w:r>
      <w:r w:rsidR="00D21BE3">
        <w:rPr>
          <w:color w:val="auto"/>
          <w:lang w:val="en-US"/>
        </w:rPr>
        <w:t xml:space="preserve">mplified representation </w:t>
      </w:r>
      <w:r w:rsidR="00F865A3">
        <w:rPr>
          <w:color w:val="auto"/>
          <w:lang w:val="en-US"/>
        </w:rPr>
        <w:t xml:space="preserve">of defence gene </w:t>
      </w:r>
      <w:r w:rsidRPr="00EB4CFA">
        <w:rPr>
          <w:color w:val="auto"/>
          <w:lang w:val="en-US"/>
        </w:rPr>
        <w:t xml:space="preserve">expression </w:t>
      </w:r>
      <w:r w:rsidR="008F342A" w:rsidRPr="00EB4CFA">
        <w:rPr>
          <w:color w:val="auto"/>
          <w:lang w:val="en-US"/>
        </w:rPr>
        <w:t>in a non-primed and primed</w:t>
      </w:r>
      <w:r w:rsidRPr="00EB4CFA">
        <w:rPr>
          <w:color w:val="auto"/>
          <w:lang w:val="en-US"/>
        </w:rPr>
        <w:t xml:space="preserve"> plant.</w:t>
      </w:r>
      <w:bookmarkEnd w:id="28"/>
      <w:proofErr w:type="gramEnd"/>
      <w:r w:rsidRPr="00EB4CFA">
        <w:rPr>
          <w:color w:val="auto"/>
          <w:lang w:val="en-US"/>
        </w:rPr>
        <w:t xml:space="preserve"> </w:t>
      </w:r>
    </w:p>
    <w:p w:rsidR="008F4626" w:rsidRPr="00EB4CFA" w:rsidRDefault="009E4967" w:rsidP="00EA0358">
      <w:pPr>
        <w:pStyle w:val="Beschriftung"/>
        <w:jc w:val="both"/>
        <w:rPr>
          <w:b w:val="0"/>
          <w:color w:val="auto"/>
        </w:rPr>
      </w:pPr>
      <w:r w:rsidRPr="00EB4CFA">
        <w:rPr>
          <w:b w:val="0"/>
          <w:color w:val="auto"/>
          <w:lang w:val="en-US"/>
        </w:rPr>
        <w:t xml:space="preserve">The primed plant experiences two stress events, whereas the non-primed plant is only exposed to stress II. Gene expression of certain genes in primed plants is higher than in non-primed plants upon stress event II. </w:t>
      </w:r>
      <w:proofErr w:type="gramStart"/>
      <w:r w:rsidR="008F342A" w:rsidRPr="00EB4CFA">
        <w:rPr>
          <w:b w:val="0"/>
          <w:color w:val="auto"/>
          <w:lang w:val="en-US"/>
        </w:rPr>
        <w:t>non-primed</w:t>
      </w:r>
      <w:proofErr w:type="gramEnd"/>
      <w:r w:rsidR="008F342A" w:rsidRPr="00EB4CFA">
        <w:rPr>
          <w:b w:val="0"/>
          <w:color w:val="auto"/>
          <w:lang w:val="en-US"/>
        </w:rPr>
        <w:t xml:space="preserve"> (--); primed (-) </w:t>
      </w:r>
      <w:r w:rsidR="00C3637D" w:rsidRPr="00EB4CFA">
        <w:rPr>
          <w:b w:val="0"/>
          <w:color w:val="auto"/>
          <w:lang w:val="en-US"/>
        </w:rPr>
        <w:t>(</w:t>
      </w:r>
      <w:r w:rsidRPr="00EB4CFA">
        <w:rPr>
          <w:b w:val="0"/>
          <w:color w:val="auto"/>
          <w:lang w:val="en-US"/>
        </w:rPr>
        <w:t xml:space="preserve">Bruce </w:t>
      </w:r>
      <w:r w:rsidRPr="00EB4CFA">
        <w:rPr>
          <w:b w:val="0"/>
          <w:i/>
          <w:color w:val="auto"/>
          <w:lang w:val="en-US"/>
        </w:rPr>
        <w:t>et al.,</w:t>
      </w:r>
      <w:r w:rsidRPr="00EB4CFA">
        <w:rPr>
          <w:b w:val="0"/>
          <w:color w:val="auto"/>
          <w:lang w:val="en-US"/>
        </w:rPr>
        <w:t xml:space="preserve"> 2007</w:t>
      </w:r>
      <w:r w:rsidR="00C3637D" w:rsidRPr="00EB4CFA">
        <w:rPr>
          <w:b w:val="0"/>
          <w:color w:val="auto"/>
          <w:lang w:val="en-US"/>
        </w:rPr>
        <w:t>)</w:t>
      </w:r>
      <w:r w:rsidRPr="00EB4CFA">
        <w:rPr>
          <w:b w:val="0"/>
          <w:color w:val="auto"/>
          <w:lang w:val="en-US"/>
        </w:rPr>
        <w:t>.</w:t>
      </w:r>
    </w:p>
    <w:p w:rsidR="00D21BE3" w:rsidRDefault="0005164A" w:rsidP="00431343">
      <w:pPr>
        <w:spacing w:after="0" w:line="360" w:lineRule="auto"/>
        <w:jc w:val="both"/>
        <w:rPr>
          <w:bCs/>
        </w:rPr>
      </w:pPr>
      <w:r>
        <w:t xml:space="preserve">Priming of plant cells becomes apparent only in the moment of a challenge to the primed tissue and it was shown that primed cells not only show greater sensitivity to pathogens, but also to abiotic stresses (Sticher </w:t>
      </w:r>
      <w:r w:rsidRPr="00C110A0">
        <w:rPr>
          <w:i/>
        </w:rPr>
        <w:t>et al</w:t>
      </w:r>
      <w:r>
        <w:t xml:space="preserve">., 1997). </w:t>
      </w:r>
      <w:r w:rsidR="00D21BE3">
        <w:t>Interestingly</w:t>
      </w:r>
      <w:r>
        <w:t xml:space="preserve">, repetetive mild abiotic stresses (heat, cold, drought) were shown to prime </w:t>
      </w:r>
      <w:r w:rsidRPr="00396B1F">
        <w:rPr>
          <w:i/>
        </w:rPr>
        <w:t>Arabidopsis</w:t>
      </w:r>
      <w:r>
        <w:t xml:space="preserve"> plants for enhanced resistance against </w:t>
      </w:r>
      <w:r w:rsidR="00C83CE8">
        <w:rPr>
          <w:i/>
        </w:rPr>
        <w:t>Psm</w:t>
      </w:r>
      <w:r>
        <w:t xml:space="preserve"> by enrichment of epigenetic marks on defence-related genes in environmentally stressed plants (Singh </w:t>
      </w:r>
      <w:r w:rsidRPr="00396B1F">
        <w:rPr>
          <w:i/>
        </w:rPr>
        <w:t>et al</w:t>
      </w:r>
      <w:r>
        <w:t xml:space="preserve">., 2014). In 1973, Skipp and Deverall showed that infection of bean hypocotyls by </w:t>
      </w:r>
      <w:r w:rsidRPr="00CA7FC9">
        <w:rPr>
          <w:i/>
        </w:rPr>
        <w:t>Colletotrichum lindemuthianum</w:t>
      </w:r>
      <w:r>
        <w:t xml:space="preserve"> protected plants from further infections by the same pathogen and also induced a necrosis after a mild heat shock, leading to the conclusion that the shift of sensitivity in primed cells causes alterations in the plant´s reactions to its biotic and abiotic environment (Skipp and Deverall, 1973; Sticher </w:t>
      </w:r>
      <w:r w:rsidRPr="00C110A0">
        <w:rPr>
          <w:i/>
        </w:rPr>
        <w:t>et al</w:t>
      </w:r>
      <w:r>
        <w:t>., 1997).</w:t>
      </w:r>
      <w:r w:rsidRPr="00431343">
        <w:rPr>
          <w:bCs/>
        </w:rPr>
        <w:t xml:space="preserve"> Experiments with carnation (</w:t>
      </w:r>
      <w:r w:rsidRPr="00431343">
        <w:rPr>
          <w:bCs/>
          <w:i/>
        </w:rPr>
        <w:t>Dianthus caryophyllus</w:t>
      </w:r>
      <w:r w:rsidRPr="00431343">
        <w:rPr>
          <w:bCs/>
        </w:rPr>
        <w:t xml:space="preserve">) provided strong evidence that priming is an important mechanism in induced systemic resistance (ISR) as well as in SAR. </w:t>
      </w:r>
      <w:r w:rsidR="00C83CE8">
        <w:rPr>
          <w:bCs/>
        </w:rPr>
        <w:t>ISR</w:t>
      </w:r>
      <w:r w:rsidRPr="00431343">
        <w:rPr>
          <w:bCs/>
        </w:rPr>
        <w:t xml:space="preserve"> is invok</w:t>
      </w:r>
      <w:r>
        <w:rPr>
          <w:bCs/>
        </w:rPr>
        <w:t>ed by beneficial microbes, for instance</w:t>
      </w:r>
      <w:r w:rsidRPr="00431343">
        <w:rPr>
          <w:bCs/>
        </w:rPr>
        <w:t xml:space="preserve"> rhizobia that are able to colonise plant roots and form symbioses with the plant. In carnation plants with roots colonised by the non-pathogenic rhizobacterium </w:t>
      </w:r>
      <w:r w:rsidRPr="00431343">
        <w:rPr>
          <w:bCs/>
          <w:i/>
        </w:rPr>
        <w:t>Pseudomonas fluorescens</w:t>
      </w:r>
      <w:r w:rsidRPr="00431343">
        <w:rPr>
          <w:bCs/>
        </w:rPr>
        <w:t xml:space="preserve"> WCS417, phytoalexin levels increased faster upon challenge infection with the pathogenic fungus </w:t>
      </w:r>
      <w:r w:rsidRPr="00431343">
        <w:rPr>
          <w:bCs/>
          <w:i/>
        </w:rPr>
        <w:t>Fusarium oxysporum</w:t>
      </w:r>
      <w:r w:rsidRPr="00431343">
        <w:rPr>
          <w:bCs/>
        </w:rPr>
        <w:t xml:space="preserve"> f.</w:t>
      </w:r>
      <w:r w:rsidR="00C83CE8">
        <w:rPr>
          <w:bCs/>
        </w:rPr>
        <w:t xml:space="preserve"> </w:t>
      </w:r>
      <w:r w:rsidRPr="00431343">
        <w:rPr>
          <w:bCs/>
        </w:rPr>
        <w:t xml:space="preserve">sp. </w:t>
      </w:r>
      <w:r w:rsidRPr="00431343">
        <w:rPr>
          <w:bCs/>
          <w:i/>
        </w:rPr>
        <w:t>dianthi</w:t>
      </w:r>
      <w:r w:rsidRPr="00431343">
        <w:rPr>
          <w:bCs/>
        </w:rPr>
        <w:t xml:space="preserve"> compared to plants without root colonisation (van Peer </w:t>
      </w:r>
      <w:r w:rsidRPr="00431343">
        <w:rPr>
          <w:bCs/>
          <w:i/>
        </w:rPr>
        <w:t>et al.</w:t>
      </w:r>
      <w:r w:rsidRPr="00431343">
        <w:rPr>
          <w:bCs/>
        </w:rPr>
        <w:t xml:space="preserve">, 1991; Conrath </w:t>
      </w:r>
      <w:r w:rsidRPr="00431343">
        <w:rPr>
          <w:bCs/>
          <w:i/>
        </w:rPr>
        <w:t>et al.</w:t>
      </w:r>
      <w:r w:rsidRPr="00431343">
        <w:rPr>
          <w:bCs/>
        </w:rPr>
        <w:t xml:space="preserve">, 2001). </w:t>
      </w:r>
    </w:p>
    <w:p w:rsidR="00431343" w:rsidRPr="00431343" w:rsidRDefault="009C4F75" w:rsidP="00D21BE3">
      <w:pPr>
        <w:spacing w:after="0" w:line="360" w:lineRule="auto"/>
        <w:ind w:firstLine="708"/>
        <w:jc w:val="both"/>
        <w:rPr>
          <w:bCs/>
        </w:rPr>
      </w:pPr>
      <w:r>
        <w:rPr>
          <w:bCs/>
        </w:rPr>
        <w:t xml:space="preserve">It is also possible to prime plant tissue by exogenously applied chemicals. </w:t>
      </w:r>
      <w:r w:rsidR="00C110A0">
        <w:rPr>
          <w:bCs/>
        </w:rPr>
        <w:t xml:space="preserve">In parsley cell cultures, for example, treatment with </w:t>
      </w:r>
      <w:r w:rsidR="00C83CE8">
        <w:rPr>
          <w:bCs/>
        </w:rPr>
        <w:t>SA</w:t>
      </w:r>
      <w:r w:rsidR="00C110A0">
        <w:rPr>
          <w:bCs/>
        </w:rPr>
        <w:t xml:space="preserve"> or its </w:t>
      </w:r>
      <w:r w:rsidR="00B1375A">
        <w:rPr>
          <w:bCs/>
        </w:rPr>
        <w:t>analogue</w:t>
      </w:r>
      <w:r w:rsidR="00C110A0">
        <w:rPr>
          <w:bCs/>
        </w:rPr>
        <w:t xml:space="preserve"> INA enhanced the capability of these cells to synthesise coumarins in r</w:t>
      </w:r>
      <w:r w:rsidR="00C83CE8">
        <w:rPr>
          <w:bCs/>
        </w:rPr>
        <w:t>esponse</w:t>
      </w:r>
      <w:r w:rsidR="00C110A0">
        <w:rPr>
          <w:bCs/>
        </w:rPr>
        <w:t xml:space="preserve"> to an elicitor derived from </w:t>
      </w:r>
      <w:r w:rsidR="00C110A0" w:rsidRPr="00C110A0">
        <w:rPr>
          <w:bCs/>
          <w:i/>
        </w:rPr>
        <w:t>Phytophthora megasperma</w:t>
      </w:r>
      <w:r w:rsidR="00C110A0" w:rsidRPr="00C110A0">
        <w:rPr>
          <w:bCs/>
        </w:rPr>
        <w:t xml:space="preserve"> f.</w:t>
      </w:r>
      <w:r w:rsidR="00C83CE8">
        <w:rPr>
          <w:bCs/>
        </w:rPr>
        <w:t xml:space="preserve"> </w:t>
      </w:r>
      <w:r w:rsidR="00C110A0" w:rsidRPr="00C110A0">
        <w:rPr>
          <w:bCs/>
        </w:rPr>
        <w:t xml:space="preserve">sp. </w:t>
      </w:r>
      <w:r w:rsidR="00C110A0" w:rsidRPr="00C110A0">
        <w:rPr>
          <w:bCs/>
          <w:i/>
        </w:rPr>
        <w:t>glycinea</w:t>
      </w:r>
      <w:r w:rsidR="00C110A0">
        <w:rPr>
          <w:bCs/>
        </w:rPr>
        <w:t xml:space="preserve"> (Kauss </w:t>
      </w:r>
      <w:r w:rsidR="00C110A0" w:rsidRPr="00C110A0">
        <w:rPr>
          <w:bCs/>
          <w:i/>
        </w:rPr>
        <w:t>et al</w:t>
      </w:r>
      <w:r w:rsidR="00C110A0">
        <w:rPr>
          <w:bCs/>
        </w:rPr>
        <w:t xml:space="preserve">., 1992; Sticher </w:t>
      </w:r>
      <w:r w:rsidR="00C110A0" w:rsidRPr="00C110A0">
        <w:rPr>
          <w:bCs/>
          <w:i/>
        </w:rPr>
        <w:t>et al</w:t>
      </w:r>
      <w:r w:rsidR="00C110A0">
        <w:rPr>
          <w:bCs/>
        </w:rPr>
        <w:t xml:space="preserve">., 1997). </w:t>
      </w:r>
      <w:r w:rsidR="00B1375A">
        <w:rPr>
          <w:bCs/>
        </w:rPr>
        <w:t xml:space="preserve">In further experiments with this cell culture system it was shown that </w:t>
      </w:r>
      <w:r w:rsidR="00F35CB6">
        <w:rPr>
          <w:bCs/>
        </w:rPr>
        <w:t>cells primed by SA, INA, or BTH</w:t>
      </w:r>
      <w:r w:rsidR="00B1375A">
        <w:rPr>
          <w:bCs/>
        </w:rPr>
        <w:t xml:space="preserve"> also enhanced the elicitation of the oxidative burst, secretion of cell wall phenolics, phytoalexin </w:t>
      </w:r>
      <w:r w:rsidR="00B1375A">
        <w:rPr>
          <w:bCs/>
        </w:rPr>
        <w:lastRenderedPageBreak/>
        <w:t>production, and expression of defence genes</w:t>
      </w:r>
      <w:r w:rsidR="00F35CB6">
        <w:rPr>
          <w:bCs/>
        </w:rPr>
        <w:t xml:space="preserve"> (</w:t>
      </w:r>
      <w:r w:rsidR="008F342A" w:rsidRPr="008F342A">
        <w:rPr>
          <w:bCs/>
        </w:rPr>
        <w:t xml:space="preserve">Kauss </w:t>
      </w:r>
      <w:r w:rsidR="008F342A" w:rsidRPr="008F342A">
        <w:rPr>
          <w:bCs/>
          <w:i/>
        </w:rPr>
        <w:t>et al.</w:t>
      </w:r>
      <w:r w:rsidR="008F342A" w:rsidRPr="008F342A">
        <w:rPr>
          <w:bCs/>
        </w:rPr>
        <w:t>, 1992</w:t>
      </w:r>
      <w:r w:rsidR="008F342A">
        <w:rPr>
          <w:bCs/>
        </w:rPr>
        <w:t xml:space="preserve">; </w:t>
      </w:r>
      <w:r w:rsidR="008F342A" w:rsidRPr="008F342A">
        <w:rPr>
          <w:bCs/>
        </w:rPr>
        <w:t xml:space="preserve">Kauss </w:t>
      </w:r>
      <w:r w:rsidR="008F342A" w:rsidRPr="008F342A">
        <w:rPr>
          <w:bCs/>
          <w:i/>
        </w:rPr>
        <w:t>et al.</w:t>
      </w:r>
      <w:r w:rsidR="008F342A" w:rsidRPr="008F342A">
        <w:rPr>
          <w:bCs/>
        </w:rPr>
        <w:t>, 1993</w:t>
      </w:r>
      <w:r w:rsidR="008F342A">
        <w:rPr>
          <w:bCs/>
        </w:rPr>
        <w:t>; Kauss and Jeblick, 1995</w:t>
      </w:r>
      <w:r w:rsidR="00F35CB6">
        <w:rPr>
          <w:bCs/>
        </w:rPr>
        <w:t xml:space="preserve">; Mur </w:t>
      </w:r>
      <w:r w:rsidR="00F35CB6" w:rsidRPr="00DE1D65">
        <w:rPr>
          <w:bCs/>
          <w:i/>
        </w:rPr>
        <w:t>et al.</w:t>
      </w:r>
      <w:r w:rsidR="00F35CB6">
        <w:rPr>
          <w:bCs/>
        </w:rPr>
        <w:t xml:space="preserve">, 1996; Thulke and Conrath, 1998; Zimmerli </w:t>
      </w:r>
      <w:r w:rsidR="00F35CB6" w:rsidRPr="00DE1D65">
        <w:rPr>
          <w:bCs/>
          <w:i/>
        </w:rPr>
        <w:t>et al.</w:t>
      </w:r>
      <w:r w:rsidR="00F35CB6">
        <w:rPr>
          <w:bCs/>
        </w:rPr>
        <w:t xml:space="preserve">, 2001). </w:t>
      </w:r>
    </w:p>
    <w:p w:rsidR="00C83CE8" w:rsidRDefault="00C83CE8" w:rsidP="00FC7225">
      <w:pPr>
        <w:keepNext/>
        <w:spacing w:after="0" w:line="360" w:lineRule="auto"/>
        <w:jc w:val="both"/>
        <w:rPr>
          <w:bCs/>
        </w:rPr>
      </w:pPr>
    </w:p>
    <w:p w:rsidR="007E43C6" w:rsidRDefault="006B0405" w:rsidP="00FC7225">
      <w:pPr>
        <w:keepNext/>
        <w:spacing w:after="0" w:line="360" w:lineRule="auto"/>
        <w:jc w:val="both"/>
      </w:pPr>
      <w:r w:rsidRPr="006B0405">
        <w:rPr>
          <w:b/>
          <w:noProof/>
          <w:lang w:val="de-DE" w:eastAsia="de-DE"/>
        </w:rPr>
        <w:drawing>
          <wp:anchor distT="0" distB="0" distL="114300" distR="114300" simplePos="0" relativeHeight="251674624" behindDoc="0" locked="0" layoutInCell="1" allowOverlap="1" wp14:anchorId="6A3FDD7D" wp14:editId="2F20F807">
            <wp:simplePos x="895350" y="895350"/>
            <wp:positionH relativeFrom="page">
              <wp:align>center</wp:align>
            </wp:positionH>
            <wp:positionV relativeFrom="paragraph">
              <wp:posOffset>-3810</wp:posOffset>
            </wp:positionV>
            <wp:extent cx="3600000" cy="3572215"/>
            <wp:effectExtent l="19050" t="19050" r="19685" b="28575"/>
            <wp:wrapTopAndBottom/>
            <wp:docPr id="25" name="Grafi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ress imprint_Bruce2007.png"/>
                    <pic:cNvPicPr/>
                  </pic:nvPicPr>
                  <pic:blipFill>
                    <a:blip r:embed="rId31">
                      <a:extLst>
                        <a:ext uri="{28A0092B-C50C-407E-A947-70E740481C1C}">
                          <a14:useLocalDpi xmlns:a14="http://schemas.microsoft.com/office/drawing/2010/main" val="0"/>
                        </a:ext>
                      </a:extLst>
                    </a:blip>
                    <a:stretch>
                      <a:fillRect/>
                    </a:stretch>
                  </pic:blipFill>
                  <pic:spPr>
                    <a:xfrm>
                      <a:off x="0" y="0"/>
                      <a:ext cx="3600000" cy="3572215"/>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p>
    <w:p w:rsidR="00D94965" w:rsidRPr="00EB4CFA" w:rsidRDefault="007E43C6" w:rsidP="00C83CE8">
      <w:pPr>
        <w:pStyle w:val="Beschriftung"/>
        <w:spacing w:after="0" w:line="360" w:lineRule="auto"/>
        <w:jc w:val="both"/>
        <w:rPr>
          <w:color w:val="auto"/>
          <w:lang w:val="en-US"/>
        </w:rPr>
      </w:pPr>
      <w:bookmarkStart w:id="29" w:name="_Toc435621133"/>
      <w:proofErr w:type="gramStart"/>
      <w:r w:rsidRPr="00EB4CFA">
        <w:rPr>
          <w:color w:val="auto"/>
        </w:rPr>
        <w:t xml:space="preserve">Figure </w:t>
      </w:r>
      <w:r w:rsidRPr="00EB4CFA">
        <w:rPr>
          <w:color w:val="auto"/>
        </w:rPr>
        <w:fldChar w:fldCharType="begin"/>
      </w:r>
      <w:r w:rsidRPr="00EB4CFA">
        <w:rPr>
          <w:color w:val="auto"/>
        </w:rPr>
        <w:instrText xml:space="preserve"> SEQ Figure \* ARABIC </w:instrText>
      </w:r>
      <w:r w:rsidRPr="00EB4CFA">
        <w:rPr>
          <w:color w:val="auto"/>
        </w:rPr>
        <w:fldChar w:fldCharType="separate"/>
      </w:r>
      <w:r w:rsidR="00CB17FE">
        <w:rPr>
          <w:noProof/>
          <w:color w:val="auto"/>
        </w:rPr>
        <w:t>15</w:t>
      </w:r>
      <w:r w:rsidRPr="00EB4CFA">
        <w:rPr>
          <w:color w:val="auto"/>
        </w:rPr>
        <w:fldChar w:fldCharType="end"/>
      </w:r>
      <w:r w:rsidR="00CF1261">
        <w:rPr>
          <w:color w:val="auto"/>
        </w:rPr>
        <w:t>.</w:t>
      </w:r>
      <w:proofErr w:type="gramEnd"/>
      <w:r w:rsidRPr="00EB4CFA">
        <w:rPr>
          <w:color w:val="auto"/>
        </w:rPr>
        <w:t xml:space="preserve"> </w:t>
      </w:r>
      <w:r w:rsidR="00BB4473" w:rsidRPr="00EB4CFA">
        <w:rPr>
          <w:color w:val="auto"/>
          <w:lang w:val="en-US"/>
        </w:rPr>
        <w:t>Schematic m</w:t>
      </w:r>
      <w:r w:rsidRPr="00EB4CFA">
        <w:rPr>
          <w:color w:val="auto"/>
          <w:lang w:val="en-US"/>
        </w:rPr>
        <w:t>odel to explain the generation of stress imprint following priming.</w:t>
      </w:r>
      <w:bookmarkEnd w:id="29"/>
      <w:r w:rsidRPr="00EB4CFA">
        <w:rPr>
          <w:color w:val="auto"/>
          <w:lang w:val="en-US"/>
        </w:rPr>
        <w:t xml:space="preserve"> </w:t>
      </w:r>
    </w:p>
    <w:p w:rsidR="007E43C6" w:rsidRPr="00EB4CFA" w:rsidRDefault="007E43C6" w:rsidP="007E43C6">
      <w:pPr>
        <w:pStyle w:val="Beschriftung"/>
        <w:jc w:val="both"/>
        <w:rPr>
          <w:b w:val="0"/>
          <w:color w:val="auto"/>
          <w:lang w:val="en-US"/>
        </w:rPr>
      </w:pPr>
      <w:r w:rsidRPr="00EB4CFA">
        <w:rPr>
          <w:b w:val="0"/>
          <w:color w:val="auto"/>
          <w:lang w:val="en-US"/>
        </w:rPr>
        <w:t>Stress imprint could be generated by accumulation of (preformed) proteins and/or transcription factors in cells (mechanism 1) on the one hand and epigenetic changes (mechanism 2) on the other hand. A combination of both mechanisms to achieve an enhanced physiological response in</w:t>
      </w:r>
      <w:r w:rsidR="00C3637D" w:rsidRPr="00EB4CFA">
        <w:rPr>
          <w:b w:val="0"/>
          <w:color w:val="auto"/>
          <w:lang w:val="en-US"/>
        </w:rPr>
        <w:t xml:space="preserve"> primed plants is possible, too</w:t>
      </w:r>
      <w:r w:rsidRPr="00EB4CFA">
        <w:rPr>
          <w:b w:val="0"/>
          <w:color w:val="auto"/>
          <w:lang w:val="en-US"/>
        </w:rPr>
        <w:t xml:space="preserve"> </w:t>
      </w:r>
      <w:r w:rsidR="00C3637D" w:rsidRPr="00EB4CFA">
        <w:rPr>
          <w:b w:val="0"/>
          <w:color w:val="auto"/>
          <w:lang w:val="en-US"/>
        </w:rPr>
        <w:t>(</w:t>
      </w:r>
      <w:r w:rsidRPr="00EB4CFA">
        <w:rPr>
          <w:b w:val="0"/>
          <w:color w:val="auto"/>
          <w:lang w:val="en-US"/>
        </w:rPr>
        <w:t xml:space="preserve">Bruce </w:t>
      </w:r>
      <w:r w:rsidRPr="00EB4CFA">
        <w:rPr>
          <w:b w:val="0"/>
          <w:i/>
          <w:color w:val="auto"/>
          <w:lang w:val="en-US"/>
        </w:rPr>
        <w:t>et al</w:t>
      </w:r>
      <w:r w:rsidRPr="00EB4CFA">
        <w:rPr>
          <w:b w:val="0"/>
          <w:color w:val="auto"/>
          <w:lang w:val="en-US"/>
        </w:rPr>
        <w:t>., 2007</w:t>
      </w:r>
      <w:r w:rsidR="00C3637D" w:rsidRPr="00EB4CFA">
        <w:rPr>
          <w:b w:val="0"/>
          <w:color w:val="auto"/>
          <w:lang w:val="en-US"/>
        </w:rPr>
        <w:t>)</w:t>
      </w:r>
      <w:r w:rsidRPr="00EB4CFA">
        <w:rPr>
          <w:b w:val="0"/>
          <w:color w:val="auto"/>
          <w:lang w:val="en-US"/>
        </w:rPr>
        <w:t>.</w:t>
      </w:r>
    </w:p>
    <w:p w:rsidR="00AD6995" w:rsidRDefault="00C83CE8" w:rsidP="00FC7225">
      <w:pPr>
        <w:spacing w:after="0" w:line="360" w:lineRule="auto"/>
        <w:jc w:val="both"/>
        <w:rPr>
          <w:bCs/>
        </w:rPr>
      </w:pPr>
      <w:r>
        <w:rPr>
          <w:bCs/>
        </w:rPr>
        <w:t xml:space="preserve">Mur </w:t>
      </w:r>
      <w:r w:rsidRPr="006F01FD">
        <w:rPr>
          <w:bCs/>
          <w:i/>
        </w:rPr>
        <w:t>et al</w:t>
      </w:r>
      <w:r>
        <w:rPr>
          <w:bCs/>
        </w:rPr>
        <w:t xml:space="preserve">. </w:t>
      </w:r>
      <w:r w:rsidR="00D21BE3">
        <w:rPr>
          <w:bCs/>
        </w:rPr>
        <w:t xml:space="preserve">(1996) </w:t>
      </w:r>
      <w:r>
        <w:rPr>
          <w:bCs/>
        </w:rPr>
        <w:t xml:space="preserve">provided evidence that SA is able to enhance the expression of SA-independent genes, which are induced after pathogen attack or wounding (Mur </w:t>
      </w:r>
      <w:r w:rsidRPr="00810B07">
        <w:rPr>
          <w:bCs/>
          <w:i/>
        </w:rPr>
        <w:t>et al</w:t>
      </w:r>
      <w:r>
        <w:rPr>
          <w:bCs/>
        </w:rPr>
        <w:t xml:space="preserve">., 1996; Sticher </w:t>
      </w:r>
      <w:r w:rsidRPr="00810B07">
        <w:rPr>
          <w:bCs/>
          <w:i/>
        </w:rPr>
        <w:t>et al</w:t>
      </w:r>
      <w:r>
        <w:rPr>
          <w:bCs/>
        </w:rPr>
        <w:t xml:space="preserve">., 1997). </w:t>
      </w:r>
      <w:r w:rsidRPr="00431343">
        <w:rPr>
          <w:bCs/>
        </w:rPr>
        <w:t xml:space="preserve">The non-protein amino acid </w:t>
      </w:r>
      <w:r>
        <w:rPr>
          <w:bCs/>
        </w:rPr>
        <w:t>BABA</w:t>
      </w:r>
      <w:r w:rsidRPr="00431343">
        <w:rPr>
          <w:bCs/>
        </w:rPr>
        <w:t xml:space="preserve"> was shown to heighten the expression of the defence-related </w:t>
      </w:r>
      <w:r w:rsidRPr="00431343">
        <w:rPr>
          <w:bCs/>
          <w:i/>
        </w:rPr>
        <w:t>PR-1</w:t>
      </w:r>
      <w:r w:rsidRPr="00431343">
        <w:rPr>
          <w:bCs/>
        </w:rPr>
        <w:t xml:space="preserve"> gene in response to attack by virulent bacteria and also enabled the plant to activate </w:t>
      </w:r>
      <w:r w:rsidRPr="00431343">
        <w:rPr>
          <w:bCs/>
          <w:i/>
        </w:rPr>
        <w:t>PR-1</w:t>
      </w:r>
      <w:r w:rsidRPr="00431343">
        <w:rPr>
          <w:bCs/>
        </w:rPr>
        <w:t xml:space="preserve"> expression much faster than in control plants (Zimmerli </w:t>
      </w:r>
      <w:r w:rsidRPr="00431343">
        <w:rPr>
          <w:bCs/>
          <w:i/>
        </w:rPr>
        <w:t>et al</w:t>
      </w:r>
      <w:r w:rsidRPr="00431343">
        <w:rPr>
          <w:bCs/>
        </w:rPr>
        <w:t xml:space="preserve">., 2000). This amino acid also induced resistance against the biotrophic oomycete </w:t>
      </w:r>
      <w:r>
        <w:rPr>
          <w:bCs/>
          <w:i/>
        </w:rPr>
        <w:t>Hpa</w:t>
      </w:r>
      <w:r w:rsidRPr="00431343">
        <w:rPr>
          <w:bCs/>
        </w:rPr>
        <w:t xml:space="preserve"> and the necrotrophic fungus </w:t>
      </w:r>
      <w:r>
        <w:rPr>
          <w:bCs/>
          <w:i/>
        </w:rPr>
        <w:t>B.</w:t>
      </w:r>
      <w:r w:rsidRPr="00431343">
        <w:rPr>
          <w:bCs/>
          <w:i/>
        </w:rPr>
        <w:t xml:space="preserve"> cinerea</w:t>
      </w:r>
      <w:r w:rsidRPr="00431343">
        <w:rPr>
          <w:bCs/>
        </w:rPr>
        <w:t xml:space="preserve"> (Zimmerli </w:t>
      </w:r>
      <w:r w:rsidRPr="00431343">
        <w:rPr>
          <w:bCs/>
          <w:i/>
        </w:rPr>
        <w:t>et al</w:t>
      </w:r>
      <w:r w:rsidRPr="00431343">
        <w:rPr>
          <w:bCs/>
        </w:rPr>
        <w:t xml:space="preserve">., 2000; Zimmerli </w:t>
      </w:r>
      <w:r w:rsidRPr="00431343">
        <w:rPr>
          <w:bCs/>
          <w:i/>
        </w:rPr>
        <w:t>et al</w:t>
      </w:r>
      <w:r w:rsidRPr="00431343">
        <w:rPr>
          <w:bCs/>
        </w:rPr>
        <w:t xml:space="preserve">., 2001) and was shown to protect plants against osmotic stress (Ton </w:t>
      </w:r>
      <w:r w:rsidRPr="00431343">
        <w:rPr>
          <w:bCs/>
          <w:i/>
        </w:rPr>
        <w:t>et al</w:t>
      </w:r>
      <w:r w:rsidRPr="00431343">
        <w:rPr>
          <w:bCs/>
        </w:rPr>
        <w:t xml:space="preserve">., 2004; Ton </w:t>
      </w:r>
      <w:r w:rsidRPr="00431343">
        <w:rPr>
          <w:bCs/>
          <w:i/>
        </w:rPr>
        <w:t>et al.</w:t>
      </w:r>
      <w:r w:rsidRPr="00431343">
        <w:rPr>
          <w:bCs/>
        </w:rPr>
        <w:t xml:space="preserve">, 2005). </w:t>
      </w:r>
      <w:r>
        <w:rPr>
          <w:bCs/>
        </w:rPr>
        <w:t>An endogenously produced</w:t>
      </w:r>
      <w:r w:rsidRPr="00BB4473">
        <w:rPr>
          <w:bCs/>
        </w:rPr>
        <w:t xml:space="preserve"> non-protein </w:t>
      </w:r>
      <w:r>
        <w:rPr>
          <w:bCs/>
        </w:rPr>
        <w:t>amino acid, Pip, was shown to not only induce</w:t>
      </w:r>
      <w:r w:rsidRPr="00BB4473">
        <w:rPr>
          <w:bCs/>
        </w:rPr>
        <w:t xml:space="preserve"> defence against </w:t>
      </w:r>
      <w:r>
        <w:rPr>
          <w:bCs/>
          <w:i/>
        </w:rPr>
        <w:t>Psm</w:t>
      </w:r>
      <w:r>
        <w:rPr>
          <w:bCs/>
        </w:rPr>
        <w:t xml:space="preserve"> after exogenous application, but also</w:t>
      </w:r>
      <w:r w:rsidRPr="00BB4473">
        <w:rPr>
          <w:bCs/>
        </w:rPr>
        <w:t xml:space="preserve"> potentiated expression of a number of defence-related genes as well as accumulation of the phytoalexin camalexin after challenge infection with </w:t>
      </w:r>
      <w:r w:rsidRPr="00BB4473">
        <w:rPr>
          <w:bCs/>
          <w:i/>
        </w:rPr>
        <w:t>Psm</w:t>
      </w:r>
      <w:r w:rsidRPr="00BB4473">
        <w:rPr>
          <w:bCs/>
        </w:rPr>
        <w:t xml:space="preserve"> (Návarová </w:t>
      </w:r>
      <w:r w:rsidRPr="00BB4473">
        <w:rPr>
          <w:bCs/>
          <w:i/>
        </w:rPr>
        <w:t>et al</w:t>
      </w:r>
      <w:r>
        <w:rPr>
          <w:bCs/>
        </w:rPr>
        <w:t>., 2012).</w:t>
      </w:r>
      <w:r w:rsidRPr="0005164A">
        <w:rPr>
          <w:bCs/>
        </w:rPr>
        <w:t xml:space="preserve"> </w:t>
      </w:r>
      <w:r w:rsidRPr="00431343">
        <w:rPr>
          <w:bCs/>
        </w:rPr>
        <w:t xml:space="preserve">Other chemical inducers of priming include the nine-carbon dicarboxylic acid azelaic acid, which was shown to prime SA-accumulation upon infection with the bacterial pathogen </w:t>
      </w:r>
      <w:r>
        <w:rPr>
          <w:bCs/>
          <w:i/>
        </w:rPr>
        <w:t>Psm</w:t>
      </w:r>
      <w:r w:rsidRPr="00431343">
        <w:rPr>
          <w:bCs/>
        </w:rPr>
        <w:t xml:space="preserve"> (Jung </w:t>
      </w:r>
      <w:r w:rsidRPr="00431343">
        <w:rPr>
          <w:bCs/>
          <w:i/>
        </w:rPr>
        <w:t>et al</w:t>
      </w:r>
      <w:r w:rsidRPr="00431343">
        <w:rPr>
          <w:bCs/>
        </w:rPr>
        <w:t xml:space="preserve">., 2009); </w:t>
      </w:r>
      <w:r w:rsidRPr="00431343">
        <w:rPr>
          <w:bCs/>
        </w:rPr>
        <w:lastRenderedPageBreak/>
        <w:t xml:space="preserve">thiamine that potentiated </w:t>
      </w:r>
      <w:r w:rsidRPr="00BB4473">
        <w:rPr>
          <w:bCs/>
          <w:i/>
        </w:rPr>
        <w:t>PR-1</w:t>
      </w:r>
      <w:r w:rsidRPr="00431343">
        <w:rPr>
          <w:bCs/>
        </w:rPr>
        <w:t xml:space="preserve"> expression in response to </w:t>
      </w:r>
      <w:r w:rsidRPr="00431343">
        <w:rPr>
          <w:bCs/>
          <w:i/>
        </w:rPr>
        <w:t>Psm</w:t>
      </w:r>
      <w:r w:rsidRPr="00431343">
        <w:rPr>
          <w:bCs/>
        </w:rPr>
        <w:t xml:space="preserve"> (Ahn </w:t>
      </w:r>
      <w:r w:rsidRPr="00431343">
        <w:rPr>
          <w:bCs/>
          <w:i/>
        </w:rPr>
        <w:t>et al</w:t>
      </w:r>
      <w:r w:rsidRPr="00431343">
        <w:rPr>
          <w:bCs/>
        </w:rPr>
        <w:t xml:space="preserve">., 2007); and several amino acids including D-phenylalanine, D-alanine, and DL-tryptophan, which primed apple trees against scab (Kuc </w:t>
      </w:r>
      <w:r w:rsidRPr="00431343">
        <w:rPr>
          <w:bCs/>
          <w:i/>
        </w:rPr>
        <w:t>et al</w:t>
      </w:r>
      <w:r w:rsidRPr="00431343">
        <w:rPr>
          <w:bCs/>
        </w:rPr>
        <w:t xml:space="preserve">., 1957; Kuc </w:t>
      </w:r>
      <w:r w:rsidRPr="00431343">
        <w:rPr>
          <w:bCs/>
          <w:i/>
        </w:rPr>
        <w:t>et al</w:t>
      </w:r>
      <w:r w:rsidRPr="00431343">
        <w:rPr>
          <w:bCs/>
        </w:rPr>
        <w:t xml:space="preserve">., 1959), and D-serine, D-threonine, and L-threo-β-phenylserine that induced resistance in cucumber against the pathogen </w:t>
      </w:r>
      <w:r w:rsidRPr="00431343">
        <w:rPr>
          <w:bCs/>
          <w:i/>
        </w:rPr>
        <w:t>Cladosporium cucumerinum</w:t>
      </w:r>
      <w:r>
        <w:rPr>
          <w:bCs/>
        </w:rPr>
        <w:t xml:space="preserve"> (van Andel, 1958). </w:t>
      </w:r>
      <w:r w:rsidR="00F35CB6" w:rsidRPr="006B0405">
        <w:rPr>
          <w:bCs/>
        </w:rPr>
        <w:t>An obvious advantage in enabling the plant to react faster and more efficiently to a threat by priming</w:t>
      </w:r>
      <w:r w:rsidR="00F35CB6">
        <w:rPr>
          <w:bCs/>
        </w:rPr>
        <w:t>,</w:t>
      </w:r>
      <w:r w:rsidR="00F35CB6" w:rsidRPr="006B0405">
        <w:rPr>
          <w:bCs/>
        </w:rPr>
        <w:t xml:space="preserve"> compared to </w:t>
      </w:r>
      <w:r>
        <w:rPr>
          <w:bCs/>
        </w:rPr>
        <w:t xml:space="preserve">the </w:t>
      </w:r>
      <w:r w:rsidR="00F35CB6" w:rsidRPr="006B0405">
        <w:rPr>
          <w:bCs/>
        </w:rPr>
        <w:t>constitutive activation of defence responses</w:t>
      </w:r>
      <w:r w:rsidR="00F35CB6">
        <w:rPr>
          <w:bCs/>
        </w:rPr>
        <w:t>,</w:t>
      </w:r>
      <w:r w:rsidR="00F35CB6" w:rsidRPr="006B0405">
        <w:rPr>
          <w:bCs/>
        </w:rPr>
        <w:t xml:space="preserve"> is a cost-efficient management of energy resources (Bruce </w:t>
      </w:r>
      <w:r w:rsidR="00F35CB6" w:rsidRPr="006B0405">
        <w:rPr>
          <w:bCs/>
          <w:i/>
        </w:rPr>
        <w:t>et al</w:t>
      </w:r>
      <w:r w:rsidR="00431343">
        <w:rPr>
          <w:bCs/>
        </w:rPr>
        <w:t xml:space="preserve">., 2007). </w:t>
      </w:r>
    </w:p>
    <w:p w:rsidR="00D21BE3" w:rsidRDefault="00D21BE3" w:rsidP="00FC7225">
      <w:pPr>
        <w:spacing w:after="0" w:line="360" w:lineRule="auto"/>
        <w:jc w:val="both"/>
        <w:rPr>
          <w:bCs/>
        </w:rPr>
      </w:pPr>
    </w:p>
    <w:p w:rsidR="00D52AD4" w:rsidRPr="00CB457D" w:rsidRDefault="006B0405" w:rsidP="00FC7225">
      <w:pPr>
        <w:spacing w:after="0" w:line="360" w:lineRule="auto"/>
        <w:jc w:val="both"/>
        <w:rPr>
          <w:bCs/>
          <w:lang w:val="en-US"/>
        </w:rPr>
      </w:pPr>
      <w:r w:rsidRPr="006B0405">
        <w:rPr>
          <w:noProof/>
          <w:lang w:val="de-DE" w:eastAsia="de-DE"/>
        </w:rPr>
        <w:drawing>
          <wp:anchor distT="0" distB="0" distL="114300" distR="114300" simplePos="0" relativeHeight="251675648" behindDoc="0" locked="0" layoutInCell="1" allowOverlap="1" wp14:anchorId="1ED7E270" wp14:editId="5B169783">
            <wp:simplePos x="895350" y="895350"/>
            <wp:positionH relativeFrom="page">
              <wp:align>center</wp:align>
            </wp:positionH>
            <wp:positionV relativeFrom="paragraph">
              <wp:posOffset>-3810</wp:posOffset>
            </wp:positionV>
            <wp:extent cx="5400000" cy="1896064"/>
            <wp:effectExtent l="19050" t="19050" r="10795" b="28575"/>
            <wp:wrapTopAndBottom/>
            <wp:docPr id="26" name="Grafi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romatin modifications as storage of priming signal_Conrath2011.png"/>
                    <pic:cNvPicPr/>
                  </pic:nvPicPr>
                  <pic:blipFill>
                    <a:blip r:embed="rId32">
                      <a:extLst>
                        <a:ext uri="{28A0092B-C50C-407E-A947-70E740481C1C}">
                          <a14:useLocalDpi xmlns:a14="http://schemas.microsoft.com/office/drawing/2010/main" val="0"/>
                        </a:ext>
                      </a:extLst>
                    </a:blip>
                    <a:stretch>
                      <a:fillRect/>
                    </a:stretch>
                  </pic:blipFill>
                  <pic:spPr>
                    <a:xfrm>
                      <a:off x="0" y="0"/>
                      <a:ext cx="5400000" cy="1896064"/>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p>
    <w:p w:rsidR="00D94965" w:rsidRPr="00EB4CFA" w:rsidRDefault="00D52AD4" w:rsidP="008109BE">
      <w:pPr>
        <w:pStyle w:val="Beschriftung"/>
        <w:spacing w:after="0" w:line="360" w:lineRule="auto"/>
        <w:jc w:val="both"/>
        <w:rPr>
          <w:color w:val="auto"/>
          <w:lang w:val="en-US"/>
        </w:rPr>
      </w:pPr>
      <w:bookmarkStart w:id="30" w:name="_Toc435621134"/>
      <w:proofErr w:type="gramStart"/>
      <w:r w:rsidRPr="00EB4CFA">
        <w:rPr>
          <w:color w:val="auto"/>
        </w:rPr>
        <w:t xml:space="preserve">Figure </w:t>
      </w:r>
      <w:r w:rsidRPr="00EB4CFA">
        <w:rPr>
          <w:color w:val="auto"/>
        </w:rPr>
        <w:fldChar w:fldCharType="begin"/>
      </w:r>
      <w:r w:rsidRPr="00EB4CFA">
        <w:rPr>
          <w:color w:val="auto"/>
        </w:rPr>
        <w:instrText xml:space="preserve"> SEQ Figure \* ARABIC </w:instrText>
      </w:r>
      <w:r w:rsidRPr="00EB4CFA">
        <w:rPr>
          <w:color w:val="auto"/>
        </w:rPr>
        <w:fldChar w:fldCharType="separate"/>
      </w:r>
      <w:r w:rsidR="00CB17FE">
        <w:rPr>
          <w:noProof/>
          <w:color w:val="auto"/>
        </w:rPr>
        <w:t>16</w:t>
      </w:r>
      <w:r w:rsidRPr="00EB4CFA">
        <w:rPr>
          <w:color w:val="auto"/>
        </w:rPr>
        <w:fldChar w:fldCharType="end"/>
      </w:r>
      <w:r w:rsidR="00CF1261">
        <w:rPr>
          <w:color w:val="auto"/>
        </w:rPr>
        <w:t>.</w:t>
      </w:r>
      <w:proofErr w:type="gramEnd"/>
      <w:r w:rsidRPr="00EB4CFA">
        <w:rPr>
          <w:color w:val="auto"/>
        </w:rPr>
        <w:t xml:space="preserve"> </w:t>
      </w:r>
      <w:proofErr w:type="gramStart"/>
      <w:r w:rsidR="00AD6995" w:rsidRPr="00EB4CFA">
        <w:rPr>
          <w:color w:val="auto"/>
          <w:lang w:val="en-US"/>
        </w:rPr>
        <w:t>Chromatin modifications as a</w:t>
      </w:r>
      <w:r w:rsidRPr="00EB4CFA">
        <w:rPr>
          <w:color w:val="auto"/>
          <w:lang w:val="en-US"/>
        </w:rPr>
        <w:t xml:space="preserve"> possible mechanism for priming of gene expression.</w:t>
      </w:r>
      <w:bookmarkEnd w:id="30"/>
      <w:proofErr w:type="gramEnd"/>
      <w:r w:rsidRPr="00EB4CFA">
        <w:rPr>
          <w:color w:val="auto"/>
          <w:lang w:val="en-US"/>
        </w:rPr>
        <w:t xml:space="preserve"> </w:t>
      </w:r>
    </w:p>
    <w:p w:rsidR="006B0405" w:rsidRPr="00EB4CFA" w:rsidRDefault="00D52AD4" w:rsidP="00D52AD4">
      <w:pPr>
        <w:pStyle w:val="Beschriftung"/>
        <w:jc w:val="both"/>
        <w:rPr>
          <w:b w:val="0"/>
          <w:color w:val="auto"/>
          <w:lang w:val="en-US"/>
        </w:rPr>
      </w:pPr>
      <w:r w:rsidRPr="00EB4CFA">
        <w:rPr>
          <w:b w:val="0"/>
          <w:color w:val="auto"/>
          <w:lang w:val="en-US"/>
        </w:rPr>
        <w:t>In inactive genes the chromatin structure is tightly</w:t>
      </w:r>
      <w:r w:rsidR="00AA27BB" w:rsidRPr="00EB4CFA">
        <w:rPr>
          <w:b w:val="0"/>
          <w:color w:val="auto"/>
          <w:lang w:val="en-US"/>
        </w:rPr>
        <w:t xml:space="preserve"> packed with genomic DNA</w:t>
      </w:r>
      <w:r w:rsidRPr="00EB4CFA">
        <w:rPr>
          <w:b w:val="0"/>
          <w:color w:val="auto"/>
          <w:lang w:val="en-US"/>
        </w:rPr>
        <w:t xml:space="preserve"> wrapped around histone proteins (1), Genes primed for expression show characteristics of a more open chromatin structure (2). This is achieved by modifications to Lys</w:t>
      </w:r>
      <w:r w:rsidR="00D21BE3">
        <w:rPr>
          <w:b w:val="0"/>
          <w:color w:val="auto"/>
          <w:lang w:val="en-US"/>
        </w:rPr>
        <w:t>-</w:t>
      </w:r>
      <w:r w:rsidRPr="00EB4CFA">
        <w:rPr>
          <w:b w:val="0"/>
          <w:color w:val="auto"/>
          <w:lang w:val="en-US"/>
        </w:rPr>
        <w:t>residues in histone proteins, which decrease ionic interactions between proteins and DNA. These modifications might also offer ´docking sites´ for transcription co-activators, chromatin remodelling facto</w:t>
      </w:r>
      <w:r w:rsidR="00AA27BB" w:rsidRPr="00EB4CFA">
        <w:rPr>
          <w:b w:val="0"/>
          <w:color w:val="auto"/>
          <w:lang w:val="en-US"/>
        </w:rPr>
        <w:t>rs, and other proteins (3). Perception of</w:t>
      </w:r>
      <w:r w:rsidRPr="00EB4CFA">
        <w:rPr>
          <w:b w:val="0"/>
          <w:color w:val="auto"/>
          <w:lang w:val="en-US"/>
        </w:rPr>
        <w:t xml:space="preserve"> an additional stimulus</w:t>
      </w:r>
      <w:r w:rsidR="00AA27BB" w:rsidRPr="00EB4CFA">
        <w:rPr>
          <w:b w:val="0"/>
          <w:color w:val="auto"/>
          <w:lang w:val="en-US"/>
        </w:rPr>
        <w:t xml:space="preserve"> enables</w:t>
      </w:r>
      <w:r w:rsidRPr="00EB4CFA">
        <w:rPr>
          <w:b w:val="0"/>
          <w:color w:val="auto"/>
          <w:lang w:val="en-US"/>
        </w:rPr>
        <w:t xml:space="preserve"> this ´loa</w:t>
      </w:r>
      <w:r w:rsidR="00AA27BB" w:rsidRPr="00EB4CFA">
        <w:rPr>
          <w:b w:val="0"/>
          <w:color w:val="auto"/>
          <w:lang w:val="en-US"/>
        </w:rPr>
        <w:t>ded´ gene to</w:t>
      </w:r>
      <w:r w:rsidRPr="00EB4CFA">
        <w:rPr>
          <w:b w:val="0"/>
          <w:color w:val="auto"/>
          <w:lang w:val="en-US"/>
        </w:rPr>
        <w:t xml:space="preserve"> be transcribed immediately, leading to enhanced activation of gene</w:t>
      </w:r>
      <w:r w:rsidR="00C3637D" w:rsidRPr="00EB4CFA">
        <w:rPr>
          <w:b w:val="0"/>
          <w:color w:val="auto"/>
          <w:lang w:val="en-US"/>
        </w:rPr>
        <w:t xml:space="preserve"> expression (4)</w:t>
      </w:r>
      <w:r w:rsidR="00F86139" w:rsidRPr="00EB4CFA">
        <w:rPr>
          <w:b w:val="0"/>
          <w:color w:val="auto"/>
          <w:lang w:val="en-US"/>
        </w:rPr>
        <w:t xml:space="preserve"> </w:t>
      </w:r>
      <w:r w:rsidR="00C3637D" w:rsidRPr="00EB4CFA">
        <w:rPr>
          <w:b w:val="0"/>
          <w:color w:val="auto"/>
          <w:lang w:val="en-US"/>
        </w:rPr>
        <w:t>(</w:t>
      </w:r>
      <w:r w:rsidR="00F86139" w:rsidRPr="00EB4CFA">
        <w:rPr>
          <w:b w:val="0"/>
          <w:color w:val="auto"/>
          <w:lang w:val="en-US"/>
        </w:rPr>
        <w:t>Conrath, 2011</w:t>
      </w:r>
      <w:r w:rsidR="00C3637D" w:rsidRPr="00EB4CFA">
        <w:rPr>
          <w:b w:val="0"/>
          <w:color w:val="auto"/>
          <w:lang w:val="en-US"/>
        </w:rPr>
        <w:t>)</w:t>
      </w:r>
      <w:r w:rsidR="00F86139" w:rsidRPr="00EB4CFA">
        <w:rPr>
          <w:b w:val="0"/>
          <w:color w:val="auto"/>
          <w:lang w:val="en-US"/>
        </w:rPr>
        <w:t>.</w:t>
      </w:r>
    </w:p>
    <w:p w:rsidR="002B56FB" w:rsidRDefault="00C83CE8" w:rsidP="002B56FB">
      <w:pPr>
        <w:spacing w:after="0" w:line="360" w:lineRule="auto"/>
        <w:jc w:val="both"/>
      </w:pPr>
      <w:r w:rsidRPr="006B0405">
        <w:rPr>
          <w:bCs/>
        </w:rPr>
        <w:t>Two possible mechanisms of stress-imprint in order to prime plants were proposed. One possibility would be the accumulation of proteins and/or transcription factors after a first exposure to stress</w:t>
      </w:r>
      <w:r>
        <w:rPr>
          <w:bCs/>
        </w:rPr>
        <w:t xml:space="preserve"> and in this way a preactivation of defence signalling pathways</w:t>
      </w:r>
      <w:r w:rsidRPr="006B0405">
        <w:rPr>
          <w:bCs/>
        </w:rPr>
        <w:t xml:space="preserve"> (Bruce </w:t>
      </w:r>
      <w:r w:rsidRPr="006B0405">
        <w:rPr>
          <w:bCs/>
          <w:i/>
        </w:rPr>
        <w:t>et al</w:t>
      </w:r>
      <w:r w:rsidRPr="006B0405">
        <w:rPr>
          <w:bCs/>
        </w:rPr>
        <w:t>., 2007</w:t>
      </w:r>
      <w:r>
        <w:rPr>
          <w:bCs/>
        </w:rPr>
        <w:t>;</w:t>
      </w:r>
      <w:r w:rsidRPr="00024971">
        <w:rPr>
          <w:bCs/>
        </w:rPr>
        <w:t xml:space="preserve"> </w:t>
      </w:r>
      <w:r>
        <w:rPr>
          <w:bCs/>
        </w:rPr>
        <w:t>Figure 15</w:t>
      </w:r>
      <w:r w:rsidRPr="006B0405">
        <w:rPr>
          <w:bCs/>
        </w:rPr>
        <w:t xml:space="preserve">). </w:t>
      </w:r>
      <w:r>
        <w:rPr>
          <w:bCs/>
        </w:rPr>
        <w:t xml:space="preserve">One example for preactivated biosynthesis pathways in the plant´s priming reaction is the biosynthesis of the phytoalexin camalexin. Genes encoding enzymes involved in camalexin biosynthesis, </w:t>
      </w:r>
      <w:r w:rsidRPr="007C6DFE">
        <w:rPr>
          <w:bCs/>
          <w:i/>
        </w:rPr>
        <w:t>CYP71A13</w:t>
      </w:r>
      <w:r>
        <w:rPr>
          <w:bCs/>
        </w:rPr>
        <w:t xml:space="preserve"> and </w:t>
      </w:r>
      <w:r w:rsidRPr="007C6DFE">
        <w:rPr>
          <w:bCs/>
          <w:i/>
        </w:rPr>
        <w:t>PAD3</w:t>
      </w:r>
      <w:r>
        <w:rPr>
          <w:bCs/>
        </w:rPr>
        <w:t xml:space="preserve">, were shown to be preactivated in systemic leaves, leading to </w:t>
      </w:r>
      <w:proofErr w:type="gramStart"/>
      <w:r w:rsidR="00F865A3">
        <w:rPr>
          <w:bCs/>
        </w:rPr>
        <w:t xml:space="preserve">a </w:t>
      </w:r>
      <w:r>
        <w:rPr>
          <w:bCs/>
        </w:rPr>
        <w:t>partial</w:t>
      </w:r>
      <w:proofErr w:type="gramEnd"/>
      <w:r>
        <w:rPr>
          <w:bCs/>
        </w:rPr>
        <w:t xml:space="preserve"> pathway activation by ensuring key biosynthetic enzymes are already present before a second pathogen infection. This mechanism would also be a possibility to manage defence more cost-effectively, as fewer components of camalexin biosynthesis have to be synthesised </w:t>
      </w:r>
      <w:r w:rsidRPr="007C6DFE">
        <w:rPr>
          <w:bCs/>
          <w:i/>
        </w:rPr>
        <w:t>de novo</w:t>
      </w:r>
      <w:r>
        <w:rPr>
          <w:bCs/>
        </w:rPr>
        <w:t xml:space="preserve"> (Gruner </w:t>
      </w:r>
      <w:r w:rsidRPr="00DE1D65">
        <w:rPr>
          <w:bCs/>
          <w:i/>
        </w:rPr>
        <w:t>et al</w:t>
      </w:r>
      <w:r>
        <w:rPr>
          <w:bCs/>
        </w:rPr>
        <w:t xml:space="preserve">., 2013). Another example is </w:t>
      </w:r>
      <w:r w:rsidR="00D21BE3">
        <w:rPr>
          <w:bCs/>
        </w:rPr>
        <w:t>the activation of the MAPK</w:t>
      </w:r>
      <w:r>
        <w:rPr>
          <w:bCs/>
        </w:rPr>
        <w:t xml:space="preserve"> signalling network. </w:t>
      </w:r>
      <w:r w:rsidRPr="006B0405">
        <w:rPr>
          <w:bCs/>
        </w:rPr>
        <w:t xml:space="preserve">It was shown that a signalling cascade involving </w:t>
      </w:r>
      <w:r>
        <w:rPr>
          <w:bCs/>
        </w:rPr>
        <w:t xml:space="preserve">MAP </w:t>
      </w:r>
      <w:r w:rsidRPr="006B0405">
        <w:rPr>
          <w:bCs/>
        </w:rPr>
        <w:t xml:space="preserve">kinases 3 and 6 </w:t>
      </w:r>
      <w:r>
        <w:rPr>
          <w:bCs/>
        </w:rPr>
        <w:t xml:space="preserve">(MPK3, MPK6) </w:t>
      </w:r>
      <w:r w:rsidRPr="006B0405">
        <w:rPr>
          <w:bCs/>
        </w:rPr>
        <w:t xml:space="preserve">is activated in plants infected with </w:t>
      </w:r>
      <w:r>
        <w:rPr>
          <w:bCs/>
          <w:i/>
        </w:rPr>
        <w:t>Psm</w:t>
      </w:r>
      <w:r w:rsidRPr="006B0405">
        <w:rPr>
          <w:bCs/>
        </w:rPr>
        <w:t xml:space="preserve"> or treated with flg22 (Asai </w:t>
      </w:r>
      <w:r w:rsidRPr="006B0405">
        <w:rPr>
          <w:bCs/>
          <w:i/>
        </w:rPr>
        <w:t>et al</w:t>
      </w:r>
      <w:r>
        <w:rPr>
          <w:bCs/>
        </w:rPr>
        <w:t>., 2002). Also, p</w:t>
      </w:r>
      <w:r w:rsidRPr="006B0405">
        <w:rPr>
          <w:bCs/>
        </w:rPr>
        <w:t>rotein</w:t>
      </w:r>
      <w:r>
        <w:rPr>
          <w:bCs/>
        </w:rPr>
        <w:t>s of MPK3 and MPK6</w:t>
      </w:r>
      <w:r w:rsidRPr="006B0405">
        <w:rPr>
          <w:bCs/>
        </w:rPr>
        <w:t xml:space="preserve"> accumulate</w:t>
      </w:r>
      <w:r>
        <w:rPr>
          <w:bCs/>
        </w:rPr>
        <w:t>d</w:t>
      </w:r>
      <w:r w:rsidR="00D21BE3">
        <w:rPr>
          <w:bCs/>
        </w:rPr>
        <w:t xml:space="preserve"> in the cytoplasm of BTH-</w:t>
      </w:r>
      <w:r w:rsidRPr="006B0405">
        <w:rPr>
          <w:bCs/>
        </w:rPr>
        <w:t xml:space="preserve">treated </w:t>
      </w:r>
      <w:r w:rsidRPr="006B0405">
        <w:rPr>
          <w:bCs/>
          <w:i/>
        </w:rPr>
        <w:t>Arabidopsis</w:t>
      </w:r>
      <w:r w:rsidRPr="006B0405">
        <w:rPr>
          <w:bCs/>
        </w:rPr>
        <w:t xml:space="preserve"> cells, but appeared to be</w:t>
      </w:r>
      <w:r>
        <w:rPr>
          <w:bCs/>
        </w:rPr>
        <w:t xml:space="preserve"> inactive until </w:t>
      </w:r>
      <w:r>
        <w:rPr>
          <w:bCs/>
        </w:rPr>
        <w:lastRenderedPageBreak/>
        <w:t xml:space="preserve">perception of an additional </w:t>
      </w:r>
      <w:r w:rsidRPr="006B0405">
        <w:rPr>
          <w:bCs/>
        </w:rPr>
        <w:t xml:space="preserve">stress signal. Upon treatment with </w:t>
      </w:r>
      <w:r>
        <w:rPr>
          <w:bCs/>
        </w:rPr>
        <w:t xml:space="preserve">a </w:t>
      </w:r>
      <w:r w:rsidRPr="006B0405">
        <w:rPr>
          <w:bCs/>
        </w:rPr>
        <w:t xml:space="preserve">biotic or </w:t>
      </w:r>
      <w:r w:rsidR="002B56FB">
        <w:rPr>
          <w:bCs/>
        </w:rPr>
        <w:t xml:space="preserve">an </w:t>
      </w:r>
      <w:r w:rsidRPr="006B0405">
        <w:rPr>
          <w:bCs/>
        </w:rPr>
        <w:t>abiotic stress challenge</w:t>
      </w:r>
      <w:r>
        <w:rPr>
          <w:bCs/>
        </w:rPr>
        <w:t>,</w:t>
      </w:r>
      <w:r w:rsidRPr="006B0405">
        <w:rPr>
          <w:bCs/>
        </w:rPr>
        <w:t xml:space="preserve"> these proteins showed stronger activity in primed compared to non-primed plants (Beckers </w:t>
      </w:r>
      <w:r w:rsidRPr="006B0405">
        <w:rPr>
          <w:bCs/>
          <w:i/>
        </w:rPr>
        <w:t>et al</w:t>
      </w:r>
      <w:r>
        <w:rPr>
          <w:bCs/>
        </w:rPr>
        <w:t xml:space="preserve">., 2009). </w:t>
      </w:r>
      <w:r w:rsidRPr="006B0405">
        <w:rPr>
          <w:bCs/>
          <w:lang w:val="en-US"/>
        </w:rPr>
        <w:t xml:space="preserve">The second possibility to confer priming to a plant </w:t>
      </w:r>
      <w:r w:rsidR="002B56FB">
        <w:rPr>
          <w:bCs/>
          <w:lang w:val="en-US"/>
        </w:rPr>
        <w:t>is</w:t>
      </w:r>
      <w:r w:rsidRPr="006B0405">
        <w:rPr>
          <w:bCs/>
          <w:lang w:val="en-US"/>
        </w:rPr>
        <w:t xml:space="preserve"> epigenetic changes, for instance by modifying the chromatin structure via acetylation or methylation of histone proteins associated with DNA (Bruce </w:t>
      </w:r>
      <w:r w:rsidRPr="006B0405">
        <w:rPr>
          <w:bCs/>
          <w:i/>
          <w:lang w:val="en-US"/>
        </w:rPr>
        <w:t>et al</w:t>
      </w:r>
      <w:r w:rsidRPr="006B0405">
        <w:rPr>
          <w:bCs/>
          <w:lang w:val="en-US"/>
        </w:rPr>
        <w:t xml:space="preserve">., 2007). </w:t>
      </w:r>
      <w:r w:rsidR="00CB005D" w:rsidRPr="006B0405">
        <w:rPr>
          <w:bCs/>
          <w:lang w:val="en-US"/>
        </w:rPr>
        <w:t>Chromatin modifications do not change the DNA sequence, but by acetylation of lysine residues of histone proteins</w:t>
      </w:r>
      <w:r w:rsidR="00CB005D">
        <w:rPr>
          <w:bCs/>
          <w:lang w:val="en-US"/>
        </w:rPr>
        <w:t xml:space="preserve">, for </w:t>
      </w:r>
      <w:r w:rsidR="00781C4F">
        <w:rPr>
          <w:bCs/>
          <w:lang w:val="en-US"/>
        </w:rPr>
        <w:t>example</w:t>
      </w:r>
      <w:r w:rsidR="00CB005D">
        <w:rPr>
          <w:bCs/>
          <w:lang w:val="en-US"/>
        </w:rPr>
        <w:t>,</w:t>
      </w:r>
      <w:r w:rsidR="00CB005D" w:rsidRPr="006B0405">
        <w:rPr>
          <w:bCs/>
          <w:lang w:val="en-US"/>
        </w:rPr>
        <w:t xml:space="preserve"> the ionic interactions between histones and DNA become much weaker (Conrath, 2011). </w:t>
      </w:r>
      <w:r w:rsidR="00CB005D">
        <w:rPr>
          <w:bCs/>
          <w:lang w:val="en-US"/>
        </w:rPr>
        <w:t>A</w:t>
      </w:r>
      <w:r w:rsidR="00CB005D" w:rsidRPr="006B0405">
        <w:rPr>
          <w:bCs/>
          <w:lang w:val="en-US"/>
        </w:rPr>
        <w:t xml:space="preserve">cetylation of histones is associated with gene activation, as the “open” chromatin structure and the acetylated residues provide space and </w:t>
      </w:r>
      <w:r w:rsidR="00CB005D">
        <w:rPr>
          <w:bCs/>
          <w:lang w:val="en-US"/>
        </w:rPr>
        <w:t xml:space="preserve">possible </w:t>
      </w:r>
      <w:r w:rsidR="00CB005D" w:rsidRPr="006B0405">
        <w:rPr>
          <w:bCs/>
          <w:lang w:val="en-US"/>
        </w:rPr>
        <w:t>docking sites for transcription</w:t>
      </w:r>
      <w:r w:rsidR="002B56FB">
        <w:rPr>
          <w:bCs/>
          <w:lang w:val="en-US"/>
        </w:rPr>
        <w:t>al</w:t>
      </w:r>
      <w:r w:rsidR="00CB005D">
        <w:rPr>
          <w:bCs/>
          <w:lang w:val="en-US"/>
        </w:rPr>
        <w:t xml:space="preserve"> co-activators</w:t>
      </w:r>
      <w:r w:rsidR="00781C4F">
        <w:rPr>
          <w:bCs/>
          <w:lang w:val="en-US"/>
        </w:rPr>
        <w:t xml:space="preserve"> and other proteins</w:t>
      </w:r>
      <w:r w:rsidR="00CB005D">
        <w:rPr>
          <w:bCs/>
          <w:lang w:val="en-US"/>
        </w:rPr>
        <w:t xml:space="preserve"> and thus enhances</w:t>
      </w:r>
      <w:r w:rsidR="00CB005D" w:rsidRPr="006B0405">
        <w:rPr>
          <w:bCs/>
          <w:lang w:val="en-US"/>
        </w:rPr>
        <w:t xml:space="preserve"> expression of genes marked in this way (Conrath, 2011</w:t>
      </w:r>
      <w:r w:rsidR="00CB005D">
        <w:rPr>
          <w:bCs/>
          <w:lang w:val="en-US"/>
        </w:rPr>
        <w:t>;</w:t>
      </w:r>
      <w:r w:rsidR="00CB005D" w:rsidRPr="00DD6BEB">
        <w:rPr>
          <w:bCs/>
          <w:lang w:val="en-US"/>
        </w:rPr>
        <w:t xml:space="preserve"> </w:t>
      </w:r>
      <w:r w:rsidR="00CB005D" w:rsidRPr="006B0405">
        <w:rPr>
          <w:bCs/>
          <w:lang w:val="en-US"/>
        </w:rPr>
        <w:t xml:space="preserve">Figure 16). Methylation of amino acid residues is </w:t>
      </w:r>
      <w:r w:rsidR="00CB005D">
        <w:rPr>
          <w:bCs/>
          <w:lang w:val="en-US"/>
        </w:rPr>
        <w:t xml:space="preserve">a </w:t>
      </w:r>
      <w:r w:rsidR="00CB005D" w:rsidRPr="006B0405">
        <w:rPr>
          <w:bCs/>
          <w:lang w:val="en-US"/>
        </w:rPr>
        <w:t>more complicated</w:t>
      </w:r>
      <w:r w:rsidR="00CB005D">
        <w:rPr>
          <w:bCs/>
          <w:lang w:val="en-US"/>
        </w:rPr>
        <w:t xml:space="preserve"> matter</w:t>
      </w:r>
      <w:r w:rsidR="00CB005D" w:rsidRPr="006B0405">
        <w:rPr>
          <w:bCs/>
          <w:lang w:val="en-US"/>
        </w:rPr>
        <w:t xml:space="preserve">, because lysine and arginine residues </w:t>
      </w:r>
      <w:r w:rsidR="00CB005D">
        <w:rPr>
          <w:bCs/>
          <w:lang w:val="en-US"/>
        </w:rPr>
        <w:t>can be methylated</w:t>
      </w:r>
      <w:r w:rsidR="00CB005D" w:rsidRPr="006B0405">
        <w:rPr>
          <w:bCs/>
          <w:lang w:val="en-US"/>
        </w:rPr>
        <w:t xml:space="preserve"> and single-, do</w:t>
      </w:r>
      <w:r w:rsidR="00CB005D">
        <w:rPr>
          <w:bCs/>
          <w:lang w:val="en-US"/>
        </w:rPr>
        <w:t>uble-, and triple-methylation are</w:t>
      </w:r>
      <w:r w:rsidR="00CB005D" w:rsidRPr="006B0405">
        <w:rPr>
          <w:bCs/>
          <w:lang w:val="en-US"/>
        </w:rPr>
        <w:t xml:space="preserve"> possible</w:t>
      </w:r>
      <w:r w:rsidR="00CB005D">
        <w:rPr>
          <w:bCs/>
          <w:lang w:val="en-US"/>
        </w:rPr>
        <w:t>. Moreove</w:t>
      </w:r>
      <w:r w:rsidR="00781C4F">
        <w:rPr>
          <w:bCs/>
          <w:lang w:val="en-US"/>
        </w:rPr>
        <w:t>r, triple-methylation of Lys-</w:t>
      </w:r>
      <w:r w:rsidR="00CB005D">
        <w:rPr>
          <w:bCs/>
          <w:lang w:val="en-US"/>
        </w:rPr>
        <w:t>residues is associated with both active and repressed gene activity, whereas the activation state of si</w:t>
      </w:r>
      <w:r w:rsidR="00781C4F">
        <w:rPr>
          <w:bCs/>
          <w:lang w:val="en-US"/>
        </w:rPr>
        <w:t>ngle- and double-methylated Lys-</w:t>
      </w:r>
      <w:r w:rsidR="00CB005D">
        <w:rPr>
          <w:bCs/>
          <w:lang w:val="en-US"/>
        </w:rPr>
        <w:t>residues is still unclear</w:t>
      </w:r>
      <w:r w:rsidR="00CB005D" w:rsidRPr="006B0405">
        <w:rPr>
          <w:bCs/>
          <w:lang w:val="en-US"/>
        </w:rPr>
        <w:t xml:space="preserve"> (Jaskiewicz </w:t>
      </w:r>
      <w:r w:rsidR="00CB005D" w:rsidRPr="006B0405">
        <w:rPr>
          <w:bCs/>
          <w:i/>
          <w:lang w:val="en-US"/>
        </w:rPr>
        <w:t>et al</w:t>
      </w:r>
      <w:r w:rsidR="00CB005D" w:rsidRPr="006B0405">
        <w:rPr>
          <w:bCs/>
          <w:lang w:val="en-US"/>
        </w:rPr>
        <w:t xml:space="preserve">., 2011). Nevertheless, chromatin modifications would provide a means of a longer-term stress-imprint compared to accumulation of gene products and metabolites in plant tissues (Bruce </w:t>
      </w:r>
      <w:r w:rsidR="00CB005D" w:rsidRPr="006B0405">
        <w:rPr>
          <w:bCs/>
          <w:i/>
          <w:lang w:val="en-US"/>
        </w:rPr>
        <w:t>et al</w:t>
      </w:r>
      <w:r w:rsidR="00CB005D" w:rsidRPr="006B0405">
        <w:rPr>
          <w:bCs/>
          <w:lang w:val="en-US"/>
        </w:rPr>
        <w:t xml:space="preserve">., 2007). </w:t>
      </w:r>
      <w:r w:rsidR="006B0405" w:rsidRPr="006B0405">
        <w:t xml:space="preserve">It </w:t>
      </w:r>
      <w:r w:rsidR="002D451E">
        <w:t>is possible</w:t>
      </w:r>
      <w:r w:rsidR="006B0405" w:rsidRPr="006B0405">
        <w:t xml:space="preserve"> that plants experiencing an episode of biotic or abiotic stress and being primed during this stress are able to confer this primed state to the next generation. Luna </w:t>
      </w:r>
      <w:r w:rsidR="006B0405" w:rsidRPr="006B0405">
        <w:rPr>
          <w:i/>
        </w:rPr>
        <w:t>et al.</w:t>
      </w:r>
      <w:r w:rsidR="006B0405" w:rsidRPr="006B0405">
        <w:t xml:space="preserve"> have shown in 2012 that progeny from plants infected with either </w:t>
      </w:r>
      <w:r w:rsidR="002B56FB">
        <w:rPr>
          <w:i/>
        </w:rPr>
        <w:t>Psm</w:t>
      </w:r>
      <w:r w:rsidR="006B0405" w:rsidRPr="006B0405">
        <w:t xml:space="preserve"> or </w:t>
      </w:r>
      <w:r w:rsidR="002B56FB">
        <w:rPr>
          <w:i/>
        </w:rPr>
        <w:t>Hpa</w:t>
      </w:r>
      <w:r w:rsidR="006B0405" w:rsidRPr="006B0405">
        <w:t xml:space="preserve"> exhibited primed activation of </w:t>
      </w:r>
      <w:r w:rsidR="002B56FB">
        <w:t>SA</w:t>
      </w:r>
      <w:r w:rsidR="006B0405" w:rsidRPr="006B0405">
        <w:t xml:space="preserve">-inducible defence genes and were more resistant towards infection with </w:t>
      </w:r>
      <w:r w:rsidR="00DD3C72">
        <w:t>these pathogens</w:t>
      </w:r>
      <w:r w:rsidR="006B0405" w:rsidRPr="006B0405">
        <w:t>. This priming of defence responses was preserved over one stress-free generation and suggests a strong role for epigenetic changes</w:t>
      </w:r>
      <w:r w:rsidR="002B56FB">
        <w:t xml:space="preserve"> in transgenerational priming.</w:t>
      </w:r>
    </w:p>
    <w:p w:rsidR="002B56FB" w:rsidRPr="002B56FB" w:rsidRDefault="002B56FB" w:rsidP="002B56FB">
      <w:pPr>
        <w:spacing w:after="0" w:line="360" w:lineRule="auto"/>
        <w:jc w:val="both"/>
        <w:rPr>
          <w:bCs/>
        </w:rPr>
        <w:sectPr w:rsidR="002B56FB" w:rsidRPr="002B56FB" w:rsidSect="009608E1">
          <w:headerReference w:type="default" r:id="rId33"/>
          <w:type w:val="continuous"/>
          <w:pgSz w:w="11906" w:h="16838"/>
          <w:pgMar w:top="1417" w:right="1417" w:bottom="1134" w:left="1417" w:header="708" w:footer="708" w:gutter="0"/>
          <w:cols w:space="708"/>
          <w:titlePg/>
          <w:docGrid w:linePitch="360"/>
        </w:sectPr>
      </w:pPr>
    </w:p>
    <w:p w:rsidR="006B0405" w:rsidRPr="00102B90" w:rsidRDefault="00563EC1" w:rsidP="00102B90">
      <w:pPr>
        <w:pStyle w:val="berschrift2"/>
        <w:spacing w:after="240"/>
        <w:rPr>
          <w:color w:val="auto"/>
        </w:rPr>
      </w:pPr>
      <w:bookmarkStart w:id="31" w:name="_Toc435621209"/>
      <w:r>
        <w:rPr>
          <w:color w:val="auto"/>
        </w:rPr>
        <w:lastRenderedPageBreak/>
        <w:t xml:space="preserve">3.7 </w:t>
      </w:r>
      <w:r w:rsidR="00697567" w:rsidRPr="00697567">
        <w:rPr>
          <w:color w:val="auto"/>
        </w:rPr>
        <w:t>The grey mould disease agent</w:t>
      </w:r>
      <w:r w:rsidR="00697567">
        <w:rPr>
          <w:b w:val="0"/>
          <w:color w:val="auto"/>
        </w:rPr>
        <w:t xml:space="preserve"> </w:t>
      </w:r>
      <w:r w:rsidR="006B0405" w:rsidRPr="00102B90">
        <w:rPr>
          <w:i/>
          <w:color w:val="auto"/>
        </w:rPr>
        <w:t>Botrytis cinerea</w:t>
      </w:r>
      <w:bookmarkEnd w:id="31"/>
    </w:p>
    <w:p w:rsidR="00A846B2" w:rsidRDefault="006B0405" w:rsidP="00A846B2">
      <w:pPr>
        <w:spacing w:after="0" w:line="360" w:lineRule="auto"/>
        <w:jc w:val="both"/>
        <w:rPr>
          <w:lang w:val="en-US"/>
        </w:rPr>
      </w:pPr>
      <w:r w:rsidRPr="006B0405">
        <w:t xml:space="preserve">The fungus </w:t>
      </w:r>
      <w:r w:rsidRPr="006B0405">
        <w:rPr>
          <w:i/>
        </w:rPr>
        <w:t>Botrytis cinerea</w:t>
      </w:r>
      <w:r w:rsidRPr="006B0405">
        <w:t xml:space="preserve"> is responsible for </w:t>
      </w:r>
      <w:r w:rsidR="00697567">
        <w:t xml:space="preserve">the </w:t>
      </w:r>
      <w:r w:rsidRPr="006B0405">
        <w:t xml:space="preserve">grey mould disease of plants and can infect more than 200 different plant species. </w:t>
      </w:r>
      <w:r w:rsidR="00697567" w:rsidRPr="006B0405">
        <w:t xml:space="preserve">This broad host spectrum makes this fungus a very dangerous pathogen to agriculture all over the world. In accordance with its necrotrophic lifestyle, </w:t>
      </w:r>
      <w:r w:rsidR="00697567" w:rsidRPr="006B0405">
        <w:rPr>
          <w:i/>
        </w:rPr>
        <w:t>B</w:t>
      </w:r>
      <w:r w:rsidR="00697567">
        <w:rPr>
          <w:i/>
        </w:rPr>
        <w:t>.</w:t>
      </w:r>
      <w:r w:rsidR="00697567" w:rsidRPr="006B0405">
        <w:rPr>
          <w:i/>
        </w:rPr>
        <w:t xml:space="preserve"> cinerea</w:t>
      </w:r>
      <w:r w:rsidR="00697567">
        <w:t xml:space="preserve"> has to kill plant tissue</w:t>
      </w:r>
      <w:r w:rsidR="00697567" w:rsidRPr="006B0405">
        <w:t xml:space="preserve"> to be able to feed on its resources (Glazebrook, 2005). After germination of </w:t>
      </w:r>
      <w:r w:rsidR="00697567" w:rsidRPr="006B0405">
        <w:rPr>
          <w:i/>
        </w:rPr>
        <w:t>Botrytis</w:t>
      </w:r>
      <w:r w:rsidR="00697567" w:rsidRPr="006B0405">
        <w:t xml:space="preserve"> spores, an appressorium is formed which enables fungal hyphae to invade plant cells and grow through the whole plant to achieve a necrotrophic colonisation (Figure 17). </w:t>
      </w:r>
      <w:r w:rsidR="00697567" w:rsidRPr="00FC7225">
        <w:rPr>
          <w:lang w:val="en-US"/>
        </w:rPr>
        <w:t xml:space="preserve">Infection of </w:t>
      </w:r>
      <w:r w:rsidR="00697567" w:rsidRPr="00FC7225">
        <w:rPr>
          <w:i/>
          <w:lang w:val="en-US"/>
        </w:rPr>
        <w:t>Arabidopsis</w:t>
      </w:r>
      <w:r w:rsidR="00697567" w:rsidRPr="00FC7225">
        <w:rPr>
          <w:lang w:val="en-US"/>
        </w:rPr>
        <w:t xml:space="preserve"> plants with this fungus induces expression of JA- and ET-dependent genes, for instance the plant defensin gene </w:t>
      </w:r>
      <w:r w:rsidR="00697567" w:rsidRPr="00FC7225">
        <w:rPr>
          <w:i/>
          <w:lang w:val="en-US"/>
        </w:rPr>
        <w:t>PDF1.2</w:t>
      </w:r>
      <w:r w:rsidR="00697567" w:rsidRPr="00FC7225">
        <w:rPr>
          <w:lang w:val="en-US"/>
        </w:rPr>
        <w:t xml:space="preserve">, and accumulation of camalexin in tissues in close proximity to the infection site (Thomma </w:t>
      </w:r>
      <w:r w:rsidR="00697567" w:rsidRPr="00FC7225">
        <w:rPr>
          <w:i/>
          <w:lang w:val="en-US"/>
        </w:rPr>
        <w:t>et al</w:t>
      </w:r>
      <w:r w:rsidR="00697567" w:rsidRPr="00FC7225">
        <w:rPr>
          <w:lang w:val="en-US"/>
        </w:rPr>
        <w:t>., 1999; Govrin and Levine, 2002).</w:t>
      </w:r>
      <w:r w:rsidR="00697567" w:rsidRPr="00697567">
        <w:rPr>
          <w:lang w:val="en-US"/>
        </w:rPr>
        <w:t xml:space="preserve"> </w:t>
      </w:r>
      <w:r w:rsidR="00697567">
        <w:rPr>
          <w:lang w:val="en-US"/>
        </w:rPr>
        <w:t>C</w:t>
      </w:r>
      <w:r w:rsidR="00697567" w:rsidRPr="006B0405">
        <w:rPr>
          <w:lang w:val="en-US"/>
        </w:rPr>
        <w:t xml:space="preserve">amalexin was shown to be very effective against </w:t>
      </w:r>
      <w:r w:rsidR="00697567" w:rsidRPr="006B0405">
        <w:rPr>
          <w:i/>
          <w:lang w:val="en-US"/>
        </w:rPr>
        <w:t>B.</w:t>
      </w:r>
      <w:r w:rsidR="00697567">
        <w:rPr>
          <w:i/>
          <w:lang w:val="en-US"/>
        </w:rPr>
        <w:t xml:space="preserve"> </w:t>
      </w:r>
      <w:r w:rsidR="00697567" w:rsidRPr="006B0405">
        <w:rPr>
          <w:i/>
          <w:lang w:val="en-US"/>
        </w:rPr>
        <w:lastRenderedPageBreak/>
        <w:t>cinerea</w:t>
      </w:r>
      <w:r w:rsidR="00697567" w:rsidRPr="006B0405">
        <w:rPr>
          <w:lang w:val="en-US"/>
        </w:rPr>
        <w:t xml:space="preserve"> and mutant plants impaired in camalexin biosynthesis, especially </w:t>
      </w:r>
      <w:r w:rsidR="00697567" w:rsidRPr="006B0405">
        <w:rPr>
          <w:i/>
          <w:lang w:val="en-US"/>
        </w:rPr>
        <w:t>pad2</w:t>
      </w:r>
      <w:r w:rsidR="00697567" w:rsidRPr="006B0405">
        <w:rPr>
          <w:lang w:val="en-US"/>
        </w:rPr>
        <w:t xml:space="preserve"> and </w:t>
      </w:r>
      <w:r w:rsidR="00697567" w:rsidRPr="006B0405">
        <w:rPr>
          <w:i/>
          <w:lang w:val="en-US"/>
        </w:rPr>
        <w:t>pad3,</w:t>
      </w:r>
      <w:r w:rsidR="00697567" w:rsidRPr="006B0405">
        <w:rPr>
          <w:lang w:val="en-US"/>
        </w:rPr>
        <w:t xml:space="preserve"> show more severe disease symptoms than WT plants (Ferrari </w:t>
      </w:r>
      <w:r w:rsidR="00697567" w:rsidRPr="006B0405">
        <w:rPr>
          <w:i/>
          <w:lang w:val="en-US"/>
        </w:rPr>
        <w:t>et al.</w:t>
      </w:r>
      <w:r w:rsidR="00697567" w:rsidRPr="006B0405">
        <w:rPr>
          <w:lang w:val="en-US"/>
        </w:rPr>
        <w:t>, 2003).</w:t>
      </w:r>
    </w:p>
    <w:p w:rsidR="00F865A3" w:rsidRDefault="00F865A3" w:rsidP="00A846B2">
      <w:pPr>
        <w:spacing w:after="0" w:line="360" w:lineRule="auto"/>
        <w:jc w:val="both"/>
      </w:pPr>
    </w:p>
    <w:p w:rsidR="00D52AD4" w:rsidRDefault="006B0405" w:rsidP="00FC7225">
      <w:pPr>
        <w:keepNext/>
        <w:spacing w:after="0" w:line="360" w:lineRule="auto"/>
        <w:jc w:val="both"/>
      </w:pPr>
      <w:r w:rsidRPr="006B0405">
        <w:rPr>
          <w:b/>
          <w:noProof/>
          <w:lang w:val="de-DE" w:eastAsia="de-DE"/>
        </w:rPr>
        <w:drawing>
          <wp:anchor distT="0" distB="0" distL="114300" distR="114300" simplePos="0" relativeHeight="251676672" behindDoc="0" locked="0" layoutInCell="1" allowOverlap="1" wp14:anchorId="0CBF589B" wp14:editId="23B6E7E2">
            <wp:simplePos x="895350" y="895350"/>
            <wp:positionH relativeFrom="page">
              <wp:align>center</wp:align>
            </wp:positionH>
            <wp:positionV relativeFrom="paragraph">
              <wp:posOffset>-3810</wp:posOffset>
            </wp:positionV>
            <wp:extent cx="5040000" cy="3497444"/>
            <wp:effectExtent l="19050" t="19050" r="27305" b="27305"/>
            <wp:wrapTopAndBottom/>
            <wp:docPr id="18" name="Grafi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lerotium and Botrytis infection cycle_Amselen2011.png"/>
                    <pic:cNvPicPr/>
                  </pic:nvPicPr>
                  <pic:blipFill>
                    <a:blip r:embed="rId34">
                      <a:extLst>
                        <a:ext uri="{28A0092B-C50C-407E-A947-70E740481C1C}">
                          <a14:useLocalDpi xmlns:a14="http://schemas.microsoft.com/office/drawing/2010/main" val="0"/>
                        </a:ext>
                      </a:extLst>
                    </a:blip>
                    <a:stretch>
                      <a:fillRect/>
                    </a:stretch>
                  </pic:blipFill>
                  <pic:spPr>
                    <a:xfrm>
                      <a:off x="0" y="0"/>
                      <a:ext cx="5040000" cy="3497444"/>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p>
    <w:p w:rsidR="00D94965" w:rsidRPr="00EB4CFA" w:rsidRDefault="00D52AD4" w:rsidP="00697567">
      <w:pPr>
        <w:pStyle w:val="Beschriftung"/>
        <w:spacing w:after="0" w:line="360" w:lineRule="auto"/>
        <w:jc w:val="both"/>
        <w:rPr>
          <w:color w:val="auto"/>
          <w:lang w:val="en-US"/>
        </w:rPr>
      </w:pPr>
      <w:bookmarkStart w:id="32" w:name="_Toc435621135"/>
      <w:proofErr w:type="gramStart"/>
      <w:r w:rsidRPr="00EB4CFA">
        <w:rPr>
          <w:color w:val="auto"/>
        </w:rPr>
        <w:t xml:space="preserve">Figure </w:t>
      </w:r>
      <w:r w:rsidRPr="00EB4CFA">
        <w:rPr>
          <w:color w:val="auto"/>
        </w:rPr>
        <w:fldChar w:fldCharType="begin"/>
      </w:r>
      <w:r w:rsidRPr="00EB4CFA">
        <w:rPr>
          <w:color w:val="auto"/>
        </w:rPr>
        <w:instrText xml:space="preserve"> SEQ Figure \* ARABIC </w:instrText>
      </w:r>
      <w:r w:rsidRPr="00EB4CFA">
        <w:rPr>
          <w:color w:val="auto"/>
        </w:rPr>
        <w:fldChar w:fldCharType="separate"/>
      </w:r>
      <w:r w:rsidR="00CB17FE">
        <w:rPr>
          <w:noProof/>
          <w:color w:val="auto"/>
        </w:rPr>
        <w:t>17</w:t>
      </w:r>
      <w:r w:rsidRPr="00EB4CFA">
        <w:rPr>
          <w:color w:val="auto"/>
        </w:rPr>
        <w:fldChar w:fldCharType="end"/>
      </w:r>
      <w:r w:rsidR="00CF1261">
        <w:rPr>
          <w:color w:val="auto"/>
        </w:rPr>
        <w:t>.</w:t>
      </w:r>
      <w:proofErr w:type="gramEnd"/>
      <w:r w:rsidRPr="00EB4CFA">
        <w:rPr>
          <w:color w:val="auto"/>
        </w:rPr>
        <w:t xml:space="preserve"> </w:t>
      </w:r>
      <w:proofErr w:type="gramStart"/>
      <w:r w:rsidRPr="00EB4CFA">
        <w:rPr>
          <w:color w:val="auto"/>
          <w:lang w:val="en-US"/>
        </w:rPr>
        <w:t xml:space="preserve">Infection cycle of the necrotrophic fungal pathogens </w:t>
      </w:r>
      <w:r w:rsidRPr="00EB4CFA">
        <w:rPr>
          <w:i/>
          <w:color w:val="auto"/>
          <w:lang w:val="en-US"/>
        </w:rPr>
        <w:t>Sclerotinia sclerotiorum</w:t>
      </w:r>
      <w:r w:rsidRPr="00EB4CFA">
        <w:rPr>
          <w:color w:val="auto"/>
          <w:lang w:val="en-US"/>
        </w:rPr>
        <w:t xml:space="preserve"> and </w:t>
      </w:r>
      <w:r w:rsidRPr="00EB4CFA">
        <w:rPr>
          <w:i/>
          <w:color w:val="auto"/>
          <w:lang w:val="en-US"/>
        </w:rPr>
        <w:t>Botrytis cinerea</w:t>
      </w:r>
      <w:r w:rsidRPr="00EB4CFA">
        <w:rPr>
          <w:color w:val="auto"/>
          <w:lang w:val="en-US"/>
        </w:rPr>
        <w:t>.</w:t>
      </w:r>
      <w:bookmarkEnd w:id="32"/>
      <w:proofErr w:type="gramEnd"/>
      <w:r w:rsidRPr="00EB4CFA">
        <w:rPr>
          <w:color w:val="auto"/>
          <w:lang w:val="en-US"/>
        </w:rPr>
        <w:t xml:space="preserve"> </w:t>
      </w:r>
    </w:p>
    <w:p w:rsidR="00D52AD4" w:rsidRPr="00EB4CFA" w:rsidRDefault="00D52AD4" w:rsidP="00D52AD4">
      <w:pPr>
        <w:pStyle w:val="Beschriftung"/>
        <w:jc w:val="both"/>
        <w:rPr>
          <w:b w:val="0"/>
          <w:color w:val="auto"/>
          <w:lang w:val="en-US"/>
        </w:rPr>
      </w:pPr>
      <w:r w:rsidRPr="00EB4CFA">
        <w:rPr>
          <w:b w:val="0"/>
          <w:color w:val="auto"/>
          <w:lang w:val="en-US"/>
        </w:rPr>
        <w:t>Depicted are different stages of</w:t>
      </w:r>
      <w:r w:rsidR="00C3637D" w:rsidRPr="00EB4CFA">
        <w:rPr>
          <w:b w:val="0"/>
          <w:color w:val="auto"/>
          <w:lang w:val="en-US"/>
        </w:rPr>
        <w:t xml:space="preserve"> sexual and asexual development</w:t>
      </w:r>
      <w:r w:rsidRPr="00EB4CFA">
        <w:rPr>
          <w:b w:val="0"/>
          <w:color w:val="auto"/>
          <w:lang w:val="en-US"/>
        </w:rPr>
        <w:t xml:space="preserve"> </w:t>
      </w:r>
      <w:r w:rsidR="00C3637D" w:rsidRPr="00EB4CFA">
        <w:rPr>
          <w:b w:val="0"/>
          <w:color w:val="auto"/>
          <w:lang w:val="en-US"/>
        </w:rPr>
        <w:t>(</w:t>
      </w:r>
      <w:r w:rsidR="006C36CD" w:rsidRPr="00EB4CFA">
        <w:rPr>
          <w:b w:val="0"/>
          <w:color w:val="auto"/>
          <w:lang w:val="en-US"/>
        </w:rPr>
        <w:t>Amselem</w:t>
      </w:r>
      <w:r w:rsidRPr="00EB4CFA">
        <w:rPr>
          <w:b w:val="0"/>
          <w:color w:val="auto"/>
          <w:lang w:val="en-US"/>
        </w:rPr>
        <w:t xml:space="preserve"> </w:t>
      </w:r>
      <w:r w:rsidRPr="00EB4CFA">
        <w:rPr>
          <w:b w:val="0"/>
          <w:i/>
          <w:color w:val="auto"/>
          <w:lang w:val="en-US"/>
        </w:rPr>
        <w:t>et al.</w:t>
      </w:r>
      <w:r w:rsidRPr="00EB4CFA">
        <w:rPr>
          <w:b w:val="0"/>
          <w:color w:val="auto"/>
          <w:lang w:val="en-US"/>
        </w:rPr>
        <w:t>, 2011</w:t>
      </w:r>
      <w:r w:rsidR="00C3637D" w:rsidRPr="00EB4CFA">
        <w:rPr>
          <w:b w:val="0"/>
          <w:color w:val="auto"/>
          <w:lang w:val="en-US"/>
        </w:rPr>
        <w:t>)</w:t>
      </w:r>
      <w:r w:rsidRPr="00EB4CFA">
        <w:rPr>
          <w:b w:val="0"/>
          <w:color w:val="auto"/>
          <w:lang w:val="en-US"/>
        </w:rPr>
        <w:t>.</w:t>
      </w:r>
    </w:p>
    <w:p w:rsidR="00431343" w:rsidRDefault="006B0405" w:rsidP="0031142B">
      <w:pPr>
        <w:spacing w:after="0" w:line="360" w:lineRule="auto"/>
        <w:jc w:val="both"/>
        <w:rPr>
          <w:lang w:val="en-US"/>
        </w:rPr>
      </w:pPr>
      <w:r w:rsidRPr="006B0405">
        <w:rPr>
          <w:lang w:val="en-US"/>
        </w:rPr>
        <w:t xml:space="preserve">Several </w:t>
      </w:r>
      <w:r w:rsidRPr="006B0405">
        <w:rPr>
          <w:i/>
          <w:lang w:val="en-US"/>
        </w:rPr>
        <w:t>Botrytis</w:t>
      </w:r>
      <w:r w:rsidRPr="006B0405">
        <w:rPr>
          <w:lang w:val="en-US"/>
        </w:rPr>
        <w:t xml:space="preserve"> strains were described to be able to tolerate camalexin by actively transporting it out of fungal cells via an ABC transporter (Rauhut and Glawischnig, 2009; </w:t>
      </w:r>
      <w:r w:rsidR="006C36CD">
        <w:rPr>
          <w:lang w:val="en-US"/>
        </w:rPr>
        <w:t>Amselem</w:t>
      </w:r>
      <w:r w:rsidRPr="006B0405">
        <w:rPr>
          <w:lang w:val="en-US"/>
        </w:rPr>
        <w:t xml:space="preserve">, </w:t>
      </w:r>
      <w:r w:rsidRPr="006B0405">
        <w:rPr>
          <w:i/>
          <w:lang w:val="en-US"/>
        </w:rPr>
        <w:t>et al.</w:t>
      </w:r>
      <w:r w:rsidRPr="006B0405">
        <w:rPr>
          <w:lang w:val="en-US"/>
        </w:rPr>
        <w:t xml:space="preserve"> 2011). </w:t>
      </w:r>
      <w:r w:rsidRPr="006B0405">
        <w:rPr>
          <w:i/>
          <w:lang w:val="en-US"/>
        </w:rPr>
        <w:t>B.</w:t>
      </w:r>
      <w:r w:rsidR="00697567">
        <w:rPr>
          <w:i/>
          <w:lang w:val="en-US"/>
        </w:rPr>
        <w:t xml:space="preserve"> </w:t>
      </w:r>
      <w:r w:rsidRPr="006B0405">
        <w:rPr>
          <w:i/>
          <w:lang w:val="en-US"/>
        </w:rPr>
        <w:t>cinerea</w:t>
      </w:r>
      <w:r w:rsidRPr="006B0405">
        <w:rPr>
          <w:lang w:val="en-US"/>
        </w:rPr>
        <w:t xml:space="preserve"> manipulates plant defence in several different ways in order to facilitate infection. For instance, </w:t>
      </w:r>
      <w:r w:rsidR="00AE0421">
        <w:rPr>
          <w:lang w:val="en-US"/>
        </w:rPr>
        <w:t>it</w:t>
      </w:r>
      <w:r w:rsidRPr="006B0405">
        <w:rPr>
          <w:lang w:val="en-US"/>
        </w:rPr>
        <w:t xml:space="preserve"> actively triggers</w:t>
      </w:r>
      <w:r w:rsidR="00AE0421">
        <w:rPr>
          <w:lang w:val="en-US"/>
        </w:rPr>
        <w:t xml:space="preserve"> ROS-</w:t>
      </w:r>
      <w:r w:rsidRPr="006B0405">
        <w:rPr>
          <w:lang w:val="en-US"/>
        </w:rPr>
        <w:t xml:space="preserve">development and </w:t>
      </w:r>
      <w:r w:rsidR="00AE0421">
        <w:rPr>
          <w:lang w:val="en-US"/>
        </w:rPr>
        <w:t xml:space="preserve">the </w:t>
      </w:r>
      <w:r w:rsidRPr="006B0405">
        <w:rPr>
          <w:lang w:val="en-US"/>
        </w:rPr>
        <w:t>HR response in order to further plant infection and the severity of infection was found to be directly pr</w:t>
      </w:r>
      <w:r w:rsidR="00AE0421">
        <w:rPr>
          <w:lang w:val="en-US"/>
        </w:rPr>
        <w:t>oportionate to the level of ROS-</w:t>
      </w:r>
      <w:r w:rsidRPr="006B0405">
        <w:rPr>
          <w:lang w:val="en-US"/>
        </w:rPr>
        <w:t xml:space="preserve">generation (Govrin and Levine, 2000; </w:t>
      </w:r>
      <w:r w:rsidR="006C36CD">
        <w:rPr>
          <w:lang w:val="en-US"/>
        </w:rPr>
        <w:t>Amselem</w:t>
      </w:r>
      <w:r w:rsidRPr="006B0405">
        <w:rPr>
          <w:lang w:val="en-US"/>
        </w:rPr>
        <w:t xml:space="preserve"> </w:t>
      </w:r>
      <w:r w:rsidRPr="006B0405">
        <w:rPr>
          <w:i/>
          <w:lang w:val="en-US"/>
        </w:rPr>
        <w:t>et al</w:t>
      </w:r>
      <w:r w:rsidRPr="006B0405">
        <w:rPr>
          <w:lang w:val="en-US"/>
        </w:rPr>
        <w:t>., 2011). This fungus also exploits the SA-mediated signalling pathway via the glutaredoxin GRXS13 to suppress JA-mediated defence responses, enabling development of more severe disease symptoms (La</w:t>
      </w:r>
      <w:r w:rsidR="007D7F3B">
        <w:rPr>
          <w:lang w:val="en-US"/>
        </w:rPr>
        <w:t xml:space="preserve"> </w:t>
      </w:r>
      <w:r w:rsidRPr="006B0405">
        <w:rPr>
          <w:lang w:val="en-US"/>
        </w:rPr>
        <w:t xml:space="preserve">Camera </w:t>
      </w:r>
      <w:r w:rsidRPr="006B0405">
        <w:rPr>
          <w:i/>
          <w:lang w:val="en-US"/>
        </w:rPr>
        <w:t>et al</w:t>
      </w:r>
      <w:r w:rsidRPr="006B0405">
        <w:rPr>
          <w:lang w:val="en-US"/>
        </w:rPr>
        <w:t>., 2011). An additional strategy to facilitate cell death in plants is the introduction of toxins into plant cells, for instance the sesquiterpene botrydial and related compounds, as well as botcinic acid and its derivatives (</w:t>
      </w:r>
      <w:r w:rsidR="006C36CD">
        <w:rPr>
          <w:lang w:val="en-US"/>
        </w:rPr>
        <w:t>Amselem</w:t>
      </w:r>
      <w:r w:rsidRPr="006B0405">
        <w:rPr>
          <w:lang w:val="en-US"/>
        </w:rPr>
        <w:t xml:space="preserve"> </w:t>
      </w:r>
      <w:r w:rsidRPr="006B0405">
        <w:rPr>
          <w:i/>
          <w:lang w:val="en-US"/>
        </w:rPr>
        <w:t>et al</w:t>
      </w:r>
      <w:r w:rsidRPr="006B0405">
        <w:rPr>
          <w:lang w:val="en-US"/>
        </w:rPr>
        <w:t xml:space="preserve">., 2011). </w:t>
      </w:r>
      <w:r w:rsidR="00697567" w:rsidRPr="006B0405">
        <w:t>Another highly interest</w:t>
      </w:r>
      <w:r w:rsidR="00697567">
        <w:t>ing way for</w:t>
      </w:r>
      <w:r w:rsidR="00697567" w:rsidRPr="006B0405">
        <w:t xml:space="preserve"> repression and manipulation of plant defence responses by </w:t>
      </w:r>
      <w:r w:rsidR="00697567" w:rsidRPr="006B0405">
        <w:rPr>
          <w:i/>
        </w:rPr>
        <w:t>B</w:t>
      </w:r>
      <w:r w:rsidR="00AE0421">
        <w:rPr>
          <w:i/>
        </w:rPr>
        <w:t>.</w:t>
      </w:r>
      <w:r w:rsidR="00697567" w:rsidRPr="006B0405">
        <w:rPr>
          <w:i/>
        </w:rPr>
        <w:t xml:space="preserve"> cinerea</w:t>
      </w:r>
      <w:r w:rsidR="00697567" w:rsidRPr="006B0405">
        <w:t xml:space="preserve"> is the introduction of small RNAs (sRNA), about 20-24 nucleotides in length</w:t>
      </w:r>
      <w:r w:rsidR="00697567">
        <w:t>,</w:t>
      </w:r>
      <w:r w:rsidR="00697567" w:rsidRPr="006B0405">
        <w:t xml:space="preserve"> into plant cells.</w:t>
      </w:r>
      <w:r w:rsidR="00697567" w:rsidRPr="00697567">
        <w:t xml:space="preserve"> </w:t>
      </w:r>
      <w:r w:rsidR="00697567" w:rsidRPr="006B0405">
        <w:t xml:space="preserve">These sRNAs guide </w:t>
      </w:r>
      <w:r w:rsidR="00697567">
        <w:t xml:space="preserve">plant </w:t>
      </w:r>
      <w:r w:rsidR="00697567" w:rsidRPr="006B0405">
        <w:t xml:space="preserve">Argonaute (AGO) nucleases to targeted mRNAs, including mRNAs derived from defence-related genes, in order to silence those </w:t>
      </w:r>
      <w:r w:rsidR="00697567" w:rsidRPr="006B0405">
        <w:lastRenderedPageBreak/>
        <w:t>genes via the plants´ own RNA interference machinery, leading to a more severe disease development (</w:t>
      </w:r>
      <w:r w:rsidR="00697567" w:rsidRPr="007F4E2A">
        <w:t>Baulcombe, 2013</w:t>
      </w:r>
      <w:r w:rsidR="00697567">
        <w:t xml:space="preserve">; </w:t>
      </w:r>
      <w:r w:rsidR="00697567" w:rsidRPr="006B0405">
        <w:t xml:space="preserve">Weiberg </w:t>
      </w:r>
      <w:r w:rsidR="00697567" w:rsidRPr="006B0405">
        <w:rPr>
          <w:i/>
        </w:rPr>
        <w:t>et al</w:t>
      </w:r>
      <w:r w:rsidR="00697567">
        <w:t>., 2013;</w:t>
      </w:r>
      <w:r w:rsidR="00697567" w:rsidRPr="000E06E1">
        <w:t xml:space="preserve"> </w:t>
      </w:r>
      <w:r w:rsidR="00697567" w:rsidRPr="006B0405">
        <w:t>Figure 18).</w:t>
      </w:r>
    </w:p>
    <w:p w:rsidR="0031142B" w:rsidRDefault="0031142B" w:rsidP="00FC7225">
      <w:pPr>
        <w:keepNext/>
        <w:spacing w:after="0" w:line="360" w:lineRule="auto"/>
        <w:jc w:val="both"/>
        <w:rPr>
          <w:lang w:val="en-US"/>
        </w:rPr>
      </w:pPr>
    </w:p>
    <w:p w:rsidR="00F7703B" w:rsidRDefault="006B0405" w:rsidP="00FC7225">
      <w:pPr>
        <w:keepNext/>
        <w:spacing w:after="0" w:line="360" w:lineRule="auto"/>
        <w:jc w:val="both"/>
      </w:pPr>
      <w:r w:rsidRPr="006B0405">
        <w:rPr>
          <w:noProof/>
          <w:lang w:val="de-DE" w:eastAsia="de-DE"/>
        </w:rPr>
        <w:drawing>
          <wp:anchor distT="0" distB="0" distL="114300" distR="114300" simplePos="0" relativeHeight="251677696" behindDoc="0" locked="0" layoutInCell="1" allowOverlap="1" wp14:anchorId="3AEA9E12" wp14:editId="55BEF1A1">
            <wp:simplePos x="895350" y="895350"/>
            <wp:positionH relativeFrom="page">
              <wp:align>center</wp:align>
            </wp:positionH>
            <wp:positionV relativeFrom="paragraph">
              <wp:posOffset>-3810</wp:posOffset>
            </wp:positionV>
            <wp:extent cx="5040000" cy="1774647"/>
            <wp:effectExtent l="19050" t="19050" r="8255" b="16510"/>
            <wp:wrapTopAndBottom/>
            <wp:docPr id="19" name="Grafi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nipulation of plant defence by bc sRNAs_Baulcombe2013.png"/>
                    <pic:cNvPicPr/>
                  </pic:nvPicPr>
                  <pic:blipFill>
                    <a:blip r:embed="rId35">
                      <a:extLst>
                        <a:ext uri="{28A0092B-C50C-407E-A947-70E740481C1C}">
                          <a14:useLocalDpi xmlns:a14="http://schemas.microsoft.com/office/drawing/2010/main" val="0"/>
                        </a:ext>
                      </a:extLst>
                    </a:blip>
                    <a:stretch>
                      <a:fillRect/>
                    </a:stretch>
                  </pic:blipFill>
                  <pic:spPr>
                    <a:xfrm>
                      <a:off x="0" y="0"/>
                      <a:ext cx="5040000" cy="1774647"/>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p>
    <w:p w:rsidR="00D94965" w:rsidRPr="00EB4CFA" w:rsidRDefault="00F7703B" w:rsidP="00697567">
      <w:pPr>
        <w:pStyle w:val="Beschriftung"/>
        <w:spacing w:after="0" w:line="360" w:lineRule="auto"/>
        <w:jc w:val="both"/>
        <w:rPr>
          <w:color w:val="auto"/>
          <w:lang w:val="en-US"/>
        </w:rPr>
      </w:pPr>
      <w:bookmarkStart w:id="33" w:name="_Toc435621136"/>
      <w:proofErr w:type="gramStart"/>
      <w:r w:rsidRPr="00EB4CFA">
        <w:rPr>
          <w:color w:val="auto"/>
        </w:rPr>
        <w:t xml:space="preserve">Figure </w:t>
      </w:r>
      <w:r w:rsidRPr="00EB4CFA">
        <w:rPr>
          <w:color w:val="auto"/>
        </w:rPr>
        <w:fldChar w:fldCharType="begin"/>
      </w:r>
      <w:r w:rsidRPr="00EB4CFA">
        <w:rPr>
          <w:color w:val="auto"/>
        </w:rPr>
        <w:instrText xml:space="preserve"> SEQ Figure \* ARABIC </w:instrText>
      </w:r>
      <w:r w:rsidRPr="00EB4CFA">
        <w:rPr>
          <w:color w:val="auto"/>
        </w:rPr>
        <w:fldChar w:fldCharType="separate"/>
      </w:r>
      <w:r w:rsidR="00CB17FE">
        <w:rPr>
          <w:noProof/>
          <w:color w:val="auto"/>
        </w:rPr>
        <w:t>18</w:t>
      </w:r>
      <w:r w:rsidRPr="00EB4CFA">
        <w:rPr>
          <w:color w:val="auto"/>
        </w:rPr>
        <w:fldChar w:fldCharType="end"/>
      </w:r>
      <w:r w:rsidR="00CF1261">
        <w:rPr>
          <w:color w:val="auto"/>
        </w:rPr>
        <w:t>.</w:t>
      </w:r>
      <w:proofErr w:type="gramEnd"/>
      <w:r w:rsidRPr="00EB4CFA">
        <w:rPr>
          <w:color w:val="auto"/>
        </w:rPr>
        <w:t xml:space="preserve"> </w:t>
      </w:r>
      <w:r w:rsidRPr="00EB4CFA">
        <w:rPr>
          <w:i/>
          <w:color w:val="auto"/>
          <w:lang w:val="en-US"/>
        </w:rPr>
        <w:t>B</w:t>
      </w:r>
      <w:r w:rsidR="00AE0421">
        <w:rPr>
          <w:i/>
          <w:color w:val="auto"/>
          <w:lang w:val="en-US"/>
        </w:rPr>
        <w:t>.</w:t>
      </w:r>
      <w:r w:rsidRPr="00EB4CFA">
        <w:rPr>
          <w:i/>
          <w:color w:val="auto"/>
          <w:lang w:val="en-US"/>
        </w:rPr>
        <w:t xml:space="preserve"> cinerea</w:t>
      </w:r>
      <w:r w:rsidR="00AE0421">
        <w:rPr>
          <w:color w:val="auto"/>
          <w:lang w:val="en-US"/>
        </w:rPr>
        <w:t xml:space="preserve"> introduces sRNAs</w:t>
      </w:r>
      <w:r w:rsidRPr="00EB4CFA">
        <w:rPr>
          <w:color w:val="auto"/>
          <w:lang w:val="en-US"/>
        </w:rPr>
        <w:t xml:space="preserve"> into plant cells to facilitate infection.</w:t>
      </w:r>
      <w:bookmarkEnd w:id="33"/>
      <w:r w:rsidRPr="00EB4CFA">
        <w:rPr>
          <w:color w:val="auto"/>
          <w:lang w:val="en-US"/>
        </w:rPr>
        <w:t xml:space="preserve"> </w:t>
      </w:r>
    </w:p>
    <w:p w:rsidR="00F7703B" w:rsidRPr="00EB4CFA" w:rsidRDefault="00C3637D" w:rsidP="00F7703B">
      <w:pPr>
        <w:pStyle w:val="Beschriftung"/>
        <w:jc w:val="both"/>
        <w:rPr>
          <w:b w:val="0"/>
          <w:color w:val="auto"/>
          <w:lang w:val="en-US"/>
        </w:rPr>
      </w:pPr>
      <w:r w:rsidRPr="00EB4CFA">
        <w:rPr>
          <w:b w:val="0"/>
          <w:color w:val="auto"/>
          <w:lang w:val="en-US"/>
        </w:rPr>
        <w:t xml:space="preserve">As described by </w:t>
      </w:r>
      <w:r w:rsidR="00F7703B" w:rsidRPr="00EB4CFA">
        <w:rPr>
          <w:b w:val="0"/>
          <w:color w:val="auto"/>
          <w:lang w:val="en-US"/>
        </w:rPr>
        <w:t>Baulcombe, 2013.</w:t>
      </w:r>
    </w:p>
    <w:p w:rsidR="00CB005D" w:rsidRDefault="006B0405" w:rsidP="00CB005D">
      <w:pPr>
        <w:spacing w:line="360" w:lineRule="auto"/>
        <w:jc w:val="both"/>
      </w:pPr>
      <w:r w:rsidRPr="006B0405">
        <w:t xml:space="preserve">In experiments using plant </w:t>
      </w:r>
      <w:r w:rsidRPr="006B0405">
        <w:rPr>
          <w:i/>
        </w:rPr>
        <w:t>ago</w:t>
      </w:r>
      <w:r w:rsidRPr="006B0405">
        <w:t xml:space="preserve"> mutants or </w:t>
      </w:r>
      <w:r w:rsidRPr="006B0405">
        <w:rPr>
          <w:i/>
        </w:rPr>
        <w:t>B.</w:t>
      </w:r>
      <w:r w:rsidR="00697567">
        <w:rPr>
          <w:i/>
        </w:rPr>
        <w:t xml:space="preserve"> </w:t>
      </w:r>
      <w:r w:rsidRPr="006B0405">
        <w:rPr>
          <w:i/>
        </w:rPr>
        <w:t>cinerea</w:t>
      </w:r>
      <w:r w:rsidRPr="006B0405">
        <w:t xml:space="preserve"> strains no longer capable of sRNA production, disease symptoms were much weaker than in interactions between wild type plants and pathogens (Weiberg </w:t>
      </w:r>
      <w:r w:rsidRPr="006B0405">
        <w:rPr>
          <w:i/>
        </w:rPr>
        <w:t>et al</w:t>
      </w:r>
      <w:r w:rsidR="00CB005D">
        <w:t>., 2013).</w:t>
      </w:r>
    </w:p>
    <w:p w:rsidR="00697567" w:rsidRDefault="00697567" w:rsidP="00CB005D">
      <w:pPr>
        <w:spacing w:line="360" w:lineRule="auto"/>
        <w:jc w:val="both"/>
        <w:sectPr w:rsidR="00697567" w:rsidSect="009608E1">
          <w:headerReference w:type="default" r:id="rId36"/>
          <w:type w:val="continuous"/>
          <w:pgSz w:w="11906" w:h="16838"/>
          <w:pgMar w:top="1417" w:right="1417" w:bottom="1134" w:left="1417" w:header="708" w:footer="708" w:gutter="0"/>
          <w:cols w:space="708"/>
          <w:titlePg/>
          <w:docGrid w:linePitch="360"/>
        </w:sectPr>
      </w:pPr>
    </w:p>
    <w:p w:rsidR="006B0405" w:rsidRPr="00102B90" w:rsidRDefault="00563EC1" w:rsidP="00102B90">
      <w:pPr>
        <w:pStyle w:val="berschrift2"/>
        <w:spacing w:after="240"/>
        <w:rPr>
          <w:color w:val="auto"/>
        </w:rPr>
      </w:pPr>
      <w:bookmarkStart w:id="34" w:name="_Toc435621210"/>
      <w:r>
        <w:rPr>
          <w:color w:val="auto"/>
        </w:rPr>
        <w:lastRenderedPageBreak/>
        <w:t xml:space="preserve">3.8 </w:t>
      </w:r>
      <w:r w:rsidR="006B0405" w:rsidRPr="00102B90">
        <w:rPr>
          <w:color w:val="auto"/>
        </w:rPr>
        <w:t xml:space="preserve">Resistance against the powdery mildew fungus </w:t>
      </w:r>
      <w:r w:rsidR="006B0405" w:rsidRPr="00102B90">
        <w:rPr>
          <w:i/>
          <w:color w:val="auto"/>
        </w:rPr>
        <w:t>Golovinomyces orontii</w:t>
      </w:r>
      <w:bookmarkEnd w:id="34"/>
    </w:p>
    <w:p w:rsidR="00431343" w:rsidRPr="00431343" w:rsidRDefault="006B0405" w:rsidP="00431343">
      <w:pPr>
        <w:spacing w:after="0" w:line="360" w:lineRule="auto"/>
        <w:jc w:val="both"/>
      </w:pPr>
      <w:r w:rsidRPr="006B0405">
        <w:t xml:space="preserve">The powdery mildew fungus </w:t>
      </w:r>
      <w:r w:rsidRPr="006B0405">
        <w:rPr>
          <w:i/>
        </w:rPr>
        <w:t>Golovinomyces orontii</w:t>
      </w:r>
      <w:r w:rsidRPr="006B0405">
        <w:t xml:space="preserve"> follows an obligate biotrophic lifestyle and adapted its metabolism closely to its host in order to do</w:t>
      </w:r>
      <w:r w:rsidR="00E711C6">
        <w:t xml:space="preserve"> so.</w:t>
      </w:r>
      <w:r w:rsidR="00D476DB">
        <w:t xml:space="preserve"> A</w:t>
      </w:r>
      <w:r w:rsidR="00A0292C">
        <w:t>fter germination of a</w:t>
      </w:r>
      <w:r w:rsidR="00D476DB">
        <w:t xml:space="preserve"> conidiospore on the leaf surface, the fungus p</w:t>
      </w:r>
      <w:r w:rsidR="00A0292C">
        <w:t>enetrates an epidermal cell and</w:t>
      </w:r>
      <w:r w:rsidR="00D476DB">
        <w:t xml:space="preserve"> </w:t>
      </w:r>
      <w:r w:rsidR="006305DC">
        <w:t xml:space="preserve">at approximately 1 dpi </w:t>
      </w:r>
      <w:r w:rsidR="00D476DB">
        <w:t xml:space="preserve">establishes the haustorial complex, a feeding structure, inside the cell (Micali </w:t>
      </w:r>
      <w:r w:rsidR="00D476DB" w:rsidRPr="00A0292C">
        <w:rPr>
          <w:i/>
        </w:rPr>
        <w:t>et al</w:t>
      </w:r>
      <w:r w:rsidR="00D476DB">
        <w:t>., 2008</w:t>
      </w:r>
      <w:r w:rsidR="00557F81">
        <w:t xml:space="preserve">; Chandran </w:t>
      </w:r>
      <w:r w:rsidR="00557F81" w:rsidRPr="00557F81">
        <w:rPr>
          <w:i/>
        </w:rPr>
        <w:t>et al</w:t>
      </w:r>
      <w:r w:rsidR="00557F81">
        <w:t>., 2013; Figure 19</w:t>
      </w:r>
      <w:r w:rsidR="00D476DB">
        <w:t>).</w:t>
      </w:r>
      <w:r w:rsidR="00557F81">
        <w:t xml:space="preserve"> </w:t>
      </w:r>
      <w:r w:rsidR="006305DC" w:rsidRPr="006305DC">
        <w:rPr>
          <w:i/>
        </w:rPr>
        <w:t>G. orontii</w:t>
      </w:r>
      <w:r w:rsidR="00697567" w:rsidRPr="00FA3673">
        <w:t xml:space="preserve"> then shows extensive hyphal growth on the leaf surface and develops asexual reproductive structures (conidiophores) at 3 dpi and later. In </w:t>
      </w:r>
      <w:r w:rsidR="00697567" w:rsidRPr="00FA3673">
        <w:rPr>
          <w:i/>
        </w:rPr>
        <w:t>Arabidopsis</w:t>
      </w:r>
      <w:r w:rsidR="00697567" w:rsidRPr="00FA3673">
        <w:t xml:space="preserve">, non-host resistance against non-adapted powdery mildew strains is dependent on the myrosinase PEN2 and </w:t>
      </w:r>
      <w:r w:rsidR="00EE0B03">
        <w:t>SA</w:t>
      </w:r>
      <w:r w:rsidR="00697567" w:rsidRPr="00FA3673">
        <w:t xml:space="preserve">-mediated defence signalling (Lipka </w:t>
      </w:r>
      <w:r w:rsidR="00697567" w:rsidRPr="00FA3673">
        <w:rPr>
          <w:i/>
        </w:rPr>
        <w:t>et al.</w:t>
      </w:r>
      <w:r w:rsidR="00697567" w:rsidRPr="00FA3673">
        <w:t xml:space="preserve">, 2005; Bednarek </w:t>
      </w:r>
      <w:r w:rsidR="00697567" w:rsidRPr="00FA3673">
        <w:rPr>
          <w:i/>
        </w:rPr>
        <w:t>et al</w:t>
      </w:r>
      <w:r w:rsidR="00697567" w:rsidRPr="00FA3673">
        <w:t xml:space="preserve">., 2009; Chandran </w:t>
      </w:r>
      <w:r w:rsidR="00697567" w:rsidRPr="00FA3673">
        <w:rPr>
          <w:i/>
        </w:rPr>
        <w:t>et al</w:t>
      </w:r>
      <w:r w:rsidR="00697567" w:rsidRPr="00FA3673">
        <w:t>., 2013). In addition to SA-mediated defence signalling</w:t>
      </w:r>
      <w:r w:rsidR="006305DC">
        <w:t>,</w:t>
      </w:r>
      <w:r w:rsidR="00697567" w:rsidRPr="00FA3673">
        <w:t xml:space="preserve"> other defence hormone pathways like </w:t>
      </w:r>
      <w:r w:rsidR="00083768">
        <w:t>ET</w:t>
      </w:r>
      <w:r w:rsidR="006305DC">
        <w:t>-</w:t>
      </w:r>
      <w:r w:rsidR="00697567" w:rsidRPr="00FA3673">
        <w:t xml:space="preserve"> or </w:t>
      </w:r>
      <w:r w:rsidR="00083768">
        <w:t>JA</w:t>
      </w:r>
      <w:r w:rsidR="006305DC">
        <w:t>-signalling seem to be of importance</w:t>
      </w:r>
      <w:r w:rsidR="00697567" w:rsidRPr="00FA3673">
        <w:t xml:space="preserve">, too. Research showed that mutations in </w:t>
      </w:r>
      <w:r w:rsidR="00697567" w:rsidRPr="00FA3673">
        <w:rPr>
          <w:i/>
        </w:rPr>
        <w:t>PAD4, EDS5, ICS1</w:t>
      </w:r>
      <w:r w:rsidR="00697567" w:rsidRPr="00FA3673">
        <w:t xml:space="preserve">, and </w:t>
      </w:r>
      <w:r w:rsidR="00697567" w:rsidRPr="00FA3673">
        <w:rPr>
          <w:i/>
        </w:rPr>
        <w:t>NPR1</w:t>
      </w:r>
      <w:r w:rsidR="00697567" w:rsidRPr="00FA3673">
        <w:t>, genes involved in SA-mediated signalling</w:t>
      </w:r>
      <w:r w:rsidR="00697567">
        <w:t>,</w:t>
      </w:r>
      <w:r w:rsidR="00697567" w:rsidRPr="00FA3673">
        <w:t xml:space="preserve"> resulted in higher susceptibility of plants towards powdery mildew pathogens (Reuber </w:t>
      </w:r>
      <w:r w:rsidR="00697567" w:rsidRPr="00FA3673">
        <w:rPr>
          <w:i/>
        </w:rPr>
        <w:t>et al</w:t>
      </w:r>
      <w:r w:rsidR="00697567" w:rsidRPr="00FA3673">
        <w:t xml:space="preserve">., 1998; Wildermuth </w:t>
      </w:r>
      <w:r w:rsidR="00697567" w:rsidRPr="00FA3673">
        <w:rPr>
          <w:i/>
        </w:rPr>
        <w:t>et al</w:t>
      </w:r>
      <w:r w:rsidR="00697567" w:rsidRPr="00FA3673">
        <w:t xml:space="preserve">., 2001; Chandran </w:t>
      </w:r>
      <w:r w:rsidR="00697567" w:rsidRPr="00FA3673">
        <w:rPr>
          <w:i/>
        </w:rPr>
        <w:t>et al</w:t>
      </w:r>
      <w:r w:rsidR="00697567" w:rsidRPr="00FA3673">
        <w:t>., 2013).</w:t>
      </w:r>
      <w:r w:rsidR="00697567" w:rsidRPr="00697567">
        <w:t xml:space="preserve"> </w:t>
      </w:r>
      <w:r w:rsidR="00083768">
        <w:t>ET</w:t>
      </w:r>
      <w:r w:rsidR="006305DC">
        <w:t>-</w:t>
      </w:r>
      <w:r w:rsidR="00697567" w:rsidRPr="00FA3673">
        <w:t xml:space="preserve"> and </w:t>
      </w:r>
      <w:r w:rsidR="00697567">
        <w:t>JA</w:t>
      </w:r>
      <w:r w:rsidR="006305DC">
        <w:t>-signalling</w:t>
      </w:r>
      <w:r w:rsidR="00697567" w:rsidRPr="00FA3673">
        <w:t xml:space="preserve"> pathways are not typically activated after infection with </w:t>
      </w:r>
      <w:r w:rsidR="00697567" w:rsidRPr="00FA3673">
        <w:rPr>
          <w:i/>
        </w:rPr>
        <w:t>G.</w:t>
      </w:r>
      <w:r w:rsidR="006305DC">
        <w:rPr>
          <w:i/>
        </w:rPr>
        <w:t xml:space="preserve"> </w:t>
      </w:r>
      <w:r w:rsidR="00697567" w:rsidRPr="00FA3673">
        <w:rPr>
          <w:i/>
        </w:rPr>
        <w:t>orontii</w:t>
      </w:r>
      <w:r w:rsidR="00697567" w:rsidRPr="00FA3673">
        <w:t xml:space="preserve">, but mutants showing constitutive activation of these signalling pathways, for instance </w:t>
      </w:r>
      <w:r w:rsidR="00697567" w:rsidRPr="00FA3673">
        <w:rPr>
          <w:i/>
        </w:rPr>
        <w:t>cev1</w:t>
      </w:r>
      <w:r w:rsidR="00697567" w:rsidRPr="00FA3673">
        <w:t xml:space="preserve"> (</w:t>
      </w:r>
      <w:r w:rsidR="00F865A3">
        <w:rPr>
          <w:i/>
        </w:rPr>
        <w:t>constitutive expression of vsp</w:t>
      </w:r>
      <w:r w:rsidR="00697567" w:rsidRPr="00FA3673">
        <w:rPr>
          <w:i/>
        </w:rPr>
        <w:t>1</w:t>
      </w:r>
      <w:r w:rsidR="006305DC">
        <w:t>; constitutively activated JA-</w:t>
      </w:r>
      <w:r w:rsidR="00697567" w:rsidRPr="00FA3673">
        <w:t xml:space="preserve">signalling) and an </w:t>
      </w:r>
      <w:r w:rsidR="00697567" w:rsidRPr="00FA3673">
        <w:rPr>
          <w:i/>
        </w:rPr>
        <w:t>EFR1</w:t>
      </w:r>
      <w:r w:rsidR="00697567" w:rsidRPr="00FA3673">
        <w:t xml:space="preserve"> (</w:t>
      </w:r>
      <w:r w:rsidR="00697567" w:rsidRPr="00FA3673">
        <w:rPr>
          <w:i/>
        </w:rPr>
        <w:t>ETHYLENE RESPONSE FACTOR 1</w:t>
      </w:r>
      <w:r w:rsidR="00697567" w:rsidRPr="00FA3673">
        <w:t xml:space="preserve">) overexpressor line, are more resistant to powdery </w:t>
      </w:r>
      <w:r w:rsidR="00697567" w:rsidRPr="00FA3673">
        <w:lastRenderedPageBreak/>
        <w:t xml:space="preserve">mildews (Ellis and Turner, 2001; Gu </w:t>
      </w:r>
      <w:r w:rsidR="00697567" w:rsidRPr="00FA3673">
        <w:rPr>
          <w:i/>
        </w:rPr>
        <w:t>et al</w:t>
      </w:r>
      <w:r w:rsidR="00697567" w:rsidRPr="00FA3673">
        <w:t xml:space="preserve">., 2002; Chandran </w:t>
      </w:r>
      <w:r w:rsidR="00697567" w:rsidRPr="00FA3673">
        <w:rPr>
          <w:i/>
        </w:rPr>
        <w:t>et al</w:t>
      </w:r>
      <w:r w:rsidR="00083768">
        <w:t>., 2013).</w:t>
      </w:r>
      <w:r w:rsidR="00697567" w:rsidRPr="00FA3673">
        <w:t xml:space="preserve"> In order to gain nutrients for the </w:t>
      </w:r>
      <w:r w:rsidR="006305DC">
        <w:t>wid</w:t>
      </w:r>
      <w:r w:rsidR="00697567" w:rsidRPr="00FA3673">
        <w:t>e</w:t>
      </w:r>
      <w:r w:rsidR="006305DC">
        <w:t>spread</w:t>
      </w:r>
      <w:r w:rsidR="00697567" w:rsidRPr="00FA3673">
        <w:t xml:space="preserve"> hyphal growth and reproduction of the fungus, extensive modulations of plant gene expression are necessary (Fabro </w:t>
      </w:r>
      <w:r w:rsidR="00697567" w:rsidRPr="00FA3673">
        <w:rPr>
          <w:i/>
        </w:rPr>
        <w:t>et al</w:t>
      </w:r>
      <w:r w:rsidR="00697567" w:rsidRPr="00FA3673">
        <w:t xml:space="preserve">., 2008; Chandran </w:t>
      </w:r>
      <w:r w:rsidR="00697567" w:rsidRPr="00FA3673">
        <w:rPr>
          <w:i/>
        </w:rPr>
        <w:t>et al</w:t>
      </w:r>
      <w:r w:rsidR="00697567" w:rsidRPr="00FA3673">
        <w:t xml:space="preserve">., 2013). Similar to other obligate biotrophic pathogens, plant cell death was shown to be </w:t>
      </w:r>
      <w:r w:rsidR="00A01EDF">
        <w:t xml:space="preserve">a </w:t>
      </w:r>
      <w:r w:rsidR="00697567" w:rsidRPr="00FA3673">
        <w:t xml:space="preserve">very potent mechanism in resistance against </w:t>
      </w:r>
      <w:r w:rsidR="00697567" w:rsidRPr="00FA3673">
        <w:rPr>
          <w:i/>
        </w:rPr>
        <w:t>G.</w:t>
      </w:r>
      <w:r w:rsidR="00083768">
        <w:rPr>
          <w:i/>
        </w:rPr>
        <w:t xml:space="preserve"> </w:t>
      </w:r>
      <w:r w:rsidR="00697567" w:rsidRPr="00FA3673">
        <w:rPr>
          <w:i/>
        </w:rPr>
        <w:t xml:space="preserve">orontii </w:t>
      </w:r>
      <w:r w:rsidR="00697567" w:rsidRPr="00FA3673">
        <w:t xml:space="preserve">as well (Micali </w:t>
      </w:r>
      <w:r w:rsidR="00697567" w:rsidRPr="00FA3673">
        <w:rPr>
          <w:i/>
        </w:rPr>
        <w:t>et al</w:t>
      </w:r>
      <w:r w:rsidR="00697567" w:rsidRPr="00FA3673">
        <w:t>., 2008).</w:t>
      </w:r>
      <w:r w:rsidR="00697567">
        <w:t xml:space="preserve"> </w:t>
      </w:r>
      <w:r w:rsidR="00697567" w:rsidRPr="00FA3673">
        <w:t>Powdery mildew infection also induces callose deposition, a (1</w:t>
      </w:r>
      <w:proofErr w:type="gramStart"/>
      <w:r w:rsidR="00697567" w:rsidRPr="00FA3673">
        <w:t>,3</w:t>
      </w:r>
      <w:proofErr w:type="gramEnd"/>
      <w:r w:rsidR="00697567" w:rsidRPr="00FA3673">
        <w:t>)-</w:t>
      </w:r>
      <w:r w:rsidR="00697567" w:rsidRPr="00FA3673">
        <w:rPr>
          <w:i/>
        </w:rPr>
        <w:t>ß</w:t>
      </w:r>
      <w:r w:rsidR="00697567" w:rsidRPr="00FA3673">
        <w:t xml:space="preserve">-glucan polymer, in the form of papillae at the penetration site (Nishimura </w:t>
      </w:r>
      <w:r w:rsidR="00697567" w:rsidRPr="00FA3673">
        <w:rPr>
          <w:i/>
        </w:rPr>
        <w:t>et al</w:t>
      </w:r>
      <w:r w:rsidR="00697567" w:rsidRPr="00FA3673">
        <w:t>., 2003).</w:t>
      </w:r>
    </w:p>
    <w:p w:rsidR="006B0405" w:rsidRPr="00431343" w:rsidRDefault="006B0405" w:rsidP="00640CF9">
      <w:pPr>
        <w:spacing w:after="0" w:line="360" w:lineRule="auto"/>
        <w:jc w:val="both"/>
        <w:rPr>
          <w:b/>
        </w:rPr>
      </w:pPr>
    </w:p>
    <w:p w:rsidR="00F7703B" w:rsidRDefault="006B0405" w:rsidP="00FC7225">
      <w:pPr>
        <w:keepNext/>
        <w:spacing w:after="0" w:line="360" w:lineRule="auto"/>
        <w:jc w:val="both"/>
      </w:pPr>
      <w:r w:rsidRPr="006B0405">
        <w:rPr>
          <w:b/>
          <w:noProof/>
          <w:lang w:val="de-DE" w:eastAsia="de-DE"/>
        </w:rPr>
        <w:drawing>
          <wp:anchor distT="0" distB="0" distL="114300" distR="114300" simplePos="0" relativeHeight="251678720" behindDoc="0" locked="0" layoutInCell="1" allowOverlap="1" wp14:anchorId="19488635" wp14:editId="0E515521">
            <wp:simplePos x="895350" y="3790950"/>
            <wp:positionH relativeFrom="page">
              <wp:align>center</wp:align>
            </wp:positionH>
            <wp:positionV relativeFrom="paragraph">
              <wp:posOffset>0</wp:posOffset>
            </wp:positionV>
            <wp:extent cx="5040000" cy="3809525"/>
            <wp:effectExtent l="19050" t="19050" r="27305" b="19685"/>
            <wp:wrapTopAndBottom/>
            <wp:docPr id="24" name="Grafi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o infection cycle_Panstruga2012.png"/>
                    <pic:cNvPicPr/>
                  </pic:nvPicPr>
                  <pic:blipFill rotWithShape="1">
                    <a:blip r:embed="rId37" cstate="print">
                      <a:extLst>
                        <a:ext uri="{28A0092B-C50C-407E-A947-70E740481C1C}">
                          <a14:useLocalDpi xmlns:a14="http://schemas.microsoft.com/office/drawing/2010/main" val="0"/>
                        </a:ext>
                      </a:extLst>
                    </a:blip>
                    <a:srcRect r="1173"/>
                    <a:stretch/>
                  </pic:blipFill>
                  <pic:spPr bwMode="auto">
                    <a:xfrm>
                      <a:off x="0" y="0"/>
                      <a:ext cx="5040000" cy="3809525"/>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D94965" w:rsidRPr="00EB4CFA" w:rsidRDefault="00F7703B" w:rsidP="00083768">
      <w:pPr>
        <w:pStyle w:val="Beschriftung"/>
        <w:spacing w:after="0" w:line="360" w:lineRule="auto"/>
        <w:jc w:val="both"/>
        <w:rPr>
          <w:color w:val="auto"/>
          <w:lang w:val="en-US"/>
        </w:rPr>
      </w:pPr>
      <w:bookmarkStart w:id="35" w:name="_Toc435621137"/>
      <w:proofErr w:type="gramStart"/>
      <w:r w:rsidRPr="00EB4CFA">
        <w:rPr>
          <w:color w:val="auto"/>
        </w:rPr>
        <w:t xml:space="preserve">Figure </w:t>
      </w:r>
      <w:r w:rsidRPr="00EB4CFA">
        <w:rPr>
          <w:color w:val="auto"/>
        </w:rPr>
        <w:fldChar w:fldCharType="begin"/>
      </w:r>
      <w:r w:rsidRPr="00EB4CFA">
        <w:rPr>
          <w:color w:val="auto"/>
        </w:rPr>
        <w:instrText xml:space="preserve"> SEQ Figure \* ARABIC </w:instrText>
      </w:r>
      <w:r w:rsidRPr="00EB4CFA">
        <w:rPr>
          <w:color w:val="auto"/>
        </w:rPr>
        <w:fldChar w:fldCharType="separate"/>
      </w:r>
      <w:r w:rsidR="00CB17FE">
        <w:rPr>
          <w:noProof/>
          <w:color w:val="auto"/>
        </w:rPr>
        <w:t>19</w:t>
      </w:r>
      <w:r w:rsidRPr="00EB4CFA">
        <w:rPr>
          <w:color w:val="auto"/>
        </w:rPr>
        <w:fldChar w:fldCharType="end"/>
      </w:r>
      <w:r w:rsidR="00CF1261">
        <w:rPr>
          <w:color w:val="auto"/>
        </w:rPr>
        <w:t>.</w:t>
      </w:r>
      <w:proofErr w:type="gramEnd"/>
      <w:r w:rsidRPr="00EB4CFA">
        <w:rPr>
          <w:color w:val="auto"/>
        </w:rPr>
        <w:t xml:space="preserve"> </w:t>
      </w:r>
      <w:proofErr w:type="gramStart"/>
      <w:r w:rsidRPr="00EB4CFA">
        <w:rPr>
          <w:color w:val="auto"/>
          <w:lang w:val="en-US"/>
        </w:rPr>
        <w:t xml:space="preserve">Infection cycle of </w:t>
      </w:r>
      <w:r w:rsidRPr="00EB4CFA">
        <w:rPr>
          <w:i/>
          <w:color w:val="auto"/>
          <w:lang w:val="en-US"/>
        </w:rPr>
        <w:t>Golovinomyces orontii</w:t>
      </w:r>
      <w:r w:rsidRPr="00EB4CFA">
        <w:rPr>
          <w:color w:val="auto"/>
          <w:lang w:val="en-US"/>
        </w:rPr>
        <w:t>.</w:t>
      </w:r>
      <w:bookmarkEnd w:id="35"/>
      <w:proofErr w:type="gramEnd"/>
      <w:r w:rsidRPr="00EB4CFA">
        <w:rPr>
          <w:color w:val="auto"/>
          <w:lang w:val="en-US"/>
        </w:rPr>
        <w:t xml:space="preserve"> </w:t>
      </w:r>
    </w:p>
    <w:p w:rsidR="00F7703B" w:rsidRPr="00EB4CFA" w:rsidRDefault="00F7703B" w:rsidP="00F7703B">
      <w:pPr>
        <w:pStyle w:val="Beschriftung"/>
        <w:jc w:val="both"/>
        <w:rPr>
          <w:b w:val="0"/>
          <w:color w:val="auto"/>
          <w:lang w:val="en-US"/>
        </w:rPr>
      </w:pPr>
      <w:proofErr w:type="gramStart"/>
      <w:r w:rsidRPr="00EB4CFA">
        <w:rPr>
          <w:b w:val="0"/>
          <w:color w:val="auto"/>
          <w:lang w:val="en-US"/>
        </w:rPr>
        <w:t xml:space="preserve">After germination of conidiospores an appressorium is formed followed by </w:t>
      </w:r>
      <w:r w:rsidR="006305DC">
        <w:rPr>
          <w:b w:val="0"/>
          <w:color w:val="auto"/>
          <w:lang w:val="en-US"/>
        </w:rPr>
        <w:t xml:space="preserve">haustorium </w:t>
      </w:r>
      <w:r w:rsidRPr="00EB4CFA">
        <w:rPr>
          <w:b w:val="0"/>
          <w:color w:val="auto"/>
          <w:lang w:val="en-US"/>
        </w:rPr>
        <w:t>formation.</w:t>
      </w:r>
      <w:proofErr w:type="gramEnd"/>
      <w:r w:rsidRPr="00EB4CFA">
        <w:rPr>
          <w:b w:val="0"/>
          <w:color w:val="auto"/>
          <w:lang w:val="en-US"/>
        </w:rPr>
        <w:t xml:space="preserve"> In the course of infection, several more appressoria develop in cells adjacent to the first invaginated plant cell. The infection cycle is completed by establishment of conidiophores carrying conidiospore</w:t>
      </w:r>
      <w:r w:rsidR="00C3637D" w:rsidRPr="00EB4CFA">
        <w:rPr>
          <w:b w:val="0"/>
          <w:color w:val="auto"/>
          <w:lang w:val="en-US"/>
        </w:rPr>
        <w:t>s at 4 to 7 days post infection</w:t>
      </w:r>
      <w:r w:rsidRPr="00EB4CFA">
        <w:rPr>
          <w:b w:val="0"/>
          <w:color w:val="auto"/>
          <w:lang w:val="en-US"/>
        </w:rPr>
        <w:t xml:space="preserve"> </w:t>
      </w:r>
      <w:r w:rsidR="00C3637D" w:rsidRPr="00EB4CFA">
        <w:rPr>
          <w:b w:val="0"/>
          <w:color w:val="auto"/>
          <w:lang w:val="en-US"/>
        </w:rPr>
        <w:t>(</w:t>
      </w:r>
      <w:r w:rsidRPr="00EB4CFA">
        <w:rPr>
          <w:b w:val="0"/>
          <w:color w:val="auto"/>
          <w:lang w:val="en-US"/>
        </w:rPr>
        <w:t>Weßling and Panstruga, 2012</w:t>
      </w:r>
      <w:r w:rsidR="00C3637D" w:rsidRPr="00EB4CFA">
        <w:rPr>
          <w:b w:val="0"/>
          <w:color w:val="auto"/>
          <w:lang w:val="en-US"/>
        </w:rPr>
        <w:t>)</w:t>
      </w:r>
      <w:r w:rsidRPr="00EB4CFA">
        <w:rPr>
          <w:b w:val="0"/>
          <w:color w:val="auto"/>
          <w:lang w:val="en-US"/>
        </w:rPr>
        <w:t>.</w:t>
      </w:r>
    </w:p>
    <w:p w:rsidR="006B0405" w:rsidRPr="006B0405" w:rsidRDefault="00FA3673" w:rsidP="006B0405">
      <w:pPr>
        <w:spacing w:line="360" w:lineRule="auto"/>
        <w:jc w:val="both"/>
      </w:pPr>
      <w:r w:rsidRPr="00FA3673">
        <w:t xml:space="preserve">There are conflicting reports regarding this callose deposition after fungal penetration: On the one hand, in plants deficient in pathogen-induced callose deposition, resistance was higher compared to WT plants and it was speculated that the fungus might use callose deposition by the plant as a “cloaking device” to mask </w:t>
      </w:r>
      <w:r w:rsidR="00083768">
        <w:t>its</w:t>
      </w:r>
      <w:r w:rsidRPr="00FA3673">
        <w:t xml:space="preserve"> presence and protect its haustoria (Nishimura </w:t>
      </w:r>
      <w:r w:rsidRPr="00FA3673">
        <w:rPr>
          <w:i/>
        </w:rPr>
        <w:t>et al</w:t>
      </w:r>
      <w:r w:rsidRPr="00FA3673">
        <w:t xml:space="preserve">., 2003; Maor and Shirasu, 2005). On the other hand, recent experiments have shown that elevated amounts of callose, deposited at an early time point in infection with powdery mildews, indeed confers penetration resistance (Ellinger </w:t>
      </w:r>
      <w:r w:rsidRPr="00FA3673">
        <w:rPr>
          <w:i/>
        </w:rPr>
        <w:t>et al.,</w:t>
      </w:r>
      <w:r w:rsidRPr="00FA3673">
        <w:t xml:space="preserve"> 2013). In </w:t>
      </w:r>
      <w:r w:rsidRPr="00FA3673">
        <w:rPr>
          <w:i/>
        </w:rPr>
        <w:t>Arabidopsis</w:t>
      </w:r>
      <w:r w:rsidRPr="00FA3673">
        <w:t xml:space="preserve"> plants resistant to </w:t>
      </w:r>
      <w:r w:rsidRPr="00FA3673">
        <w:rPr>
          <w:i/>
        </w:rPr>
        <w:t>Golovinomyces orontii</w:t>
      </w:r>
      <w:r w:rsidRPr="00FA3673">
        <w:t xml:space="preserve">, multiple copies of the </w:t>
      </w:r>
      <w:r w:rsidRPr="00083768">
        <w:rPr>
          <w:i/>
        </w:rPr>
        <w:t>R</w:t>
      </w:r>
      <w:r w:rsidRPr="00FA3673">
        <w:t xml:space="preserve"> genes </w:t>
      </w:r>
      <w:r w:rsidRPr="00FA3673">
        <w:rPr>
          <w:i/>
        </w:rPr>
        <w:t>RPW8.1</w:t>
      </w:r>
      <w:r w:rsidRPr="00FA3673">
        <w:t xml:space="preserve"> and </w:t>
      </w:r>
      <w:r w:rsidRPr="00FA3673">
        <w:rPr>
          <w:i/>
        </w:rPr>
        <w:t>RPW8.2</w:t>
      </w:r>
      <w:r w:rsidRPr="00FA3673">
        <w:t xml:space="preserve"> were detected (Xiao </w:t>
      </w:r>
      <w:r w:rsidRPr="00FA3673">
        <w:rPr>
          <w:i/>
        </w:rPr>
        <w:t>et al.</w:t>
      </w:r>
      <w:r w:rsidRPr="00FA3673">
        <w:t xml:space="preserve">, 2003). These resistance genes engage the SA-signalling </w:t>
      </w:r>
      <w:r w:rsidRPr="00FA3673">
        <w:lastRenderedPageBreak/>
        <w:t xml:space="preserve">pathway, including SA, </w:t>
      </w:r>
      <w:r w:rsidRPr="00FA3673">
        <w:rPr>
          <w:i/>
        </w:rPr>
        <w:t>EDS1</w:t>
      </w:r>
      <w:r w:rsidRPr="00FA3673">
        <w:t xml:space="preserve">, the NB-LRR gene signalling components </w:t>
      </w:r>
      <w:r w:rsidRPr="00FA3673">
        <w:rPr>
          <w:i/>
        </w:rPr>
        <w:t>PAD4, EDS5</w:t>
      </w:r>
      <w:r w:rsidRPr="00FA3673">
        <w:t xml:space="preserve">, and </w:t>
      </w:r>
      <w:r w:rsidRPr="00FA3673">
        <w:rPr>
          <w:i/>
        </w:rPr>
        <w:t>NPR1</w:t>
      </w:r>
      <w:r w:rsidRPr="00FA3673">
        <w:t xml:space="preserve"> in order to activate </w:t>
      </w:r>
      <w:r w:rsidR="006305DC">
        <w:t>HR</w:t>
      </w:r>
      <w:r w:rsidRPr="00FA3673">
        <w:t xml:space="preserve"> and induce resistance (Xiao </w:t>
      </w:r>
      <w:r w:rsidRPr="00FA3673">
        <w:rPr>
          <w:i/>
        </w:rPr>
        <w:t>et al</w:t>
      </w:r>
      <w:r w:rsidRPr="00FA3673">
        <w:t>., 2005).</w:t>
      </w:r>
      <w:r w:rsidR="00997B3A">
        <w:t xml:space="preserve"> </w:t>
      </w:r>
      <w:r w:rsidR="006B0405" w:rsidRPr="006B0405">
        <w:t xml:space="preserve">Recent studies provided evidence that RPW8 proteins are targeted and translocated specifically to the extrahaustorial membrane of </w:t>
      </w:r>
      <w:r w:rsidR="006B0405" w:rsidRPr="006B0405">
        <w:rPr>
          <w:i/>
        </w:rPr>
        <w:t>G.</w:t>
      </w:r>
      <w:r w:rsidR="00083768">
        <w:rPr>
          <w:i/>
        </w:rPr>
        <w:t xml:space="preserve"> </w:t>
      </w:r>
      <w:r w:rsidR="006B0405" w:rsidRPr="006B0405">
        <w:rPr>
          <w:i/>
        </w:rPr>
        <w:t>orontii</w:t>
      </w:r>
      <w:r w:rsidR="006B0405" w:rsidRPr="006B0405">
        <w:t xml:space="preserve"> and induce broad-spectrum resistance against powdery mildew pathogens (Wang </w:t>
      </w:r>
      <w:r w:rsidR="006B0405" w:rsidRPr="006B0405">
        <w:rPr>
          <w:i/>
        </w:rPr>
        <w:t>et al</w:t>
      </w:r>
      <w:r w:rsidR="006B0405" w:rsidRPr="006B0405">
        <w:t xml:space="preserve">., 2013). </w:t>
      </w:r>
    </w:p>
    <w:p w:rsidR="00B517AA" w:rsidRDefault="00B517AA" w:rsidP="00102B90">
      <w:pPr>
        <w:pStyle w:val="berschrift2"/>
        <w:spacing w:after="240"/>
        <w:jc w:val="both"/>
        <w:rPr>
          <w:color w:val="auto"/>
        </w:rPr>
        <w:sectPr w:rsidR="00B517AA" w:rsidSect="009608E1">
          <w:headerReference w:type="default" r:id="rId38"/>
          <w:headerReference w:type="first" r:id="rId39"/>
          <w:type w:val="continuous"/>
          <w:pgSz w:w="11906" w:h="16838"/>
          <w:pgMar w:top="1417" w:right="1417" w:bottom="1134" w:left="1417" w:header="708" w:footer="708" w:gutter="0"/>
          <w:cols w:space="708"/>
          <w:titlePg/>
          <w:docGrid w:linePitch="360"/>
        </w:sectPr>
      </w:pPr>
    </w:p>
    <w:p w:rsidR="006B0405" w:rsidRPr="00102B90" w:rsidRDefault="00563EC1" w:rsidP="00102B90">
      <w:pPr>
        <w:pStyle w:val="berschrift2"/>
        <w:spacing w:after="240"/>
        <w:jc w:val="both"/>
        <w:rPr>
          <w:i/>
          <w:color w:val="auto"/>
        </w:rPr>
      </w:pPr>
      <w:bookmarkStart w:id="36" w:name="_Toc435621211"/>
      <w:r>
        <w:rPr>
          <w:color w:val="auto"/>
        </w:rPr>
        <w:lastRenderedPageBreak/>
        <w:t xml:space="preserve">3.9 </w:t>
      </w:r>
      <w:r w:rsidR="006B0405" w:rsidRPr="00102B90">
        <w:rPr>
          <w:color w:val="auto"/>
        </w:rPr>
        <w:t xml:space="preserve">The </w:t>
      </w:r>
      <w:r w:rsidR="00F27B4F">
        <w:rPr>
          <w:color w:val="auto"/>
        </w:rPr>
        <w:t xml:space="preserve">biotrophic </w:t>
      </w:r>
      <w:r w:rsidR="006B0405" w:rsidRPr="00102B90">
        <w:rPr>
          <w:color w:val="auto"/>
        </w:rPr>
        <w:t xml:space="preserve">oomycete </w:t>
      </w:r>
      <w:r w:rsidR="006B0405" w:rsidRPr="00102B90">
        <w:rPr>
          <w:i/>
          <w:color w:val="auto"/>
        </w:rPr>
        <w:t>Hyaloperonospora arabidopsidis</w:t>
      </w:r>
      <w:r w:rsidR="00BD1EDF">
        <w:rPr>
          <w:color w:val="auto"/>
        </w:rPr>
        <w:t xml:space="preserve"> </w:t>
      </w:r>
      <w:r w:rsidR="00F27B4F">
        <w:rPr>
          <w:color w:val="auto"/>
        </w:rPr>
        <w:t>specialised on</w:t>
      </w:r>
      <w:r w:rsidR="006B0405" w:rsidRPr="00102B90">
        <w:rPr>
          <w:color w:val="auto"/>
        </w:rPr>
        <w:t xml:space="preserve"> </w:t>
      </w:r>
      <w:r w:rsidR="006B0405" w:rsidRPr="00102B90">
        <w:rPr>
          <w:i/>
          <w:color w:val="auto"/>
        </w:rPr>
        <w:t>Arabidopsis thaliana</w:t>
      </w:r>
      <w:bookmarkEnd w:id="36"/>
    </w:p>
    <w:p w:rsidR="00FC7225" w:rsidRDefault="006B0405" w:rsidP="00FC7225">
      <w:pPr>
        <w:spacing w:line="360" w:lineRule="auto"/>
        <w:jc w:val="both"/>
      </w:pPr>
      <w:r w:rsidRPr="006B0405">
        <w:t xml:space="preserve">The downy mildew </w:t>
      </w:r>
      <w:r w:rsidRPr="006B0405">
        <w:rPr>
          <w:i/>
        </w:rPr>
        <w:t>Hyaloperonospora arabidopsidis</w:t>
      </w:r>
      <w:r w:rsidRPr="006B0405">
        <w:t xml:space="preserve"> is one of various pathogens responsible for foliage blight and is closely adapted to its host </w:t>
      </w:r>
      <w:r w:rsidRPr="006B0405">
        <w:rPr>
          <w:i/>
        </w:rPr>
        <w:t>Arabidopsis thaliana</w:t>
      </w:r>
      <w:r w:rsidR="00F27B4F">
        <w:t>. Phylogenetically, t</w:t>
      </w:r>
      <w:r w:rsidRPr="006B0405">
        <w:t>his pathogen does not belong to the group of fungi, as described i</w:t>
      </w:r>
      <w:r w:rsidR="00431343">
        <w:t xml:space="preserve">n the past, but to </w:t>
      </w:r>
      <w:r w:rsidR="00F27B4F">
        <w:t xml:space="preserve">the </w:t>
      </w:r>
      <w:r w:rsidR="00431343">
        <w:t xml:space="preserve">oomycetes. </w:t>
      </w:r>
      <w:r w:rsidR="00431343" w:rsidRPr="00431343">
        <w:t xml:space="preserve">Oomycetes show a </w:t>
      </w:r>
      <w:r w:rsidR="00F27B4F">
        <w:t xml:space="preserve">morphological </w:t>
      </w:r>
      <w:r w:rsidR="00431343" w:rsidRPr="00431343">
        <w:t xml:space="preserve">similarity to some fungal pathogens in their infection structures such as appressoria, infection hyphae and haustoria, but they belong to the kingdom of Stramenophiles and are thus more closely related to brown algae and diatoms (Coates and Beynon, 2010). Unlike fungi, oomycete cell walls are mostly cellulose based and contain little to no chitin. The hyphae of oomycetes are structured in a coenotic way, which means that no septa are present to </w:t>
      </w:r>
      <w:r w:rsidR="00F27B4F">
        <w:t>sub</w:t>
      </w:r>
      <w:r w:rsidR="00431343" w:rsidRPr="00431343">
        <w:t xml:space="preserve">divide </w:t>
      </w:r>
      <w:r w:rsidR="00F27B4F">
        <w:t>the</w:t>
      </w:r>
      <w:r w:rsidR="00431343" w:rsidRPr="00431343">
        <w:t xml:space="preserve"> hyphae. </w:t>
      </w:r>
    </w:p>
    <w:p w:rsidR="003D1A7E" w:rsidRDefault="003D1A7E" w:rsidP="00FC7225">
      <w:pPr>
        <w:keepNext/>
        <w:spacing w:after="0" w:line="360" w:lineRule="auto"/>
        <w:jc w:val="both"/>
      </w:pPr>
    </w:p>
    <w:p w:rsidR="007F20DB" w:rsidRDefault="006B0405" w:rsidP="00FC7225">
      <w:pPr>
        <w:keepNext/>
        <w:spacing w:after="0" w:line="360" w:lineRule="auto"/>
        <w:jc w:val="both"/>
      </w:pPr>
      <w:r w:rsidRPr="006B0405">
        <w:rPr>
          <w:b/>
          <w:noProof/>
          <w:lang w:val="de-DE" w:eastAsia="de-DE"/>
        </w:rPr>
        <w:drawing>
          <wp:anchor distT="0" distB="0" distL="114300" distR="114300" simplePos="0" relativeHeight="251679744" behindDoc="0" locked="0" layoutInCell="1" allowOverlap="1" wp14:anchorId="613B9D77" wp14:editId="4714CD33">
            <wp:simplePos x="895350" y="3429000"/>
            <wp:positionH relativeFrom="page">
              <wp:align>center</wp:align>
            </wp:positionH>
            <wp:positionV relativeFrom="paragraph">
              <wp:posOffset>0</wp:posOffset>
            </wp:positionV>
            <wp:extent cx="4680000" cy="3078943"/>
            <wp:effectExtent l="19050" t="19050" r="25400" b="26670"/>
            <wp:wrapTopAndBottom/>
            <wp:docPr id="21"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pa macro_Coates2010.pn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4680000" cy="3078943"/>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p>
    <w:p w:rsidR="00D94965" w:rsidRPr="00EB4CFA" w:rsidRDefault="007F20DB" w:rsidP="00F27B4F">
      <w:pPr>
        <w:pStyle w:val="Beschriftung"/>
        <w:spacing w:after="0" w:line="360" w:lineRule="auto"/>
        <w:jc w:val="both"/>
        <w:rPr>
          <w:color w:val="auto"/>
          <w:lang w:val="en-US"/>
        </w:rPr>
      </w:pPr>
      <w:bookmarkStart w:id="37" w:name="_Toc435621138"/>
      <w:proofErr w:type="gramStart"/>
      <w:r w:rsidRPr="00EB4CFA">
        <w:rPr>
          <w:color w:val="auto"/>
        </w:rPr>
        <w:t xml:space="preserve">Figure </w:t>
      </w:r>
      <w:r w:rsidRPr="00EB4CFA">
        <w:rPr>
          <w:color w:val="auto"/>
        </w:rPr>
        <w:fldChar w:fldCharType="begin"/>
      </w:r>
      <w:r w:rsidRPr="00EB4CFA">
        <w:rPr>
          <w:color w:val="auto"/>
        </w:rPr>
        <w:instrText xml:space="preserve"> SEQ Figure \* ARABIC </w:instrText>
      </w:r>
      <w:r w:rsidRPr="00EB4CFA">
        <w:rPr>
          <w:color w:val="auto"/>
        </w:rPr>
        <w:fldChar w:fldCharType="separate"/>
      </w:r>
      <w:r w:rsidR="00CB17FE">
        <w:rPr>
          <w:noProof/>
          <w:color w:val="auto"/>
        </w:rPr>
        <w:t>20</w:t>
      </w:r>
      <w:r w:rsidRPr="00EB4CFA">
        <w:rPr>
          <w:color w:val="auto"/>
        </w:rPr>
        <w:fldChar w:fldCharType="end"/>
      </w:r>
      <w:r w:rsidR="00CF1261">
        <w:rPr>
          <w:color w:val="auto"/>
        </w:rPr>
        <w:t>.</w:t>
      </w:r>
      <w:proofErr w:type="gramEnd"/>
      <w:r w:rsidRPr="00EB4CFA">
        <w:rPr>
          <w:color w:val="auto"/>
        </w:rPr>
        <w:t xml:space="preserve"> </w:t>
      </w:r>
      <w:r w:rsidRPr="00EB4CFA">
        <w:rPr>
          <w:i/>
          <w:color w:val="auto"/>
          <w:lang w:val="en-US"/>
        </w:rPr>
        <w:t>A</w:t>
      </w:r>
      <w:r w:rsidR="0066452D">
        <w:rPr>
          <w:i/>
          <w:color w:val="auto"/>
          <w:lang w:val="en-US"/>
        </w:rPr>
        <w:t>.</w:t>
      </w:r>
      <w:r w:rsidRPr="00EB4CFA">
        <w:rPr>
          <w:i/>
          <w:color w:val="auto"/>
          <w:lang w:val="en-US"/>
        </w:rPr>
        <w:t xml:space="preserve"> thaliana</w:t>
      </w:r>
      <w:r w:rsidRPr="00EB4CFA">
        <w:rPr>
          <w:color w:val="auto"/>
          <w:lang w:val="en-US"/>
        </w:rPr>
        <w:t xml:space="preserve"> plants infected with the oomycete </w:t>
      </w:r>
      <w:r w:rsidRPr="00EB4CFA">
        <w:rPr>
          <w:i/>
          <w:color w:val="auto"/>
          <w:lang w:val="en-US"/>
        </w:rPr>
        <w:t>H</w:t>
      </w:r>
      <w:r w:rsidR="0066452D">
        <w:rPr>
          <w:i/>
          <w:color w:val="auto"/>
          <w:lang w:val="en-US"/>
        </w:rPr>
        <w:t>.</w:t>
      </w:r>
      <w:r w:rsidRPr="00EB4CFA">
        <w:rPr>
          <w:i/>
          <w:color w:val="auto"/>
          <w:lang w:val="en-US"/>
        </w:rPr>
        <w:t xml:space="preserve"> arabidopsidis</w:t>
      </w:r>
      <w:r w:rsidRPr="00EB4CFA">
        <w:rPr>
          <w:color w:val="auto"/>
          <w:lang w:val="en-US"/>
        </w:rPr>
        <w:t>.</w:t>
      </w:r>
      <w:bookmarkEnd w:id="37"/>
      <w:r w:rsidRPr="00EB4CFA">
        <w:rPr>
          <w:color w:val="auto"/>
          <w:lang w:val="en-US"/>
        </w:rPr>
        <w:t xml:space="preserve"> </w:t>
      </w:r>
    </w:p>
    <w:p w:rsidR="007F20DB" w:rsidRPr="00C3637D" w:rsidRDefault="00C3637D" w:rsidP="007F20DB">
      <w:pPr>
        <w:pStyle w:val="Beschriftung"/>
        <w:jc w:val="both"/>
        <w:rPr>
          <w:b w:val="0"/>
          <w:color w:val="auto"/>
          <w:sz w:val="16"/>
          <w:szCs w:val="16"/>
          <w:lang w:val="en-US"/>
        </w:rPr>
      </w:pPr>
      <w:r w:rsidRPr="00EB4CFA">
        <w:rPr>
          <w:b w:val="0"/>
          <w:color w:val="auto"/>
          <w:lang w:val="en-US"/>
        </w:rPr>
        <w:t>(A</w:t>
      </w:r>
      <w:r w:rsidR="007F20DB" w:rsidRPr="00EB4CFA">
        <w:rPr>
          <w:b w:val="0"/>
          <w:color w:val="auto"/>
          <w:lang w:val="en-US"/>
        </w:rPr>
        <w:t xml:space="preserve">) </w:t>
      </w:r>
      <w:r w:rsidR="007F20DB" w:rsidRPr="00EB4CFA">
        <w:rPr>
          <w:b w:val="0"/>
          <w:i/>
          <w:color w:val="auto"/>
          <w:lang w:val="en-US"/>
        </w:rPr>
        <w:t>Arabidopsis</w:t>
      </w:r>
      <w:r w:rsidR="003D1A7E" w:rsidRPr="00EB4CFA">
        <w:rPr>
          <w:b w:val="0"/>
          <w:color w:val="auto"/>
          <w:lang w:val="en-US"/>
        </w:rPr>
        <w:t xml:space="preserve"> plant heavil</w:t>
      </w:r>
      <w:r w:rsidR="007F20DB" w:rsidRPr="00EB4CFA">
        <w:rPr>
          <w:b w:val="0"/>
          <w:color w:val="auto"/>
          <w:lang w:val="en-US"/>
        </w:rPr>
        <w:t>y infecte</w:t>
      </w:r>
      <w:r w:rsidRPr="00EB4CFA">
        <w:rPr>
          <w:b w:val="0"/>
          <w:color w:val="auto"/>
          <w:lang w:val="en-US"/>
        </w:rPr>
        <w:t>d on the underside of leaves. (B</w:t>
      </w:r>
      <w:r w:rsidR="007F20DB" w:rsidRPr="00EB4CFA">
        <w:rPr>
          <w:b w:val="0"/>
          <w:color w:val="auto"/>
          <w:lang w:val="en-US"/>
        </w:rPr>
        <w:t xml:space="preserve">) </w:t>
      </w:r>
      <w:r w:rsidR="007F20DB" w:rsidRPr="00EB4CFA">
        <w:rPr>
          <w:b w:val="0"/>
          <w:i/>
          <w:color w:val="auto"/>
          <w:lang w:val="en-US"/>
        </w:rPr>
        <w:t>Arabidopsis</w:t>
      </w:r>
      <w:r w:rsidR="007F20DB" w:rsidRPr="00EB4CFA">
        <w:rPr>
          <w:b w:val="0"/>
          <w:color w:val="auto"/>
          <w:lang w:val="en-US"/>
        </w:rPr>
        <w:t xml:space="preserve"> cotyledon supporting c</w:t>
      </w:r>
      <w:r w:rsidRPr="00EB4CFA">
        <w:rPr>
          <w:b w:val="0"/>
          <w:color w:val="auto"/>
          <w:lang w:val="en-US"/>
        </w:rPr>
        <w:t>learly visible conidiophores. (C</w:t>
      </w:r>
      <w:r w:rsidR="007F20DB" w:rsidRPr="00EB4CFA">
        <w:rPr>
          <w:b w:val="0"/>
          <w:color w:val="auto"/>
          <w:lang w:val="en-US"/>
        </w:rPr>
        <w:t>) Lactophenol/trypanblue-stained cotyledon (7 dpi) showing the leaf pervaded by oomycete hyphae (hy) and the leaf surface covered in conidiophores (cp) and sex</w:t>
      </w:r>
      <w:r w:rsidRPr="00EB4CFA">
        <w:rPr>
          <w:b w:val="0"/>
          <w:color w:val="auto"/>
          <w:lang w:val="en-US"/>
        </w:rPr>
        <w:t>ual oospores (oo), respectively</w:t>
      </w:r>
      <w:r w:rsidR="007F20DB" w:rsidRPr="00EB4CFA">
        <w:rPr>
          <w:b w:val="0"/>
          <w:color w:val="auto"/>
          <w:lang w:val="en-US"/>
        </w:rPr>
        <w:t xml:space="preserve"> </w:t>
      </w:r>
      <w:r w:rsidRPr="00EB4CFA">
        <w:rPr>
          <w:b w:val="0"/>
          <w:color w:val="auto"/>
          <w:lang w:val="en-US"/>
        </w:rPr>
        <w:t>(</w:t>
      </w:r>
      <w:r w:rsidR="007F20DB" w:rsidRPr="00EB4CFA">
        <w:rPr>
          <w:b w:val="0"/>
          <w:color w:val="auto"/>
          <w:lang w:val="en-US"/>
        </w:rPr>
        <w:t>Coates and Beynon, 2010</w:t>
      </w:r>
      <w:r w:rsidRPr="00EB4CFA">
        <w:rPr>
          <w:b w:val="0"/>
          <w:color w:val="auto"/>
          <w:lang w:val="en-US"/>
        </w:rPr>
        <w:t>)</w:t>
      </w:r>
      <w:r w:rsidR="007F20DB" w:rsidRPr="00EB4CFA">
        <w:rPr>
          <w:b w:val="0"/>
          <w:color w:val="auto"/>
          <w:lang w:val="en-US"/>
        </w:rPr>
        <w:t>.</w:t>
      </w:r>
    </w:p>
    <w:p w:rsidR="006B0405" w:rsidRPr="006B0405" w:rsidRDefault="00F27B4F" w:rsidP="006B0405">
      <w:pPr>
        <w:spacing w:line="360" w:lineRule="auto"/>
        <w:jc w:val="both"/>
      </w:pPr>
      <w:r w:rsidRPr="00431343">
        <w:lastRenderedPageBreak/>
        <w:t>In contrast to fungi, which exhibit haploid or dikaryotic vegetative nuclei, oomycete vegetative nuclei a</w:t>
      </w:r>
      <w:r>
        <w:t>re present in a diploid state. Compared to fungi, t</w:t>
      </w:r>
      <w:r w:rsidRPr="00431343">
        <w:t xml:space="preserve">here are also some differences in biochemical pathways and in the production of motile biflagellated zoospores by oomycetes </w:t>
      </w:r>
      <w:r>
        <w:t xml:space="preserve">(Coates and Beynon, 2010). </w:t>
      </w:r>
      <w:r w:rsidR="005B5290">
        <w:t>T</w:t>
      </w:r>
      <w:r w:rsidR="00630531">
        <w:t xml:space="preserve">he downy mildew </w:t>
      </w:r>
      <w:r w:rsidR="005B5290">
        <w:rPr>
          <w:i/>
        </w:rPr>
        <w:t>Hpa</w:t>
      </w:r>
      <w:r w:rsidR="00630531">
        <w:t xml:space="preserve"> is</w:t>
      </w:r>
      <w:r w:rsidR="006B0405" w:rsidRPr="006B0405">
        <w:t xml:space="preserve"> very close</w:t>
      </w:r>
      <w:r w:rsidR="00630531">
        <w:t xml:space="preserve">ly adapted to its host </w:t>
      </w:r>
      <w:r w:rsidR="00630531" w:rsidRPr="00630531">
        <w:rPr>
          <w:i/>
        </w:rPr>
        <w:t>A</w:t>
      </w:r>
      <w:r w:rsidR="0066452D">
        <w:rPr>
          <w:i/>
        </w:rPr>
        <w:t>.</w:t>
      </w:r>
      <w:r w:rsidR="00630531" w:rsidRPr="00630531">
        <w:rPr>
          <w:i/>
        </w:rPr>
        <w:t xml:space="preserve"> thaliana</w:t>
      </w:r>
      <w:r w:rsidR="006B0405" w:rsidRPr="006B0405">
        <w:t>. In the compa</w:t>
      </w:r>
      <w:r w:rsidR="003D1A7E">
        <w:t>tible interaction</w:t>
      </w:r>
      <w:r w:rsidR="006B0405" w:rsidRPr="006B0405">
        <w:t xml:space="preserve">, an asexual conidiospore that landed on a leaf germinates and forms an appressorium to enable the oomycete to gain access to plant cells (Figure 21). </w:t>
      </w:r>
    </w:p>
    <w:p w:rsidR="007F20DB" w:rsidRDefault="00712665" w:rsidP="00FC7225">
      <w:pPr>
        <w:keepNext/>
        <w:spacing w:after="0" w:line="360" w:lineRule="auto"/>
        <w:jc w:val="both"/>
      </w:pPr>
      <w:r w:rsidRPr="006B0405">
        <w:rPr>
          <w:noProof/>
          <w:lang w:val="de-DE" w:eastAsia="de-DE"/>
        </w:rPr>
        <w:drawing>
          <wp:anchor distT="0" distB="0" distL="114300" distR="114300" simplePos="0" relativeHeight="251680768" behindDoc="0" locked="0" layoutInCell="1" allowOverlap="1" wp14:anchorId="0410F7BF" wp14:editId="19FD022D">
            <wp:simplePos x="895350" y="2476500"/>
            <wp:positionH relativeFrom="page">
              <wp:align>center</wp:align>
            </wp:positionH>
            <wp:positionV relativeFrom="paragraph">
              <wp:posOffset>3810</wp:posOffset>
            </wp:positionV>
            <wp:extent cx="4320000" cy="4959996"/>
            <wp:effectExtent l="19050" t="19050" r="23495" b="12065"/>
            <wp:wrapTopAndBottom/>
            <wp:docPr id="22" name="Grafi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pa compatible and incompatible interaction_Coates2010.png"/>
                    <pic:cNvPicPr/>
                  </pic:nvPicPr>
                  <pic:blipFill rotWithShape="1">
                    <a:blip r:embed="rId41">
                      <a:extLst>
                        <a:ext uri="{28A0092B-C50C-407E-A947-70E740481C1C}">
                          <a14:useLocalDpi xmlns:a14="http://schemas.microsoft.com/office/drawing/2010/main" val="0"/>
                        </a:ext>
                      </a:extLst>
                    </a:blip>
                    <a:srcRect t="-1104" r="-1307" b="-1545"/>
                    <a:stretch/>
                  </pic:blipFill>
                  <pic:spPr bwMode="auto">
                    <a:xfrm>
                      <a:off x="0" y="0"/>
                      <a:ext cx="4320000" cy="4959996"/>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D94965" w:rsidRPr="00EB4CFA" w:rsidRDefault="007F20DB" w:rsidP="005B5290">
      <w:pPr>
        <w:pStyle w:val="Beschriftung"/>
        <w:spacing w:after="0" w:line="360" w:lineRule="auto"/>
        <w:jc w:val="both"/>
        <w:rPr>
          <w:color w:val="auto"/>
          <w:lang w:val="en-US"/>
        </w:rPr>
      </w:pPr>
      <w:bookmarkStart w:id="38" w:name="_Toc435621139"/>
      <w:proofErr w:type="gramStart"/>
      <w:r w:rsidRPr="00EB4CFA">
        <w:rPr>
          <w:color w:val="auto"/>
        </w:rPr>
        <w:t xml:space="preserve">Figure </w:t>
      </w:r>
      <w:r w:rsidRPr="00EB4CFA">
        <w:rPr>
          <w:color w:val="auto"/>
        </w:rPr>
        <w:fldChar w:fldCharType="begin"/>
      </w:r>
      <w:r w:rsidRPr="00EB4CFA">
        <w:rPr>
          <w:color w:val="auto"/>
        </w:rPr>
        <w:instrText xml:space="preserve"> SEQ Figure \* ARABIC </w:instrText>
      </w:r>
      <w:r w:rsidRPr="00EB4CFA">
        <w:rPr>
          <w:color w:val="auto"/>
        </w:rPr>
        <w:fldChar w:fldCharType="separate"/>
      </w:r>
      <w:r w:rsidR="00CB17FE">
        <w:rPr>
          <w:noProof/>
          <w:color w:val="auto"/>
        </w:rPr>
        <w:t>21</w:t>
      </w:r>
      <w:r w:rsidRPr="00EB4CFA">
        <w:rPr>
          <w:color w:val="auto"/>
        </w:rPr>
        <w:fldChar w:fldCharType="end"/>
      </w:r>
      <w:r w:rsidR="00CF1261">
        <w:rPr>
          <w:color w:val="auto"/>
        </w:rPr>
        <w:t>.</w:t>
      </w:r>
      <w:proofErr w:type="gramEnd"/>
      <w:r w:rsidRPr="00EB4CFA">
        <w:rPr>
          <w:color w:val="auto"/>
          <w:lang w:val="en-US"/>
        </w:rPr>
        <w:t xml:space="preserve"> </w:t>
      </w:r>
      <w:proofErr w:type="gramStart"/>
      <w:r w:rsidRPr="00EB4CFA">
        <w:rPr>
          <w:color w:val="auto"/>
          <w:lang w:val="en-US"/>
        </w:rPr>
        <w:t xml:space="preserve">Schematic model of compatible and incompatible interactions of </w:t>
      </w:r>
      <w:r w:rsidRPr="00EB4CFA">
        <w:rPr>
          <w:i/>
          <w:color w:val="auto"/>
          <w:lang w:val="en-US"/>
        </w:rPr>
        <w:t>A</w:t>
      </w:r>
      <w:r w:rsidR="0066452D">
        <w:rPr>
          <w:i/>
          <w:color w:val="auto"/>
          <w:lang w:val="en-US"/>
        </w:rPr>
        <w:t>.</w:t>
      </w:r>
      <w:r w:rsidR="00EC009A" w:rsidRPr="00EB4CFA">
        <w:rPr>
          <w:i/>
          <w:color w:val="auto"/>
          <w:lang w:val="en-US"/>
        </w:rPr>
        <w:t xml:space="preserve"> thaliana</w:t>
      </w:r>
      <w:r w:rsidRPr="00EB4CFA">
        <w:rPr>
          <w:color w:val="auto"/>
          <w:lang w:val="en-US"/>
        </w:rPr>
        <w:t xml:space="preserve"> with </w:t>
      </w:r>
      <w:r w:rsidR="0066452D">
        <w:rPr>
          <w:i/>
          <w:color w:val="auto"/>
          <w:lang w:val="en-US"/>
        </w:rPr>
        <w:t>Hpa</w:t>
      </w:r>
      <w:r w:rsidRPr="00EB4CFA">
        <w:rPr>
          <w:color w:val="auto"/>
          <w:lang w:val="en-US"/>
        </w:rPr>
        <w:t>.</w:t>
      </w:r>
      <w:bookmarkEnd w:id="38"/>
      <w:proofErr w:type="gramEnd"/>
      <w:r w:rsidRPr="00EB4CFA">
        <w:rPr>
          <w:color w:val="auto"/>
          <w:lang w:val="en-US"/>
        </w:rPr>
        <w:t xml:space="preserve"> </w:t>
      </w:r>
    </w:p>
    <w:p w:rsidR="006B0405" w:rsidRPr="00EB4CFA" w:rsidRDefault="007F20DB" w:rsidP="007F20DB">
      <w:pPr>
        <w:pStyle w:val="Beschriftung"/>
        <w:jc w:val="both"/>
        <w:rPr>
          <w:b w:val="0"/>
          <w:color w:val="auto"/>
          <w:lang w:val="en-US"/>
        </w:rPr>
      </w:pPr>
      <w:r w:rsidRPr="00EB4CFA">
        <w:rPr>
          <w:b w:val="0"/>
          <w:color w:val="auto"/>
          <w:lang w:val="en-US"/>
        </w:rPr>
        <w:t>In the compatible interaction the spore landing on the leaf (a) is able to germinate and form a germ tube (b) as well as appressorium (c) and haustoria (d), respectively. Hyphae grow intercellularly until exiting the leaf through stomata and producing conidiophores, which carry the asexual conidiospores (E). The incompatible interaction between plants and oomycetes is cha</w:t>
      </w:r>
      <w:r w:rsidR="00EC009A" w:rsidRPr="00EB4CFA">
        <w:rPr>
          <w:b w:val="0"/>
          <w:color w:val="auto"/>
          <w:lang w:val="en-US"/>
        </w:rPr>
        <w:t xml:space="preserve">racterised by recognition of </w:t>
      </w:r>
      <w:r w:rsidR="005B5290">
        <w:rPr>
          <w:b w:val="0"/>
          <w:i/>
          <w:color w:val="auto"/>
          <w:lang w:val="en-US"/>
        </w:rPr>
        <w:t>Hpa</w:t>
      </w:r>
      <w:r w:rsidRPr="00EB4CFA">
        <w:rPr>
          <w:b w:val="0"/>
          <w:color w:val="auto"/>
          <w:lang w:val="en-US"/>
        </w:rPr>
        <w:t xml:space="preserve"> effectors</w:t>
      </w:r>
      <w:r w:rsidR="00C3637D" w:rsidRPr="00EB4CFA">
        <w:rPr>
          <w:b w:val="0"/>
          <w:color w:val="auto"/>
          <w:lang w:val="en-US"/>
        </w:rPr>
        <w:t xml:space="preserve"> and induction of a HR response</w:t>
      </w:r>
      <w:r w:rsidRPr="00EB4CFA">
        <w:rPr>
          <w:b w:val="0"/>
          <w:color w:val="auto"/>
          <w:lang w:val="en-US"/>
        </w:rPr>
        <w:t xml:space="preserve"> </w:t>
      </w:r>
      <w:r w:rsidR="00C3637D" w:rsidRPr="00EB4CFA">
        <w:rPr>
          <w:b w:val="0"/>
          <w:color w:val="auto"/>
          <w:lang w:val="en-US"/>
        </w:rPr>
        <w:t>(</w:t>
      </w:r>
      <w:r w:rsidRPr="00EB4CFA">
        <w:rPr>
          <w:b w:val="0"/>
          <w:color w:val="auto"/>
          <w:lang w:val="en-US"/>
        </w:rPr>
        <w:t>Coates and Beynon, 201</w:t>
      </w:r>
      <w:r w:rsidR="00F86139" w:rsidRPr="00EB4CFA">
        <w:rPr>
          <w:b w:val="0"/>
          <w:color w:val="auto"/>
          <w:lang w:val="en-US"/>
        </w:rPr>
        <w:t>0</w:t>
      </w:r>
      <w:r w:rsidR="00C3637D" w:rsidRPr="00EB4CFA">
        <w:rPr>
          <w:b w:val="0"/>
          <w:color w:val="auto"/>
          <w:lang w:val="en-US"/>
        </w:rPr>
        <w:t>)</w:t>
      </w:r>
      <w:r w:rsidR="00F86139" w:rsidRPr="00EB4CFA">
        <w:rPr>
          <w:b w:val="0"/>
          <w:color w:val="auto"/>
          <w:lang w:val="en-US"/>
        </w:rPr>
        <w:t>.</w:t>
      </w:r>
    </w:p>
    <w:p w:rsidR="00FA1B62" w:rsidRDefault="005B5290" w:rsidP="00CF1261">
      <w:pPr>
        <w:spacing w:line="360" w:lineRule="auto"/>
        <w:jc w:val="both"/>
      </w:pPr>
      <w:r w:rsidRPr="006B0405">
        <w:t>The oomycete then enters the leaf by producing a penetra</w:t>
      </w:r>
      <w:r>
        <w:t>tion hypha that is able to move</w:t>
      </w:r>
      <w:r w:rsidRPr="006B0405">
        <w:t xml:space="preserve"> between the anticlinal walls of neighbouring epidermal cells. Into these epiderm</w:t>
      </w:r>
      <w:r>
        <w:t>al cells haustoria are inserted</w:t>
      </w:r>
      <w:r w:rsidRPr="006B0405">
        <w:t xml:space="preserve"> before the oomycete hyphae branch out into the mesophyll tissue, inserting haustoria into mesophyll cells on the way. Conidiophores are produced that egress </w:t>
      </w:r>
      <w:r w:rsidRPr="006B0405">
        <w:lastRenderedPageBreak/>
        <w:t>from stomata and bear asexual conidiospores</w:t>
      </w:r>
      <w:r>
        <w:t xml:space="preserve"> (Figure 20; Figure 21)</w:t>
      </w:r>
      <w:r w:rsidRPr="006B0405">
        <w:t xml:space="preserve">. </w:t>
      </w:r>
      <w:r w:rsidRPr="00431343">
        <w:t>Approximately one week after infection, sexual oospores are formed by intertwining of hyphae that differentiate into oogonia and paragynous antheridia: kar</w:t>
      </w:r>
      <w:r w:rsidR="00A01EDF">
        <w:t>y</w:t>
      </w:r>
      <w:r w:rsidRPr="00431343">
        <w:t>ogamy occurs and enables sexual reproduction of the oomycete. Oospores are able to survive during winter on plant debris and infect roots of new plants in favourable conditions, growing intercellularly through the plant and complete the pathogen´s lifecycle with production of new conidiospores and oospores (</w:t>
      </w:r>
      <w:r w:rsidRPr="009E0834">
        <w:t>Glazebrook, 2005</w:t>
      </w:r>
      <w:r>
        <w:t>; Coates and Beynon, 2010</w:t>
      </w:r>
      <w:r w:rsidRPr="00431343">
        <w:t xml:space="preserve">). As </w:t>
      </w:r>
      <w:r>
        <w:rPr>
          <w:i/>
        </w:rPr>
        <w:t>Hpa</w:t>
      </w:r>
      <w:r w:rsidRPr="00431343">
        <w:t xml:space="preserve"> is an obligate biotroph, the plant stays alive during the whole infection process (Glazebrook, 2005). In order to prompt the host to produce nutrients needed by the oomycete and to repress defence responses, </w:t>
      </w:r>
      <w:r>
        <w:rPr>
          <w:i/>
        </w:rPr>
        <w:t>Hpa</w:t>
      </w:r>
      <w:r w:rsidRPr="00431343">
        <w:t xml:space="preserve"> introduces effector proteins into plant cells (Birch </w:t>
      </w:r>
      <w:r w:rsidRPr="00431343">
        <w:rPr>
          <w:i/>
        </w:rPr>
        <w:t>et al</w:t>
      </w:r>
      <w:r w:rsidRPr="00431343">
        <w:t xml:space="preserve">., 2006; Figure 22). These effectors share a conserved RXLR motif (Arg, any amino acid, Leu, Arg) and are delivered into plant cells in a two-step process, </w:t>
      </w:r>
      <w:r>
        <w:t>the</w:t>
      </w:r>
      <w:r w:rsidRPr="00431343">
        <w:t xml:space="preserve"> secretion into the extrahaustorial space followed by translocation into the plant cell mediated by the RXLR motif and plant chaperone proteins (Birch </w:t>
      </w:r>
      <w:r w:rsidRPr="00431343">
        <w:rPr>
          <w:i/>
        </w:rPr>
        <w:t>et al</w:t>
      </w:r>
      <w:r w:rsidRPr="00431343">
        <w:t>., 20</w:t>
      </w:r>
      <w:r>
        <w:t xml:space="preserve">06; Morgan and Kamoun, 2007). </w:t>
      </w:r>
    </w:p>
    <w:p w:rsidR="007F20DB" w:rsidRDefault="006B0405" w:rsidP="00FC7225">
      <w:pPr>
        <w:keepNext/>
        <w:spacing w:after="0" w:line="360" w:lineRule="auto"/>
        <w:jc w:val="both"/>
      </w:pPr>
      <w:r w:rsidRPr="006B0405">
        <w:rPr>
          <w:noProof/>
          <w:lang w:val="de-DE" w:eastAsia="de-DE"/>
        </w:rPr>
        <w:drawing>
          <wp:anchor distT="0" distB="0" distL="114300" distR="114300" simplePos="0" relativeHeight="251681792" behindDoc="0" locked="0" layoutInCell="1" allowOverlap="1" wp14:anchorId="1A493D22" wp14:editId="06BB1174">
            <wp:simplePos x="895350" y="2476500"/>
            <wp:positionH relativeFrom="page">
              <wp:align>center</wp:align>
            </wp:positionH>
            <wp:positionV relativeFrom="paragraph">
              <wp:posOffset>3810</wp:posOffset>
            </wp:positionV>
            <wp:extent cx="5400000" cy="2648911"/>
            <wp:effectExtent l="19050" t="19050" r="10795" b="18415"/>
            <wp:wrapTopAndBottom/>
            <wp:docPr id="23" name="Grafi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XLR effector and translocation.png"/>
                    <pic:cNvPicPr/>
                  </pic:nvPicPr>
                  <pic:blipFill rotWithShape="1">
                    <a:blip r:embed="rId42" cstate="print">
                      <a:extLst>
                        <a:ext uri="{28A0092B-C50C-407E-A947-70E740481C1C}">
                          <a14:useLocalDpi xmlns:a14="http://schemas.microsoft.com/office/drawing/2010/main" val="0"/>
                        </a:ext>
                      </a:extLst>
                    </a:blip>
                    <a:srcRect l="1490" t="2310" r="1325" b="2578"/>
                    <a:stretch/>
                  </pic:blipFill>
                  <pic:spPr bwMode="auto">
                    <a:xfrm>
                      <a:off x="0" y="0"/>
                      <a:ext cx="5400000" cy="2648911"/>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D94965" w:rsidRPr="00EB4CFA" w:rsidRDefault="007F20DB" w:rsidP="005B5290">
      <w:pPr>
        <w:pStyle w:val="Beschriftung"/>
        <w:spacing w:after="0" w:line="360" w:lineRule="auto"/>
        <w:jc w:val="both"/>
        <w:rPr>
          <w:color w:val="auto"/>
          <w:lang w:val="en-US"/>
        </w:rPr>
      </w:pPr>
      <w:bookmarkStart w:id="39" w:name="_Toc435621140"/>
      <w:proofErr w:type="gramStart"/>
      <w:r w:rsidRPr="00EB4CFA">
        <w:rPr>
          <w:color w:val="auto"/>
        </w:rPr>
        <w:t xml:space="preserve">Figure </w:t>
      </w:r>
      <w:r w:rsidRPr="00EB4CFA">
        <w:rPr>
          <w:color w:val="auto"/>
        </w:rPr>
        <w:fldChar w:fldCharType="begin"/>
      </w:r>
      <w:r w:rsidRPr="00EB4CFA">
        <w:rPr>
          <w:color w:val="auto"/>
        </w:rPr>
        <w:instrText xml:space="preserve"> SEQ Figure \* ARABIC </w:instrText>
      </w:r>
      <w:r w:rsidRPr="00EB4CFA">
        <w:rPr>
          <w:color w:val="auto"/>
        </w:rPr>
        <w:fldChar w:fldCharType="separate"/>
      </w:r>
      <w:r w:rsidR="00CB17FE">
        <w:rPr>
          <w:noProof/>
          <w:color w:val="auto"/>
        </w:rPr>
        <w:t>22</w:t>
      </w:r>
      <w:r w:rsidRPr="00EB4CFA">
        <w:rPr>
          <w:color w:val="auto"/>
        </w:rPr>
        <w:fldChar w:fldCharType="end"/>
      </w:r>
      <w:r w:rsidR="00CF1261">
        <w:rPr>
          <w:color w:val="auto"/>
        </w:rPr>
        <w:t>.</w:t>
      </w:r>
      <w:proofErr w:type="gramEnd"/>
      <w:r w:rsidRPr="00EB4CFA">
        <w:rPr>
          <w:color w:val="auto"/>
        </w:rPr>
        <w:t xml:space="preserve"> </w:t>
      </w:r>
      <w:r w:rsidR="0066452D">
        <w:rPr>
          <w:i/>
          <w:color w:val="auto"/>
          <w:lang w:val="en-US"/>
        </w:rPr>
        <w:t>Hpa</w:t>
      </w:r>
      <w:r w:rsidRPr="00EB4CFA">
        <w:rPr>
          <w:color w:val="auto"/>
          <w:lang w:val="en-US"/>
        </w:rPr>
        <w:t xml:space="preserve"> introduces effectors into plant cells to repress defence responses.</w:t>
      </w:r>
      <w:bookmarkEnd w:id="39"/>
      <w:r w:rsidRPr="00EB4CFA">
        <w:rPr>
          <w:color w:val="auto"/>
          <w:lang w:val="en-US"/>
        </w:rPr>
        <w:t xml:space="preserve"> </w:t>
      </w:r>
    </w:p>
    <w:p w:rsidR="006B0405" w:rsidRPr="00EB4CFA" w:rsidRDefault="007F20DB" w:rsidP="007F20DB">
      <w:pPr>
        <w:pStyle w:val="Beschriftung"/>
        <w:jc w:val="both"/>
        <w:rPr>
          <w:b w:val="0"/>
          <w:color w:val="auto"/>
          <w:lang w:val="en-US"/>
        </w:rPr>
      </w:pPr>
      <w:r w:rsidRPr="00EB4CFA">
        <w:rPr>
          <w:b w:val="0"/>
          <w:color w:val="auto"/>
          <w:lang w:val="en-US"/>
        </w:rPr>
        <w:t xml:space="preserve">(A) </w:t>
      </w:r>
      <w:r w:rsidR="005B5290">
        <w:rPr>
          <w:b w:val="0"/>
          <w:i/>
          <w:color w:val="auto"/>
          <w:lang w:val="en-US"/>
        </w:rPr>
        <w:t>Hpa</w:t>
      </w:r>
      <w:r w:rsidRPr="00EB4CFA">
        <w:rPr>
          <w:b w:val="0"/>
          <w:color w:val="auto"/>
          <w:lang w:val="en-US"/>
        </w:rPr>
        <w:t xml:space="preserve"> effectors with a conserved RXLR motif (Arg, any amino acid, Leu, Arg) are translocated from the pathogen via the haustorial membrane and wall into the extrahaustorial matrix and introduced into the plant cell </w:t>
      </w:r>
      <w:r w:rsidR="00C3637D" w:rsidRPr="00EB4CFA">
        <w:rPr>
          <w:b w:val="0"/>
          <w:color w:val="auto"/>
          <w:lang w:val="en-US"/>
        </w:rPr>
        <w:t>to manipulate defence responses</w:t>
      </w:r>
      <w:r w:rsidRPr="00EB4CFA">
        <w:rPr>
          <w:b w:val="0"/>
          <w:color w:val="auto"/>
          <w:lang w:val="en-US"/>
        </w:rPr>
        <w:t xml:space="preserve"> </w:t>
      </w:r>
      <w:r w:rsidR="00C3637D" w:rsidRPr="00EB4CFA">
        <w:rPr>
          <w:b w:val="0"/>
          <w:color w:val="auto"/>
          <w:lang w:val="en-US"/>
        </w:rPr>
        <w:t>(</w:t>
      </w:r>
      <w:r w:rsidRPr="00EB4CFA">
        <w:rPr>
          <w:b w:val="0"/>
          <w:color w:val="auto"/>
          <w:lang w:val="en-US"/>
        </w:rPr>
        <w:t xml:space="preserve">Birch </w:t>
      </w:r>
      <w:r w:rsidRPr="00EB4CFA">
        <w:rPr>
          <w:b w:val="0"/>
          <w:i/>
          <w:color w:val="auto"/>
          <w:lang w:val="en-US"/>
        </w:rPr>
        <w:t>et al</w:t>
      </w:r>
      <w:r w:rsidRPr="00EB4CFA">
        <w:rPr>
          <w:b w:val="0"/>
          <w:color w:val="auto"/>
          <w:lang w:val="en-US"/>
        </w:rPr>
        <w:t>., 2006</w:t>
      </w:r>
      <w:r w:rsidR="00C3637D" w:rsidRPr="00EB4CFA">
        <w:rPr>
          <w:b w:val="0"/>
          <w:color w:val="auto"/>
          <w:lang w:val="en-US"/>
        </w:rPr>
        <w:t>)</w:t>
      </w:r>
      <w:r w:rsidRPr="00EB4CFA">
        <w:rPr>
          <w:b w:val="0"/>
          <w:color w:val="auto"/>
          <w:lang w:val="en-US"/>
        </w:rPr>
        <w:t>. (B) RXLR effectors were shown to have a signal peptide to target the proteins for secretion into the extrahaustorial space. Translocation into the plant cell is mediated by RXLR binding proteins as well as chape</w:t>
      </w:r>
      <w:r w:rsidR="00C3637D" w:rsidRPr="00EB4CFA">
        <w:rPr>
          <w:b w:val="0"/>
          <w:color w:val="auto"/>
          <w:lang w:val="en-US"/>
        </w:rPr>
        <w:t>rones</w:t>
      </w:r>
      <w:r w:rsidR="00F86139" w:rsidRPr="00EB4CFA">
        <w:rPr>
          <w:b w:val="0"/>
          <w:color w:val="auto"/>
          <w:lang w:val="en-US"/>
        </w:rPr>
        <w:t xml:space="preserve"> </w:t>
      </w:r>
      <w:r w:rsidR="00C3637D" w:rsidRPr="00EB4CFA">
        <w:rPr>
          <w:b w:val="0"/>
          <w:color w:val="auto"/>
          <w:lang w:val="en-US"/>
        </w:rPr>
        <w:t>(</w:t>
      </w:r>
      <w:r w:rsidR="00F86139" w:rsidRPr="00EB4CFA">
        <w:rPr>
          <w:b w:val="0"/>
          <w:color w:val="auto"/>
          <w:lang w:val="en-US"/>
        </w:rPr>
        <w:t>Morgan and Kamoun, 2007</w:t>
      </w:r>
      <w:r w:rsidR="00C3637D" w:rsidRPr="00EB4CFA">
        <w:rPr>
          <w:b w:val="0"/>
          <w:color w:val="auto"/>
          <w:lang w:val="en-US"/>
        </w:rPr>
        <w:t>)</w:t>
      </w:r>
      <w:r w:rsidR="00F86139" w:rsidRPr="00EB4CFA">
        <w:rPr>
          <w:b w:val="0"/>
          <w:color w:val="auto"/>
          <w:lang w:val="en-US"/>
        </w:rPr>
        <w:t>.</w:t>
      </w:r>
    </w:p>
    <w:p w:rsidR="00081481" w:rsidRDefault="005B5290" w:rsidP="00EC009A">
      <w:pPr>
        <w:spacing w:line="360" w:lineRule="auto"/>
        <w:jc w:val="both"/>
      </w:pPr>
      <w:r w:rsidRPr="00431343">
        <w:t xml:space="preserve">Recent results have shown that effectors introduced into plants by </w:t>
      </w:r>
      <w:r>
        <w:rPr>
          <w:i/>
        </w:rPr>
        <w:t>Hpa</w:t>
      </w:r>
      <w:r w:rsidRPr="00431343">
        <w:t xml:space="preserve"> and other oomycetes not only function in repression of plant defence responses, but also lead to global molecular reprogramming of plant metabolism in order to accomplish parasitic colonisation (Birch </w:t>
      </w:r>
      <w:r w:rsidRPr="00431343">
        <w:rPr>
          <w:i/>
        </w:rPr>
        <w:t>et al.,</w:t>
      </w:r>
      <w:r w:rsidRPr="00431343">
        <w:t xml:space="preserve"> 2006; Stuttmann </w:t>
      </w:r>
      <w:r w:rsidRPr="00431343">
        <w:rPr>
          <w:i/>
        </w:rPr>
        <w:t>et al</w:t>
      </w:r>
      <w:r w:rsidRPr="00431343">
        <w:t>., 2011). The most effective defence strategy against this biotrophic pathogen is HR-mediated death of infected cells (Glazebrook, 2005). Effectors introduced into plant cells are detected by cytoplasmatically located RPP proteins (</w:t>
      </w:r>
      <w:r>
        <w:t>RESISTANCE TO PERONOSPORA PARASITICA), which induce</w:t>
      </w:r>
      <w:r w:rsidRPr="00431343">
        <w:t xml:space="preserve"> </w:t>
      </w:r>
      <w:r w:rsidRPr="00431343">
        <w:rPr>
          <w:i/>
        </w:rPr>
        <w:t>EDS1/PAD4</w:t>
      </w:r>
      <w:r w:rsidRPr="00431343">
        <w:t xml:space="preserve">-mediated and SA-dependent </w:t>
      </w:r>
      <w:r w:rsidRPr="00431343">
        <w:lastRenderedPageBreak/>
        <w:t>response</w:t>
      </w:r>
      <w:r>
        <w:t>s</w:t>
      </w:r>
      <w:r w:rsidRPr="00431343">
        <w:t xml:space="preserve"> culminating in programmed death of the infected cell (Feys </w:t>
      </w:r>
      <w:r w:rsidRPr="00431343">
        <w:rPr>
          <w:i/>
        </w:rPr>
        <w:t>et al</w:t>
      </w:r>
      <w:r w:rsidRPr="00431343">
        <w:t xml:space="preserve">., 2001; Rehmany </w:t>
      </w:r>
      <w:r w:rsidRPr="00431343">
        <w:rPr>
          <w:i/>
        </w:rPr>
        <w:t>et al</w:t>
      </w:r>
      <w:r w:rsidRPr="00431343">
        <w:t xml:space="preserve">., 2005; Coates and Beynon, 2010; Figure 21). Plants affected in this signalling pathway show enhanced susceptibility </w:t>
      </w:r>
      <w:r w:rsidR="0066452D">
        <w:t>towards</w:t>
      </w:r>
      <w:r w:rsidRPr="00431343">
        <w:t xml:space="preserve"> </w:t>
      </w:r>
      <w:r>
        <w:rPr>
          <w:i/>
        </w:rPr>
        <w:t>Hpa</w:t>
      </w:r>
      <w:r w:rsidRPr="00431343">
        <w:t>.</w:t>
      </w:r>
      <w:r>
        <w:t xml:space="preserve"> </w:t>
      </w:r>
      <w:r w:rsidR="0055696B">
        <w:t xml:space="preserve">In </w:t>
      </w:r>
      <w:r w:rsidR="0055696B" w:rsidRPr="0055696B">
        <w:rPr>
          <w:i/>
        </w:rPr>
        <w:t>eds1</w:t>
      </w:r>
      <w:r w:rsidR="0055696B">
        <w:t xml:space="preserve"> plants, for in</w:t>
      </w:r>
      <w:r w:rsidR="0066452D">
        <w:t xml:space="preserve">stance, HR-establishment </w:t>
      </w:r>
      <w:r w:rsidR="0055696B">
        <w:t>is no longer possible and the plant becomes fully susceptible</w:t>
      </w:r>
      <w:r>
        <w:t>,</w:t>
      </w:r>
      <w:r w:rsidR="0055696B">
        <w:t xml:space="preserve"> and in </w:t>
      </w:r>
      <w:r w:rsidR="0055696B" w:rsidRPr="0055696B">
        <w:rPr>
          <w:i/>
        </w:rPr>
        <w:t>pad4</w:t>
      </w:r>
      <w:r w:rsidR="0055696B">
        <w:t xml:space="preserve"> plants the HR was shown to be much slower than in WT plants, resulting in hyphal spread of the oomycete before a trailing necrosis and sparse sporulation (Feys </w:t>
      </w:r>
      <w:r w:rsidR="0055696B" w:rsidRPr="0055696B">
        <w:rPr>
          <w:i/>
        </w:rPr>
        <w:t>et al</w:t>
      </w:r>
      <w:r w:rsidR="0055696B">
        <w:t xml:space="preserve">., 2001; Glazebrook, 2005). SA-dependent responses are a major way of the plant to defend itself against </w:t>
      </w:r>
      <w:proofErr w:type="gramStart"/>
      <w:r>
        <w:rPr>
          <w:i/>
        </w:rPr>
        <w:t>Hpa</w:t>
      </w:r>
      <w:r w:rsidR="0055696B">
        <w:t>,</w:t>
      </w:r>
      <w:proofErr w:type="gramEnd"/>
      <w:r w:rsidR="0055696B">
        <w:t xml:space="preserve"> nevertheless other defence mechanisms were shown to be effective against this oomycete as well. Bartsch </w:t>
      </w:r>
      <w:r w:rsidR="0055696B" w:rsidRPr="0055696B">
        <w:rPr>
          <w:i/>
        </w:rPr>
        <w:t>et al</w:t>
      </w:r>
      <w:r w:rsidR="0055696B">
        <w:t xml:space="preserve">. </w:t>
      </w:r>
      <w:r>
        <w:t xml:space="preserve">(2006) </w:t>
      </w:r>
      <w:r w:rsidR="0055696B">
        <w:t xml:space="preserve">have shown that there is strong evidence for a SA-independent defence mechanism involving </w:t>
      </w:r>
      <w:r w:rsidR="0055696B" w:rsidRPr="0055696B">
        <w:rPr>
          <w:i/>
        </w:rPr>
        <w:t>FMO1</w:t>
      </w:r>
      <w:r w:rsidR="0055696B">
        <w:t xml:space="preserve">, as well as </w:t>
      </w:r>
      <w:r w:rsidR="0055696B" w:rsidRPr="0055696B">
        <w:rPr>
          <w:i/>
        </w:rPr>
        <w:t>EDS1</w:t>
      </w:r>
      <w:r w:rsidR="0055696B">
        <w:t xml:space="preserve"> and </w:t>
      </w:r>
      <w:r w:rsidR="0055696B" w:rsidRPr="0055696B">
        <w:rPr>
          <w:i/>
        </w:rPr>
        <w:t>PAD4</w:t>
      </w:r>
      <w:r w:rsidR="0055696B">
        <w:t xml:space="preserve">. In </w:t>
      </w:r>
      <w:r w:rsidR="0055696B" w:rsidRPr="0055696B">
        <w:rPr>
          <w:i/>
        </w:rPr>
        <w:t>sid2-1 fmo1-1</w:t>
      </w:r>
      <w:r w:rsidR="0055696B">
        <w:t xml:space="preserve"> double mutants, loss of resistance against the avirulent </w:t>
      </w:r>
      <w:r>
        <w:rPr>
          <w:i/>
        </w:rPr>
        <w:t>Hpa</w:t>
      </w:r>
      <w:r w:rsidR="0055696B">
        <w:t xml:space="preserve"> strain Cala2 was significantly more severe than in </w:t>
      </w:r>
      <w:r w:rsidR="0055696B" w:rsidRPr="0055696B">
        <w:rPr>
          <w:i/>
        </w:rPr>
        <w:t>sid2-1</w:t>
      </w:r>
      <w:r w:rsidR="0055696B">
        <w:t xml:space="preserve"> or </w:t>
      </w:r>
      <w:r w:rsidR="0055696B" w:rsidRPr="0055696B">
        <w:rPr>
          <w:i/>
        </w:rPr>
        <w:t>fmo1-1</w:t>
      </w:r>
      <w:r w:rsidR="0055696B">
        <w:t xml:space="preserve"> alone, leading to the conclusion that SA-dependent and –independent defence mechanisms are important for full resistance against </w:t>
      </w:r>
      <w:r>
        <w:rPr>
          <w:i/>
        </w:rPr>
        <w:t>Hpa</w:t>
      </w:r>
      <w:r w:rsidR="0055696B">
        <w:t xml:space="preserve"> (Bartsch </w:t>
      </w:r>
      <w:r w:rsidR="0055696B" w:rsidRPr="0055696B">
        <w:rPr>
          <w:i/>
        </w:rPr>
        <w:t>et al</w:t>
      </w:r>
      <w:r w:rsidR="0055696B">
        <w:t xml:space="preserve">., 2006). </w:t>
      </w:r>
      <w:r>
        <w:t>JA</w:t>
      </w:r>
      <w:r w:rsidR="00C11273">
        <w:t xml:space="preserve">- and </w:t>
      </w:r>
      <w:r w:rsidR="00202646">
        <w:t>ET</w:t>
      </w:r>
      <w:r w:rsidR="00C11273">
        <w:t xml:space="preserve">-mediated defence responses do not seem to be usually involved in </w:t>
      </w:r>
      <w:r w:rsidR="004927F1">
        <w:t xml:space="preserve">this interaction, but </w:t>
      </w:r>
      <w:r>
        <w:t>are</w:t>
      </w:r>
      <w:r w:rsidR="004927F1">
        <w:t xml:space="preserve"> effective if induced prior to infection, for instance by continous exposure to JA (Thomma </w:t>
      </w:r>
      <w:r w:rsidR="004927F1" w:rsidRPr="004927F1">
        <w:rPr>
          <w:i/>
        </w:rPr>
        <w:t>et al</w:t>
      </w:r>
      <w:r w:rsidR="004927F1">
        <w:t xml:space="preserve">., 1998; Zimmerli </w:t>
      </w:r>
      <w:r w:rsidR="004927F1" w:rsidRPr="004927F1">
        <w:rPr>
          <w:i/>
        </w:rPr>
        <w:t>et al</w:t>
      </w:r>
      <w:r w:rsidR="004927F1">
        <w:t>., 2004; Glazebrook, 2005).</w:t>
      </w:r>
      <w:r w:rsidR="00E10EFE">
        <w:t xml:space="preserve"> It was also shown in previous</w:t>
      </w:r>
      <w:r w:rsidR="00EC009A">
        <w:t xml:space="preserve"> experiments that mutations</w:t>
      </w:r>
      <w:r w:rsidR="00E10EFE">
        <w:t xml:space="preserve"> result</w:t>
      </w:r>
      <w:r w:rsidR="00EC009A">
        <w:t>ing</w:t>
      </w:r>
      <w:r w:rsidR="00E10EFE">
        <w:t xml:space="preserve"> in disturbances of the plant´s amino acid homeostasis lead to</w:t>
      </w:r>
      <w:r w:rsidR="005C14CC">
        <w:t xml:space="preserve"> enha</w:t>
      </w:r>
      <w:r w:rsidR="00E10EFE">
        <w:t xml:space="preserve">nced resistance against </w:t>
      </w:r>
      <w:r>
        <w:rPr>
          <w:i/>
        </w:rPr>
        <w:t>Hpa</w:t>
      </w:r>
      <w:r w:rsidR="00E10EFE">
        <w:t xml:space="preserve"> (Van Damme </w:t>
      </w:r>
      <w:r w:rsidR="00E10EFE" w:rsidRPr="00E10EFE">
        <w:rPr>
          <w:i/>
        </w:rPr>
        <w:t>et al</w:t>
      </w:r>
      <w:r w:rsidR="00E10EFE">
        <w:t xml:space="preserve">., 2009; Stuttmann </w:t>
      </w:r>
      <w:r w:rsidR="00E10EFE" w:rsidRPr="00E10EFE">
        <w:rPr>
          <w:i/>
        </w:rPr>
        <w:t>et al</w:t>
      </w:r>
      <w:r w:rsidR="00202646">
        <w:t>., 2011), demonstra</w:t>
      </w:r>
      <w:r w:rsidR="00EC009A">
        <w:t>ting the close adaption</w:t>
      </w:r>
      <w:r w:rsidR="00E10EFE">
        <w:t xml:space="preserve"> </w:t>
      </w:r>
      <w:r w:rsidR="00150418">
        <w:t xml:space="preserve">of </w:t>
      </w:r>
      <w:r w:rsidR="00E10EFE">
        <w:t>this o</w:t>
      </w:r>
      <w:r w:rsidR="00150418">
        <w:t>omycete</w:t>
      </w:r>
      <w:r w:rsidR="006E1174">
        <w:t xml:space="preserve"> to its host. Upon analysis of the </w:t>
      </w:r>
      <w:r>
        <w:rPr>
          <w:i/>
        </w:rPr>
        <w:t>Hpa</w:t>
      </w:r>
      <w:r w:rsidR="006E1174">
        <w:t xml:space="preserve"> genome it became evident that it lacks several genes</w:t>
      </w:r>
      <w:r w:rsidR="00150418">
        <w:t>,</w:t>
      </w:r>
      <w:r w:rsidR="0066452D">
        <w:t xml:space="preserve"> for example for nitrogen-</w:t>
      </w:r>
      <w:r w:rsidR="006E1174">
        <w:t xml:space="preserve">assimilation </w:t>
      </w:r>
      <w:r w:rsidR="00364C23">
        <w:t xml:space="preserve">and </w:t>
      </w:r>
      <w:r w:rsidR="0066452D">
        <w:t>-</w:t>
      </w:r>
      <w:r w:rsidR="00364C23">
        <w:t>fixation</w:t>
      </w:r>
      <w:r w:rsidR="00150418">
        <w:t>,</w:t>
      </w:r>
      <w:r w:rsidR="00364C23">
        <w:t xml:space="preserve"> </w:t>
      </w:r>
      <w:r w:rsidR="006E1174">
        <w:t xml:space="preserve">and </w:t>
      </w:r>
      <w:r w:rsidR="00543A06">
        <w:t>therefore strongly</w:t>
      </w:r>
      <w:r w:rsidR="006E1174">
        <w:t xml:space="preserve"> </w:t>
      </w:r>
      <w:r w:rsidR="00364C23">
        <w:t>depend</w:t>
      </w:r>
      <w:r w:rsidR="00543A06">
        <w:t>s</w:t>
      </w:r>
      <w:r w:rsidR="00364C23">
        <w:t xml:space="preserve"> on the plant resources to ascertain a sufficient nitrogen and amino acid supply </w:t>
      </w:r>
      <w:r w:rsidR="006E1174">
        <w:t xml:space="preserve">(Baxter </w:t>
      </w:r>
      <w:r w:rsidR="006E1174" w:rsidRPr="006E1174">
        <w:rPr>
          <w:i/>
        </w:rPr>
        <w:t>et al</w:t>
      </w:r>
      <w:r w:rsidR="006E1174">
        <w:t>., 2010).</w:t>
      </w:r>
    </w:p>
    <w:p w:rsidR="00B517AA" w:rsidRDefault="00B517AA" w:rsidP="00CE0C49">
      <w:pPr>
        <w:pStyle w:val="berschrift1"/>
        <w:spacing w:after="240"/>
        <w:rPr>
          <w:color w:val="auto"/>
        </w:rPr>
        <w:sectPr w:rsidR="00B517AA" w:rsidSect="009608E1">
          <w:headerReference w:type="default" r:id="rId43"/>
          <w:type w:val="continuous"/>
          <w:pgSz w:w="11906" w:h="16838"/>
          <w:pgMar w:top="1417" w:right="1417" w:bottom="1134" w:left="1417" w:header="708" w:footer="708" w:gutter="0"/>
          <w:cols w:space="708"/>
          <w:titlePg/>
          <w:docGrid w:linePitch="360"/>
        </w:sectPr>
      </w:pPr>
    </w:p>
    <w:p w:rsidR="00543A06" w:rsidRDefault="00543A06" w:rsidP="00543A06"/>
    <w:p w:rsidR="00543A06" w:rsidRDefault="00543A06" w:rsidP="00543A06"/>
    <w:p w:rsidR="00543A06" w:rsidRDefault="00543A06" w:rsidP="00543A06"/>
    <w:p w:rsidR="00543A06" w:rsidRDefault="00543A06" w:rsidP="00543A06"/>
    <w:p w:rsidR="00543A06" w:rsidRDefault="00543A06" w:rsidP="00543A06"/>
    <w:p w:rsidR="00543A06" w:rsidRDefault="00543A06" w:rsidP="00543A06"/>
    <w:p w:rsidR="00543A06" w:rsidRDefault="00543A06" w:rsidP="00543A06"/>
    <w:p w:rsidR="00543A06" w:rsidRDefault="00543A06" w:rsidP="00543A06"/>
    <w:p w:rsidR="00543A06" w:rsidRDefault="00543A06" w:rsidP="00543A06"/>
    <w:p w:rsidR="00543A06" w:rsidRDefault="00543A06" w:rsidP="00543A06"/>
    <w:p w:rsidR="0066452D" w:rsidRDefault="0066452D" w:rsidP="0066452D"/>
    <w:p w:rsidR="006B0405" w:rsidRPr="00CE0C49" w:rsidRDefault="00563EC1" w:rsidP="00CE0C49">
      <w:pPr>
        <w:pStyle w:val="berschrift1"/>
        <w:spacing w:after="240"/>
        <w:rPr>
          <w:color w:val="auto"/>
        </w:rPr>
      </w:pPr>
      <w:bookmarkStart w:id="40" w:name="_Toc435621212"/>
      <w:r>
        <w:rPr>
          <w:color w:val="auto"/>
        </w:rPr>
        <w:lastRenderedPageBreak/>
        <w:t xml:space="preserve">4 </w:t>
      </w:r>
      <w:r w:rsidR="006B0405" w:rsidRPr="00CE0C49">
        <w:rPr>
          <w:color w:val="auto"/>
        </w:rPr>
        <w:t>Aim of the thesis</w:t>
      </w:r>
      <w:bookmarkEnd w:id="40"/>
    </w:p>
    <w:p w:rsidR="006B0405" w:rsidRDefault="00521185" w:rsidP="00035848">
      <w:pPr>
        <w:spacing w:after="0" w:line="360" w:lineRule="auto"/>
        <w:jc w:val="both"/>
      </w:pPr>
      <w:r>
        <w:t>T</w:t>
      </w:r>
      <w:r w:rsidR="005C2ECE">
        <w:t>his work</w:t>
      </w:r>
      <w:r w:rsidR="00035848">
        <w:t xml:space="preserve"> was</w:t>
      </w:r>
      <w:r w:rsidR="006B0405" w:rsidRPr="006B0405">
        <w:t xml:space="preserve"> </w:t>
      </w:r>
      <w:r>
        <w:t>focussed on the elucidation of the</w:t>
      </w:r>
      <w:r w:rsidR="006B0405" w:rsidRPr="006B0405">
        <w:t xml:space="preserve"> molecular principles of plant innate immunity and defence priming, using molecular and biochemical analyses and detection methods. A very important role in </w:t>
      </w:r>
      <w:r w:rsidR="00035848">
        <w:t>SAR</w:t>
      </w:r>
      <w:r w:rsidR="006B0405" w:rsidRPr="006B0405">
        <w:t xml:space="preserve"> and defence priming was shown for the non-protein amino acid </w:t>
      </w:r>
      <w:r>
        <w:t>Pip</w:t>
      </w:r>
      <w:r w:rsidR="006B0405" w:rsidRPr="006B0405">
        <w:t>.</w:t>
      </w:r>
      <w:r w:rsidR="00035848">
        <w:t xml:space="preserve"> One major aim of this thesis was</w:t>
      </w:r>
      <w:r w:rsidR="006B0405" w:rsidRPr="006B0405">
        <w:t xml:space="preserve"> to </w:t>
      </w:r>
      <w:r w:rsidR="00035848">
        <w:t xml:space="preserve">analyse the role of </w:t>
      </w:r>
      <w:r>
        <w:t>Pip</w:t>
      </w:r>
      <w:r w:rsidR="00035848">
        <w:t xml:space="preserve"> in </w:t>
      </w:r>
      <w:r w:rsidR="00035848" w:rsidRPr="008D155D">
        <w:rPr>
          <w:i/>
        </w:rPr>
        <w:t>Psm</w:t>
      </w:r>
      <w:r w:rsidR="00035848">
        <w:t xml:space="preserve">-induced priming as well as the mechanisms of priming of gene expression and accumulation of defence-related metabolites by exogenously applied Pip. Furthermore, the characteristics of genes showing primed expression were studied, for instance their SA-dependency, their role in plant </w:t>
      </w:r>
      <w:r>
        <w:t>physiology</w:t>
      </w:r>
      <w:r w:rsidR="00035848">
        <w:t xml:space="preserve">, and the interplay of </w:t>
      </w:r>
      <w:r w:rsidR="00C33027">
        <w:t>Pip</w:t>
      </w:r>
      <w:r w:rsidR="000B3C3E">
        <w:t>-</w:t>
      </w:r>
      <w:r w:rsidR="00C33027">
        <w:t xml:space="preserve"> and SA</w:t>
      </w:r>
      <w:r w:rsidR="000B3C3E">
        <w:t>-signalling</w:t>
      </w:r>
      <w:r w:rsidR="00035848">
        <w:t xml:space="preserve"> in their regulation. Another important </w:t>
      </w:r>
      <w:r>
        <w:t>aspect of this work</w:t>
      </w:r>
      <w:r w:rsidR="00035848">
        <w:t xml:space="preserve"> was</w:t>
      </w:r>
      <w:r>
        <w:t xml:space="preserve"> to gain deeper insight</w:t>
      </w:r>
      <w:r w:rsidR="00035848">
        <w:t xml:space="preserve"> </w:t>
      </w:r>
      <w:r>
        <w:t>into the role</w:t>
      </w:r>
      <w:r w:rsidR="00035848">
        <w:t xml:space="preserve"> of mitogen-activated protein kinase signalling in </w:t>
      </w:r>
      <w:r w:rsidR="00C33027">
        <w:t>SAR</w:t>
      </w:r>
      <w:r w:rsidR="00035848">
        <w:t>, Pip-induced resistance</w:t>
      </w:r>
      <w:r>
        <w:t>,</w:t>
      </w:r>
      <w:r w:rsidR="00035848">
        <w:t xml:space="preserve"> and priming</w:t>
      </w:r>
      <w:r>
        <w:t xml:space="preserve"> via</w:t>
      </w:r>
      <w:r w:rsidR="00035848">
        <w:t xml:space="preserve"> metabolite and gene expression analyses. </w:t>
      </w:r>
      <w:r>
        <w:t>To test wether Pip confers a broa</w:t>
      </w:r>
      <w:r w:rsidR="000B3C3E">
        <w:t>d-spectrum resistance comparable</w:t>
      </w:r>
      <w:r>
        <w:t xml:space="preserve"> to BABA, its effect on interactions of </w:t>
      </w:r>
      <w:r w:rsidRPr="00521185">
        <w:rPr>
          <w:i/>
        </w:rPr>
        <w:t>A. thaliana</w:t>
      </w:r>
      <w:r w:rsidR="005F4D51">
        <w:t xml:space="preserve"> with the fungi </w:t>
      </w:r>
      <w:r w:rsidR="005F4D51" w:rsidRPr="005F4D51">
        <w:rPr>
          <w:i/>
        </w:rPr>
        <w:t>B.</w:t>
      </w:r>
      <w:r>
        <w:rPr>
          <w:i/>
        </w:rPr>
        <w:t xml:space="preserve"> </w:t>
      </w:r>
      <w:r w:rsidR="005F4D51" w:rsidRPr="005F4D51">
        <w:rPr>
          <w:i/>
        </w:rPr>
        <w:t>cinerea</w:t>
      </w:r>
      <w:r w:rsidR="005F4D51">
        <w:t xml:space="preserve"> and </w:t>
      </w:r>
      <w:r w:rsidR="005F4D51" w:rsidRPr="005F4D51">
        <w:rPr>
          <w:i/>
        </w:rPr>
        <w:t>G.</w:t>
      </w:r>
      <w:r>
        <w:rPr>
          <w:i/>
        </w:rPr>
        <w:t xml:space="preserve"> </w:t>
      </w:r>
      <w:r w:rsidR="005F4D51" w:rsidRPr="005F4D51">
        <w:rPr>
          <w:i/>
        </w:rPr>
        <w:t>orontii</w:t>
      </w:r>
      <w:r w:rsidR="005F4D51">
        <w:t xml:space="preserve">, as well as the oomycete </w:t>
      </w:r>
      <w:r w:rsidR="005F4D51" w:rsidRPr="005F4D51">
        <w:rPr>
          <w:i/>
        </w:rPr>
        <w:t>H.</w:t>
      </w:r>
      <w:r>
        <w:rPr>
          <w:i/>
        </w:rPr>
        <w:t xml:space="preserve"> </w:t>
      </w:r>
      <w:r w:rsidR="005F4D51" w:rsidRPr="005F4D51">
        <w:rPr>
          <w:i/>
        </w:rPr>
        <w:t>arabidopsidis</w:t>
      </w:r>
      <w:r>
        <w:rPr>
          <w:i/>
        </w:rPr>
        <w:t xml:space="preserve"> </w:t>
      </w:r>
      <w:r>
        <w:t>was also analysed.</w:t>
      </w:r>
      <w:r w:rsidR="005F4D51">
        <w:t xml:space="preserve"> These analyses included</w:t>
      </w:r>
      <w:r>
        <w:t xml:space="preserve"> comparative metabolite profiling</w:t>
      </w:r>
      <w:r w:rsidR="005F4D51">
        <w:t xml:space="preserve"> of plants infected with these pathogens and </w:t>
      </w:r>
      <w:r>
        <w:t>impaired</w:t>
      </w:r>
      <w:r w:rsidR="005F4D51">
        <w:t xml:space="preserve"> in different </w:t>
      </w:r>
      <w:r>
        <w:t xml:space="preserve">defence </w:t>
      </w:r>
      <w:r w:rsidR="005F4D51">
        <w:t xml:space="preserve">signalling or </w:t>
      </w:r>
      <w:r>
        <w:t>defence metabolite biosynthetic</w:t>
      </w:r>
      <w:r w:rsidR="005F4D51">
        <w:t xml:space="preserve"> pathways. Furthermore, an important aim was to test the ability of </w:t>
      </w:r>
      <w:r w:rsidR="00C33027">
        <w:t>Pip</w:t>
      </w:r>
      <w:r w:rsidR="005F4D51">
        <w:t xml:space="preserve"> to induce resistance against these pathogens of different lifestyles</w:t>
      </w:r>
      <w:r>
        <w:t xml:space="preserve"> and phylogenetic groups</w:t>
      </w:r>
      <w:r w:rsidR="005F4D51">
        <w:t>.</w:t>
      </w:r>
    </w:p>
    <w:p w:rsidR="00290034" w:rsidRDefault="00290034" w:rsidP="00035848"/>
    <w:p w:rsidR="00290034" w:rsidRDefault="00290034" w:rsidP="00035848"/>
    <w:p w:rsidR="00290034" w:rsidRDefault="00290034" w:rsidP="00035848"/>
    <w:p w:rsidR="00290034" w:rsidRDefault="00290034" w:rsidP="00035848"/>
    <w:p w:rsidR="00290034" w:rsidRDefault="00290034" w:rsidP="00035848"/>
    <w:p w:rsidR="00290034" w:rsidRDefault="00290034" w:rsidP="00035848"/>
    <w:p w:rsidR="00CE0C49" w:rsidRDefault="00CE0C49" w:rsidP="00035848">
      <w:pPr>
        <w:rPr>
          <w:b/>
        </w:rPr>
      </w:pPr>
    </w:p>
    <w:p w:rsidR="00CE0C49" w:rsidRDefault="00CE0C49" w:rsidP="00035848">
      <w:pPr>
        <w:rPr>
          <w:b/>
        </w:rPr>
      </w:pPr>
    </w:p>
    <w:p w:rsidR="00035848" w:rsidRDefault="00035848" w:rsidP="00035848"/>
    <w:p w:rsidR="00035848" w:rsidRDefault="00035848" w:rsidP="00035848"/>
    <w:p w:rsidR="00035848" w:rsidRDefault="00035848" w:rsidP="00035848"/>
    <w:p w:rsidR="00035848" w:rsidRDefault="00035848" w:rsidP="00035848"/>
    <w:p w:rsidR="00B517AA" w:rsidRDefault="00B517AA" w:rsidP="00CE0C49">
      <w:pPr>
        <w:pStyle w:val="berschrift1"/>
        <w:spacing w:after="240"/>
        <w:rPr>
          <w:color w:val="auto"/>
        </w:rPr>
        <w:sectPr w:rsidR="00B517AA" w:rsidSect="009608E1">
          <w:headerReference w:type="default" r:id="rId44"/>
          <w:headerReference w:type="first" r:id="rId45"/>
          <w:type w:val="continuous"/>
          <w:pgSz w:w="11906" w:h="16838"/>
          <w:pgMar w:top="1417" w:right="1417" w:bottom="1134" w:left="1417" w:header="708" w:footer="708" w:gutter="0"/>
          <w:cols w:space="708"/>
          <w:titlePg/>
          <w:docGrid w:linePitch="360"/>
        </w:sectPr>
      </w:pPr>
    </w:p>
    <w:p w:rsidR="00290034" w:rsidRPr="00CE0C49" w:rsidRDefault="00563EC1" w:rsidP="00CE0C49">
      <w:pPr>
        <w:pStyle w:val="berschrift1"/>
        <w:spacing w:after="240"/>
        <w:rPr>
          <w:color w:val="auto"/>
        </w:rPr>
      </w:pPr>
      <w:bookmarkStart w:id="41" w:name="_Toc435621213"/>
      <w:r>
        <w:rPr>
          <w:color w:val="auto"/>
        </w:rPr>
        <w:lastRenderedPageBreak/>
        <w:t xml:space="preserve">5 </w:t>
      </w:r>
      <w:r w:rsidR="00290034" w:rsidRPr="00CE0C49">
        <w:rPr>
          <w:color w:val="auto"/>
        </w:rPr>
        <w:t>Materials and methods</w:t>
      </w:r>
      <w:bookmarkEnd w:id="41"/>
    </w:p>
    <w:p w:rsidR="00290034" w:rsidRPr="00102B90" w:rsidRDefault="00563EC1" w:rsidP="00102B90">
      <w:pPr>
        <w:pStyle w:val="berschrift2"/>
        <w:spacing w:after="240"/>
        <w:rPr>
          <w:color w:val="auto"/>
        </w:rPr>
      </w:pPr>
      <w:bookmarkStart w:id="42" w:name="_Toc435621214"/>
      <w:r>
        <w:rPr>
          <w:color w:val="auto"/>
        </w:rPr>
        <w:t xml:space="preserve">5.1 </w:t>
      </w:r>
      <w:r w:rsidR="00290034" w:rsidRPr="00102B90">
        <w:rPr>
          <w:color w:val="auto"/>
        </w:rPr>
        <w:t>Plant material</w:t>
      </w:r>
      <w:bookmarkEnd w:id="42"/>
    </w:p>
    <w:p w:rsidR="00290034" w:rsidRPr="00290034" w:rsidRDefault="00290034" w:rsidP="00290034">
      <w:pPr>
        <w:spacing w:line="360" w:lineRule="auto"/>
        <w:jc w:val="both"/>
        <w:rPr>
          <w:b/>
          <w:bCs/>
        </w:rPr>
      </w:pPr>
      <w:r w:rsidRPr="00290034">
        <w:t xml:space="preserve">For analysis of defence priming, the </w:t>
      </w:r>
      <w:r w:rsidRPr="00290034">
        <w:rPr>
          <w:i/>
        </w:rPr>
        <w:t>A</w:t>
      </w:r>
      <w:r w:rsidR="008C153D">
        <w:rPr>
          <w:i/>
        </w:rPr>
        <w:t>.</w:t>
      </w:r>
      <w:r w:rsidR="00907B49">
        <w:rPr>
          <w:i/>
        </w:rPr>
        <w:t xml:space="preserve"> thaliana </w:t>
      </w:r>
      <w:r w:rsidR="00907B49">
        <w:t>mutant</w:t>
      </w:r>
      <w:r w:rsidRPr="00290034">
        <w:t xml:space="preserve"> lines </w:t>
      </w:r>
      <w:r w:rsidRPr="00290034">
        <w:rPr>
          <w:i/>
        </w:rPr>
        <w:t>ald1</w:t>
      </w:r>
      <w:r w:rsidRPr="00290034">
        <w:t xml:space="preserve"> (SALK_007673) and </w:t>
      </w:r>
      <w:r w:rsidRPr="00290034">
        <w:rPr>
          <w:i/>
        </w:rPr>
        <w:t>fmo1</w:t>
      </w:r>
      <w:r w:rsidRPr="00290034">
        <w:t xml:space="preserve"> (</w:t>
      </w:r>
      <w:r w:rsidR="00907B49">
        <w:rPr>
          <w:lang w:val="en-US"/>
        </w:rPr>
        <w:t>SALK_026163) were used. I</w:t>
      </w:r>
      <w:r w:rsidRPr="00290034">
        <w:rPr>
          <w:lang w:val="en-US"/>
        </w:rPr>
        <w:t xml:space="preserve">n addition, the EMS generated line </w:t>
      </w:r>
      <w:r w:rsidRPr="00290034">
        <w:rPr>
          <w:i/>
          <w:lang w:val="en-US"/>
        </w:rPr>
        <w:t>sid2-1</w:t>
      </w:r>
      <w:r w:rsidRPr="00290034">
        <w:rPr>
          <w:lang w:val="en-US"/>
        </w:rPr>
        <w:t xml:space="preserve"> (Nawrath and Métraux, 1999) and the </w:t>
      </w:r>
      <w:r w:rsidRPr="00290034">
        <w:rPr>
          <w:i/>
          <w:lang w:val="en-US"/>
        </w:rPr>
        <w:t xml:space="preserve">sid2-1 ald1-6 </w:t>
      </w:r>
      <w:r w:rsidRPr="00290034">
        <w:rPr>
          <w:lang w:val="en-US"/>
        </w:rPr>
        <w:t>double mutant</w:t>
      </w:r>
      <w:r w:rsidR="00907B49">
        <w:rPr>
          <w:lang w:val="en-US"/>
        </w:rPr>
        <w:t>,</w:t>
      </w:r>
      <w:r w:rsidRPr="00290034">
        <w:rPr>
          <w:lang w:val="en-US"/>
        </w:rPr>
        <w:t xml:space="preserve"> created by</w:t>
      </w:r>
      <w:r w:rsidR="003B4F76">
        <w:rPr>
          <w:lang w:val="en-US"/>
        </w:rPr>
        <w:t xml:space="preserve"> Dr</w:t>
      </w:r>
      <w:r w:rsidRPr="00290034">
        <w:rPr>
          <w:lang w:val="en-US"/>
        </w:rPr>
        <w:t xml:space="preserve"> Friederike Bernsdorff </w:t>
      </w:r>
      <w:r w:rsidR="004612C8">
        <w:rPr>
          <w:lang w:val="en-US"/>
        </w:rPr>
        <w:t>(</w:t>
      </w:r>
      <w:r w:rsidR="003B4F76">
        <w:rPr>
          <w:lang w:val="en-US"/>
        </w:rPr>
        <w:t xml:space="preserve">Dr </w:t>
      </w:r>
      <w:r w:rsidR="004612C8">
        <w:rPr>
          <w:lang w:val="en-US"/>
        </w:rPr>
        <w:t>F. Bernsdorff, PhD thesis)</w:t>
      </w:r>
      <w:r w:rsidR="00907B49">
        <w:rPr>
          <w:lang w:val="en-US"/>
        </w:rPr>
        <w:t>,</w:t>
      </w:r>
      <w:r w:rsidR="004612C8">
        <w:rPr>
          <w:lang w:val="en-US"/>
        </w:rPr>
        <w:t xml:space="preserve"> </w:t>
      </w:r>
      <w:r w:rsidRPr="00290034">
        <w:rPr>
          <w:lang w:val="en-US"/>
        </w:rPr>
        <w:t xml:space="preserve">were used for analysis of SA-dependency of primed genes. Analysis of MAPK involvement in SAR priming was conducted with the T-DNA insertion lines </w:t>
      </w:r>
      <w:r w:rsidRPr="00290034">
        <w:rPr>
          <w:i/>
          <w:lang w:val="en-US"/>
        </w:rPr>
        <w:t>mpk3-1</w:t>
      </w:r>
      <w:r w:rsidRPr="00290034">
        <w:rPr>
          <w:lang w:val="en-US"/>
        </w:rPr>
        <w:t xml:space="preserve"> (</w:t>
      </w:r>
      <w:r w:rsidRPr="00290034">
        <w:rPr>
          <w:bCs/>
        </w:rPr>
        <w:t xml:space="preserve">SALK_151594), </w:t>
      </w:r>
      <w:r w:rsidRPr="00290034">
        <w:rPr>
          <w:bCs/>
          <w:i/>
        </w:rPr>
        <w:t>mpk6-2</w:t>
      </w:r>
      <w:r w:rsidRPr="00290034">
        <w:rPr>
          <w:bCs/>
        </w:rPr>
        <w:t xml:space="preserve"> (SALK_073907), and the </w:t>
      </w:r>
      <w:r w:rsidR="00B57E1E">
        <w:rPr>
          <w:bCs/>
          <w:i/>
        </w:rPr>
        <w:t>mpk3-1</w:t>
      </w:r>
      <w:r w:rsidRPr="00290034">
        <w:rPr>
          <w:bCs/>
          <w:i/>
        </w:rPr>
        <w:t xml:space="preserve"> mpk6-2</w:t>
      </w:r>
      <w:r w:rsidR="00DA4629">
        <w:rPr>
          <w:bCs/>
        </w:rPr>
        <w:t xml:space="preserve"> </w:t>
      </w:r>
      <w:r w:rsidR="00B57E1E">
        <w:rPr>
          <w:bCs/>
        </w:rPr>
        <w:t xml:space="preserve">(+/-) </w:t>
      </w:r>
      <w:r w:rsidR="00DA4629">
        <w:rPr>
          <w:bCs/>
        </w:rPr>
        <w:t xml:space="preserve">double mutant, </w:t>
      </w:r>
      <w:r w:rsidR="00907B49">
        <w:rPr>
          <w:bCs/>
        </w:rPr>
        <w:t xml:space="preserve">for </w:t>
      </w:r>
      <w:r w:rsidR="00DA4629">
        <w:rPr>
          <w:bCs/>
        </w:rPr>
        <w:t>which</w:t>
      </w:r>
      <w:r w:rsidR="00907B49">
        <w:rPr>
          <w:bCs/>
        </w:rPr>
        <w:t xml:space="preserve"> seeds</w:t>
      </w:r>
      <w:r w:rsidR="00DA4629">
        <w:rPr>
          <w:bCs/>
        </w:rPr>
        <w:t xml:space="preserve"> were</w:t>
      </w:r>
      <w:r w:rsidRPr="00290034">
        <w:rPr>
          <w:bCs/>
        </w:rPr>
        <w:t xml:space="preserve"> kindly provided by Dr Ken Tsuda (MPIZ Cologne). Pip-induced resistance against </w:t>
      </w:r>
      <w:r w:rsidRPr="00290034">
        <w:rPr>
          <w:bCs/>
          <w:i/>
        </w:rPr>
        <w:t>B.</w:t>
      </w:r>
      <w:r w:rsidR="002A6481">
        <w:rPr>
          <w:bCs/>
          <w:i/>
        </w:rPr>
        <w:t xml:space="preserve"> </w:t>
      </w:r>
      <w:r w:rsidRPr="00290034">
        <w:rPr>
          <w:bCs/>
          <w:i/>
        </w:rPr>
        <w:t>cinerea</w:t>
      </w:r>
      <w:r w:rsidRPr="00290034">
        <w:rPr>
          <w:bCs/>
        </w:rPr>
        <w:t xml:space="preserve"> was tested in Col-0, </w:t>
      </w:r>
      <w:r w:rsidRPr="00290034">
        <w:rPr>
          <w:bCs/>
          <w:i/>
        </w:rPr>
        <w:t>ald1, fmo1, sid2, coi1, pad2-1</w:t>
      </w:r>
      <w:r w:rsidRPr="00290034">
        <w:rPr>
          <w:bCs/>
        </w:rPr>
        <w:t xml:space="preserve"> (EMS mutant obtained from NASC), </w:t>
      </w:r>
      <w:r w:rsidRPr="00290034">
        <w:rPr>
          <w:bCs/>
          <w:i/>
        </w:rPr>
        <w:t>pad3, ein2</w:t>
      </w:r>
      <w:r w:rsidRPr="00290034">
        <w:rPr>
          <w:bCs/>
        </w:rPr>
        <w:t xml:space="preserve"> (diepoxybutane mutant, NASC), </w:t>
      </w:r>
      <w:r w:rsidRPr="00290034">
        <w:rPr>
          <w:bCs/>
          <w:i/>
        </w:rPr>
        <w:t>ein2-1</w:t>
      </w:r>
      <w:r w:rsidRPr="00290034">
        <w:rPr>
          <w:bCs/>
        </w:rPr>
        <w:t xml:space="preserve"> (EMS mutant, NASC), and </w:t>
      </w:r>
      <w:r w:rsidRPr="00290034">
        <w:rPr>
          <w:bCs/>
          <w:i/>
        </w:rPr>
        <w:t>etr1-1</w:t>
      </w:r>
      <w:r w:rsidRPr="00290034">
        <w:rPr>
          <w:bCs/>
        </w:rPr>
        <w:t xml:space="preserve"> (EMS mutant; NASC). For analysis of the </w:t>
      </w:r>
      <w:r w:rsidRPr="00290034">
        <w:rPr>
          <w:bCs/>
          <w:i/>
        </w:rPr>
        <w:t>Arabidopsis-H</w:t>
      </w:r>
      <w:r w:rsidR="002A6481">
        <w:rPr>
          <w:bCs/>
          <w:i/>
        </w:rPr>
        <w:t>pa</w:t>
      </w:r>
      <w:r w:rsidRPr="00290034">
        <w:rPr>
          <w:bCs/>
        </w:rPr>
        <w:t xml:space="preserve"> interaction in addition to Col-0, </w:t>
      </w:r>
      <w:r w:rsidRPr="00290034">
        <w:rPr>
          <w:bCs/>
          <w:i/>
        </w:rPr>
        <w:t>ald1, sid2, fmo1</w:t>
      </w:r>
      <w:r w:rsidRPr="00290034">
        <w:rPr>
          <w:bCs/>
        </w:rPr>
        <w:t xml:space="preserve">, and </w:t>
      </w:r>
      <w:r w:rsidRPr="00290034">
        <w:rPr>
          <w:bCs/>
          <w:i/>
        </w:rPr>
        <w:t>sid2-1 ald1-6</w:t>
      </w:r>
      <w:r w:rsidR="002A6481">
        <w:rPr>
          <w:bCs/>
          <w:i/>
        </w:rPr>
        <w:t>,</w:t>
      </w:r>
      <w:r w:rsidRPr="00290034">
        <w:rPr>
          <w:bCs/>
        </w:rPr>
        <w:t xml:space="preserve"> the lines </w:t>
      </w:r>
      <w:r w:rsidRPr="00290034">
        <w:rPr>
          <w:bCs/>
          <w:i/>
        </w:rPr>
        <w:t>npr1, eds5,</w:t>
      </w:r>
      <w:r w:rsidRPr="00290034">
        <w:rPr>
          <w:bCs/>
        </w:rPr>
        <w:t xml:space="preserve"> and </w:t>
      </w:r>
      <w:r w:rsidRPr="00290034">
        <w:rPr>
          <w:bCs/>
          <w:i/>
        </w:rPr>
        <w:t>ics1 ics2</w:t>
      </w:r>
      <w:r w:rsidRPr="00290034">
        <w:rPr>
          <w:bCs/>
        </w:rPr>
        <w:t xml:space="preserve"> were used. </w:t>
      </w:r>
      <w:r w:rsidR="00DA4629">
        <w:rPr>
          <w:bCs/>
        </w:rPr>
        <w:t>All</w:t>
      </w:r>
      <w:r w:rsidR="00907B49">
        <w:rPr>
          <w:bCs/>
        </w:rPr>
        <w:t xml:space="preserve"> lines were</w:t>
      </w:r>
      <w:r w:rsidR="00DA4629" w:rsidRPr="00DA4629">
        <w:rPr>
          <w:bCs/>
        </w:rPr>
        <w:t xml:space="preserve"> in the Col-0 background and this accession was used as control.</w:t>
      </w:r>
      <w:r w:rsidR="002A6481">
        <w:rPr>
          <w:bCs/>
        </w:rPr>
        <w:t xml:space="preserve"> In order to analyse the avirulent interaction between the </w:t>
      </w:r>
      <w:r w:rsidR="002A6481" w:rsidRPr="002A6481">
        <w:rPr>
          <w:bCs/>
          <w:i/>
        </w:rPr>
        <w:t>Hpa</w:t>
      </w:r>
      <w:r w:rsidR="002A6481">
        <w:rPr>
          <w:bCs/>
        </w:rPr>
        <w:t xml:space="preserve"> isolate Cala2, Col-0, and lines in the Col-0 background, the </w:t>
      </w:r>
      <w:r w:rsidR="002A6481" w:rsidRPr="002A6481">
        <w:rPr>
          <w:bCs/>
          <w:i/>
        </w:rPr>
        <w:t>A. thaliana</w:t>
      </w:r>
      <w:r w:rsidR="002A6481">
        <w:rPr>
          <w:bCs/>
        </w:rPr>
        <w:t xml:space="preserve"> accession Ler-0, which is a natural host for </w:t>
      </w:r>
      <w:r w:rsidR="002A6481" w:rsidRPr="002A6481">
        <w:rPr>
          <w:bCs/>
          <w:i/>
        </w:rPr>
        <w:t>Hpa</w:t>
      </w:r>
      <w:r w:rsidR="002A6481">
        <w:rPr>
          <w:bCs/>
        </w:rPr>
        <w:t xml:space="preserve"> </w:t>
      </w:r>
      <w:r w:rsidR="008C153D">
        <w:rPr>
          <w:bCs/>
        </w:rPr>
        <w:t>Cala2, was used to propagate</w:t>
      </w:r>
      <w:r w:rsidR="002A6481">
        <w:rPr>
          <w:bCs/>
        </w:rPr>
        <w:t xml:space="preserve"> oomycete</w:t>
      </w:r>
      <w:r w:rsidR="008C153D">
        <w:rPr>
          <w:bCs/>
        </w:rPr>
        <w:t xml:space="preserve"> spores</w:t>
      </w:r>
      <w:r w:rsidR="002A6481">
        <w:rPr>
          <w:bCs/>
        </w:rPr>
        <w:t>.</w:t>
      </w:r>
    </w:p>
    <w:p w:rsidR="00290034" w:rsidRPr="00102B90" w:rsidRDefault="00563EC1" w:rsidP="00102B90">
      <w:pPr>
        <w:pStyle w:val="berschrift2"/>
        <w:spacing w:after="240"/>
        <w:rPr>
          <w:color w:val="auto"/>
        </w:rPr>
      </w:pPr>
      <w:bookmarkStart w:id="43" w:name="_Toc435621215"/>
      <w:r>
        <w:rPr>
          <w:color w:val="auto"/>
        </w:rPr>
        <w:t xml:space="preserve">5.2 </w:t>
      </w:r>
      <w:r w:rsidR="00290034" w:rsidRPr="00102B90">
        <w:rPr>
          <w:color w:val="auto"/>
        </w:rPr>
        <w:t>Primer used for quantitative real-time PCR</w:t>
      </w:r>
      <w:bookmarkEnd w:id="43"/>
    </w:p>
    <w:tbl>
      <w:tblPr>
        <w:tblW w:w="9100" w:type="dxa"/>
        <w:tblInd w:w="55" w:type="dxa"/>
        <w:tblCellMar>
          <w:left w:w="70" w:type="dxa"/>
          <w:right w:w="70" w:type="dxa"/>
        </w:tblCellMar>
        <w:tblLook w:val="04A0" w:firstRow="1" w:lastRow="0" w:firstColumn="1" w:lastColumn="0" w:noHBand="0" w:noVBand="1"/>
      </w:tblPr>
      <w:tblGrid>
        <w:gridCol w:w="1780"/>
        <w:gridCol w:w="3640"/>
        <w:gridCol w:w="3680"/>
      </w:tblGrid>
      <w:tr w:rsidR="00290034" w:rsidRPr="00BB51A0" w:rsidTr="00926F28">
        <w:trPr>
          <w:trHeight w:val="300"/>
          <w:tblHeader/>
        </w:trPr>
        <w:tc>
          <w:tcPr>
            <w:tcW w:w="178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b/>
                <w:bCs/>
                <w:sz w:val="18"/>
                <w:szCs w:val="18"/>
                <w:lang w:val="de-DE"/>
              </w:rPr>
            </w:pPr>
            <w:r w:rsidRPr="00BB51A0">
              <w:rPr>
                <w:b/>
                <w:bCs/>
                <w:sz w:val="18"/>
                <w:szCs w:val="18"/>
                <w:lang w:val="de-DE"/>
              </w:rPr>
              <w:t>Name</w:t>
            </w:r>
          </w:p>
        </w:tc>
        <w:tc>
          <w:tcPr>
            <w:tcW w:w="364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b/>
                <w:bCs/>
                <w:sz w:val="18"/>
                <w:szCs w:val="18"/>
                <w:lang w:val="de-DE"/>
              </w:rPr>
            </w:pPr>
            <w:r w:rsidRPr="00BB51A0">
              <w:rPr>
                <w:b/>
                <w:bCs/>
                <w:sz w:val="18"/>
                <w:szCs w:val="18"/>
                <w:lang w:val="de-DE"/>
              </w:rPr>
              <w:t>3´ -&gt; 5´</w:t>
            </w:r>
          </w:p>
        </w:tc>
        <w:tc>
          <w:tcPr>
            <w:tcW w:w="368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b/>
                <w:bCs/>
                <w:sz w:val="18"/>
                <w:szCs w:val="18"/>
                <w:lang w:val="de-DE"/>
              </w:rPr>
            </w:pPr>
            <w:r w:rsidRPr="00BB51A0">
              <w:rPr>
                <w:b/>
                <w:bCs/>
                <w:sz w:val="18"/>
                <w:szCs w:val="18"/>
                <w:lang w:val="de-DE"/>
              </w:rPr>
              <w:t>5´-&gt; 3´</w:t>
            </w:r>
          </w:p>
        </w:tc>
      </w:tr>
      <w:tr w:rsidR="00290034" w:rsidRPr="00BB51A0" w:rsidTr="00FD65FA">
        <w:trPr>
          <w:trHeight w:val="300"/>
        </w:trPr>
        <w:tc>
          <w:tcPr>
            <w:tcW w:w="178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i/>
                <w:sz w:val="18"/>
                <w:szCs w:val="18"/>
                <w:lang w:val="de-DE"/>
              </w:rPr>
            </w:pPr>
            <w:r w:rsidRPr="00BB51A0">
              <w:rPr>
                <w:i/>
                <w:sz w:val="18"/>
                <w:szCs w:val="18"/>
                <w:lang w:val="de-DE"/>
              </w:rPr>
              <w:t>2OGD1 / K3</w:t>
            </w:r>
          </w:p>
        </w:tc>
        <w:tc>
          <w:tcPr>
            <w:tcW w:w="364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sz w:val="18"/>
                <w:szCs w:val="18"/>
                <w:lang w:val="de-DE"/>
              </w:rPr>
            </w:pPr>
            <w:r w:rsidRPr="00BB51A0">
              <w:rPr>
                <w:sz w:val="18"/>
                <w:szCs w:val="18"/>
                <w:lang w:val="de-DE"/>
              </w:rPr>
              <w:t>ACCAAATGCAGGTCATAAGC</w:t>
            </w:r>
          </w:p>
        </w:tc>
        <w:tc>
          <w:tcPr>
            <w:tcW w:w="368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sz w:val="18"/>
                <w:szCs w:val="18"/>
                <w:lang w:val="de-DE"/>
              </w:rPr>
            </w:pPr>
            <w:r w:rsidRPr="00BB51A0">
              <w:rPr>
                <w:sz w:val="18"/>
                <w:szCs w:val="18"/>
                <w:lang w:val="de-DE"/>
              </w:rPr>
              <w:t>TGAAGGGAAATAGAAAGTCGG</w:t>
            </w:r>
          </w:p>
        </w:tc>
      </w:tr>
      <w:tr w:rsidR="00290034" w:rsidRPr="00BB51A0" w:rsidTr="00FD65FA">
        <w:trPr>
          <w:trHeight w:val="300"/>
        </w:trPr>
        <w:tc>
          <w:tcPr>
            <w:tcW w:w="178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i/>
                <w:sz w:val="18"/>
                <w:szCs w:val="18"/>
                <w:lang w:val="de-DE"/>
              </w:rPr>
            </w:pPr>
            <w:r w:rsidRPr="00BB51A0">
              <w:rPr>
                <w:i/>
                <w:sz w:val="18"/>
                <w:szCs w:val="18"/>
                <w:lang w:val="de-DE"/>
              </w:rPr>
              <w:t>2OGD2</w:t>
            </w:r>
          </w:p>
        </w:tc>
        <w:tc>
          <w:tcPr>
            <w:tcW w:w="364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sz w:val="18"/>
                <w:szCs w:val="18"/>
                <w:lang w:val="de-DE"/>
              </w:rPr>
            </w:pPr>
            <w:r w:rsidRPr="00BB51A0">
              <w:rPr>
                <w:sz w:val="18"/>
                <w:szCs w:val="18"/>
                <w:lang w:val="de-DE"/>
              </w:rPr>
              <w:t>TGATATCTGCAGGAATGAAACG</w:t>
            </w:r>
          </w:p>
        </w:tc>
        <w:tc>
          <w:tcPr>
            <w:tcW w:w="368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sz w:val="18"/>
                <w:szCs w:val="18"/>
                <w:lang w:val="de-DE"/>
              </w:rPr>
            </w:pPr>
            <w:r w:rsidRPr="00BB51A0">
              <w:rPr>
                <w:sz w:val="18"/>
                <w:szCs w:val="18"/>
                <w:lang w:val="de-DE"/>
              </w:rPr>
              <w:t>CGAATCGAGCCCATAAAGAG</w:t>
            </w:r>
          </w:p>
        </w:tc>
      </w:tr>
      <w:tr w:rsidR="00290034" w:rsidRPr="00BB51A0" w:rsidTr="00FD65FA">
        <w:trPr>
          <w:trHeight w:val="300"/>
        </w:trPr>
        <w:tc>
          <w:tcPr>
            <w:tcW w:w="178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i/>
                <w:sz w:val="18"/>
                <w:szCs w:val="18"/>
                <w:lang w:val="de-DE"/>
              </w:rPr>
            </w:pPr>
            <w:r w:rsidRPr="00BB51A0">
              <w:rPr>
                <w:i/>
                <w:sz w:val="18"/>
                <w:szCs w:val="18"/>
                <w:lang w:val="de-DE"/>
              </w:rPr>
              <w:t>ACD11L</w:t>
            </w:r>
          </w:p>
        </w:tc>
        <w:tc>
          <w:tcPr>
            <w:tcW w:w="364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sz w:val="18"/>
                <w:szCs w:val="18"/>
                <w:lang w:val="de-DE"/>
              </w:rPr>
            </w:pPr>
            <w:r w:rsidRPr="00BB51A0">
              <w:rPr>
                <w:sz w:val="18"/>
                <w:szCs w:val="18"/>
                <w:lang w:val="de-DE"/>
              </w:rPr>
              <w:t>CGTTACACAACATTCTTGACC</w:t>
            </w:r>
          </w:p>
        </w:tc>
        <w:tc>
          <w:tcPr>
            <w:tcW w:w="368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sz w:val="18"/>
                <w:szCs w:val="18"/>
                <w:lang w:val="de-DE"/>
              </w:rPr>
            </w:pPr>
            <w:r w:rsidRPr="00BB51A0">
              <w:rPr>
                <w:sz w:val="18"/>
                <w:szCs w:val="18"/>
                <w:lang w:val="de-DE"/>
              </w:rPr>
              <w:t>TCAGATCTAAACCTTGTCTCAC</w:t>
            </w:r>
          </w:p>
        </w:tc>
      </w:tr>
      <w:tr w:rsidR="00290034" w:rsidRPr="00BB51A0" w:rsidTr="00FD65FA">
        <w:trPr>
          <w:trHeight w:val="300"/>
        </w:trPr>
        <w:tc>
          <w:tcPr>
            <w:tcW w:w="178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i/>
                <w:sz w:val="18"/>
                <w:szCs w:val="18"/>
                <w:lang w:val="de-DE"/>
              </w:rPr>
            </w:pPr>
            <w:r w:rsidRPr="00BB51A0">
              <w:rPr>
                <w:i/>
                <w:sz w:val="18"/>
                <w:szCs w:val="18"/>
                <w:lang w:val="de-DE"/>
              </w:rPr>
              <w:t>AGP5</w:t>
            </w:r>
          </w:p>
        </w:tc>
        <w:tc>
          <w:tcPr>
            <w:tcW w:w="364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sz w:val="18"/>
                <w:szCs w:val="18"/>
                <w:lang w:val="de-DE"/>
              </w:rPr>
            </w:pPr>
            <w:r w:rsidRPr="00BB51A0">
              <w:rPr>
                <w:sz w:val="18"/>
                <w:szCs w:val="18"/>
                <w:lang w:val="de-DE"/>
              </w:rPr>
              <w:t>CTACTGAATCTCCACCAGCTC</w:t>
            </w:r>
          </w:p>
        </w:tc>
        <w:tc>
          <w:tcPr>
            <w:tcW w:w="368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sz w:val="18"/>
                <w:szCs w:val="18"/>
                <w:lang w:val="de-DE"/>
              </w:rPr>
            </w:pPr>
            <w:r w:rsidRPr="00BB51A0">
              <w:rPr>
                <w:sz w:val="18"/>
                <w:szCs w:val="18"/>
                <w:lang w:val="de-DE"/>
              </w:rPr>
              <w:t>GAGGGAGACTCTGCTAACTG</w:t>
            </w:r>
          </w:p>
        </w:tc>
      </w:tr>
      <w:tr w:rsidR="00290034" w:rsidRPr="00BB51A0" w:rsidTr="00FD65FA">
        <w:trPr>
          <w:trHeight w:val="300"/>
        </w:trPr>
        <w:tc>
          <w:tcPr>
            <w:tcW w:w="178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i/>
                <w:sz w:val="18"/>
                <w:szCs w:val="18"/>
                <w:lang w:val="de-DE"/>
              </w:rPr>
            </w:pPr>
            <w:r w:rsidRPr="00BB51A0">
              <w:rPr>
                <w:i/>
                <w:sz w:val="18"/>
                <w:szCs w:val="18"/>
                <w:lang w:val="de-DE"/>
              </w:rPr>
              <w:t>AIG1</w:t>
            </w:r>
          </w:p>
        </w:tc>
        <w:tc>
          <w:tcPr>
            <w:tcW w:w="364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sz w:val="18"/>
                <w:szCs w:val="18"/>
                <w:lang w:val="de-DE"/>
              </w:rPr>
            </w:pPr>
            <w:r w:rsidRPr="00BB51A0">
              <w:rPr>
                <w:sz w:val="18"/>
                <w:szCs w:val="18"/>
                <w:lang w:val="de-DE"/>
              </w:rPr>
              <w:t>AGCAGTGACACCAGAAGGCCCT</w:t>
            </w:r>
          </w:p>
        </w:tc>
        <w:tc>
          <w:tcPr>
            <w:tcW w:w="368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sz w:val="18"/>
                <w:szCs w:val="18"/>
                <w:lang w:val="de-DE"/>
              </w:rPr>
            </w:pPr>
            <w:r w:rsidRPr="00BB51A0">
              <w:rPr>
                <w:sz w:val="18"/>
                <w:szCs w:val="18"/>
                <w:lang w:val="de-DE"/>
              </w:rPr>
              <w:t>GCGTGTAGCCCTCCATCCGC</w:t>
            </w:r>
          </w:p>
        </w:tc>
      </w:tr>
      <w:tr w:rsidR="00290034" w:rsidRPr="00BB51A0" w:rsidTr="00FD65FA">
        <w:trPr>
          <w:trHeight w:val="300"/>
        </w:trPr>
        <w:tc>
          <w:tcPr>
            <w:tcW w:w="178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i/>
                <w:sz w:val="18"/>
                <w:szCs w:val="18"/>
                <w:lang w:val="de-DE"/>
              </w:rPr>
            </w:pPr>
            <w:r w:rsidRPr="00BB51A0">
              <w:rPr>
                <w:i/>
                <w:sz w:val="18"/>
                <w:szCs w:val="18"/>
                <w:lang w:val="de-DE"/>
              </w:rPr>
              <w:t>ALD1</w:t>
            </w:r>
          </w:p>
        </w:tc>
        <w:tc>
          <w:tcPr>
            <w:tcW w:w="364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sz w:val="18"/>
                <w:szCs w:val="18"/>
                <w:lang w:val="de-DE"/>
              </w:rPr>
            </w:pPr>
            <w:r w:rsidRPr="00BB51A0">
              <w:rPr>
                <w:sz w:val="18"/>
                <w:szCs w:val="18"/>
                <w:lang w:val="de-DE"/>
              </w:rPr>
              <w:t>GTGCAAGATCCTACCTTCCCGGC</w:t>
            </w:r>
          </w:p>
        </w:tc>
        <w:tc>
          <w:tcPr>
            <w:tcW w:w="368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sz w:val="18"/>
                <w:szCs w:val="18"/>
                <w:lang w:val="de-DE"/>
              </w:rPr>
            </w:pPr>
            <w:r w:rsidRPr="00BB51A0">
              <w:rPr>
                <w:sz w:val="18"/>
                <w:szCs w:val="18"/>
                <w:lang w:val="de-DE"/>
              </w:rPr>
              <w:t>CGGTCCTTGGGGTCATAGCCAGA</w:t>
            </w:r>
          </w:p>
        </w:tc>
      </w:tr>
      <w:tr w:rsidR="00290034" w:rsidRPr="00BB51A0" w:rsidTr="00FD65FA">
        <w:trPr>
          <w:trHeight w:val="300"/>
        </w:trPr>
        <w:tc>
          <w:tcPr>
            <w:tcW w:w="178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i/>
                <w:sz w:val="18"/>
                <w:szCs w:val="18"/>
                <w:lang w:val="de-DE"/>
              </w:rPr>
            </w:pPr>
            <w:r w:rsidRPr="00BB51A0">
              <w:rPr>
                <w:i/>
                <w:sz w:val="18"/>
                <w:szCs w:val="18"/>
                <w:lang w:val="de-DE"/>
              </w:rPr>
              <w:t>ANAC042</w:t>
            </w:r>
          </w:p>
        </w:tc>
        <w:tc>
          <w:tcPr>
            <w:tcW w:w="364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sz w:val="18"/>
                <w:szCs w:val="18"/>
                <w:lang w:val="de-DE"/>
              </w:rPr>
            </w:pPr>
            <w:r w:rsidRPr="00BB51A0">
              <w:rPr>
                <w:sz w:val="18"/>
                <w:szCs w:val="18"/>
                <w:lang w:val="de-DE"/>
              </w:rPr>
              <w:t>CTCAACAAGCAGAGGTATGG</w:t>
            </w:r>
          </w:p>
        </w:tc>
        <w:tc>
          <w:tcPr>
            <w:tcW w:w="368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sz w:val="18"/>
                <w:szCs w:val="18"/>
                <w:lang w:val="de-DE"/>
              </w:rPr>
            </w:pPr>
            <w:r w:rsidRPr="00BB51A0">
              <w:rPr>
                <w:sz w:val="18"/>
                <w:szCs w:val="18"/>
                <w:lang w:val="de-DE"/>
              </w:rPr>
              <w:t>TGTGGTCGGAATCTAAGCTG</w:t>
            </w:r>
          </w:p>
        </w:tc>
      </w:tr>
      <w:tr w:rsidR="00290034" w:rsidRPr="00BB51A0" w:rsidTr="00FD65FA">
        <w:trPr>
          <w:trHeight w:val="300"/>
        </w:trPr>
        <w:tc>
          <w:tcPr>
            <w:tcW w:w="178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i/>
                <w:sz w:val="18"/>
                <w:szCs w:val="18"/>
                <w:lang w:val="de-DE"/>
              </w:rPr>
            </w:pPr>
            <w:r w:rsidRPr="00BB51A0">
              <w:rPr>
                <w:i/>
                <w:sz w:val="18"/>
                <w:szCs w:val="18"/>
                <w:lang w:val="de-DE"/>
              </w:rPr>
              <w:t>ARD</w:t>
            </w:r>
          </w:p>
        </w:tc>
        <w:tc>
          <w:tcPr>
            <w:tcW w:w="364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sz w:val="18"/>
                <w:szCs w:val="18"/>
                <w:lang w:val="de-DE"/>
              </w:rPr>
            </w:pPr>
            <w:r w:rsidRPr="00BB51A0">
              <w:rPr>
                <w:sz w:val="18"/>
                <w:szCs w:val="18"/>
                <w:lang w:val="de-DE"/>
              </w:rPr>
              <w:t>AGAGATCCGTTACTGCCT</w:t>
            </w:r>
          </w:p>
        </w:tc>
        <w:tc>
          <w:tcPr>
            <w:tcW w:w="368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sz w:val="18"/>
                <w:szCs w:val="18"/>
                <w:lang w:val="de-DE"/>
              </w:rPr>
            </w:pPr>
            <w:r w:rsidRPr="00BB51A0">
              <w:rPr>
                <w:sz w:val="18"/>
                <w:szCs w:val="18"/>
                <w:lang w:val="de-DE"/>
              </w:rPr>
              <w:t>GCCTTCATATAGTTGTCCGAG</w:t>
            </w:r>
          </w:p>
        </w:tc>
      </w:tr>
      <w:tr w:rsidR="00290034" w:rsidRPr="00BB51A0" w:rsidTr="00FD65FA">
        <w:trPr>
          <w:trHeight w:val="300"/>
        </w:trPr>
        <w:tc>
          <w:tcPr>
            <w:tcW w:w="178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i/>
                <w:sz w:val="18"/>
                <w:szCs w:val="18"/>
                <w:lang w:val="de-DE"/>
              </w:rPr>
            </w:pPr>
            <w:r w:rsidRPr="00BB51A0">
              <w:rPr>
                <w:i/>
                <w:sz w:val="18"/>
                <w:szCs w:val="18"/>
                <w:lang w:val="de-DE"/>
              </w:rPr>
              <w:t>ASK7</w:t>
            </w:r>
          </w:p>
        </w:tc>
        <w:tc>
          <w:tcPr>
            <w:tcW w:w="364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sz w:val="18"/>
                <w:szCs w:val="18"/>
                <w:lang w:val="de-DE"/>
              </w:rPr>
            </w:pPr>
            <w:r w:rsidRPr="00BB51A0">
              <w:rPr>
                <w:sz w:val="18"/>
                <w:szCs w:val="18"/>
                <w:lang w:val="de-DE"/>
              </w:rPr>
              <w:t>GATTGAAGAAGAGACCGCAC</w:t>
            </w:r>
          </w:p>
        </w:tc>
        <w:tc>
          <w:tcPr>
            <w:tcW w:w="368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sz w:val="18"/>
                <w:szCs w:val="18"/>
                <w:lang w:val="de-DE"/>
              </w:rPr>
            </w:pPr>
            <w:r w:rsidRPr="00BB51A0">
              <w:rPr>
                <w:sz w:val="18"/>
                <w:szCs w:val="18"/>
                <w:lang w:val="de-DE"/>
              </w:rPr>
              <w:t>CGATCACCATCTCAAGAATCTC</w:t>
            </w:r>
          </w:p>
        </w:tc>
      </w:tr>
      <w:tr w:rsidR="00290034" w:rsidRPr="00BB51A0" w:rsidTr="00FD65FA">
        <w:trPr>
          <w:trHeight w:val="300"/>
        </w:trPr>
        <w:tc>
          <w:tcPr>
            <w:tcW w:w="178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i/>
                <w:sz w:val="18"/>
                <w:szCs w:val="18"/>
                <w:lang w:val="de-DE"/>
              </w:rPr>
            </w:pPr>
            <w:r w:rsidRPr="00BB51A0">
              <w:rPr>
                <w:i/>
                <w:sz w:val="18"/>
                <w:szCs w:val="18"/>
                <w:lang w:val="de-DE"/>
              </w:rPr>
              <w:t>AT1G03660</w:t>
            </w:r>
          </w:p>
        </w:tc>
        <w:tc>
          <w:tcPr>
            <w:tcW w:w="364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sz w:val="18"/>
                <w:szCs w:val="18"/>
                <w:lang w:val="de-DE"/>
              </w:rPr>
            </w:pPr>
            <w:r w:rsidRPr="00BB51A0">
              <w:rPr>
                <w:sz w:val="18"/>
                <w:szCs w:val="18"/>
                <w:lang w:val="de-DE"/>
              </w:rPr>
              <w:t>ATTTAGGCATCACAGGTTTGG</w:t>
            </w:r>
          </w:p>
        </w:tc>
        <w:tc>
          <w:tcPr>
            <w:tcW w:w="368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sz w:val="18"/>
                <w:szCs w:val="18"/>
                <w:lang w:val="de-DE"/>
              </w:rPr>
            </w:pPr>
            <w:r w:rsidRPr="00BB51A0">
              <w:rPr>
                <w:sz w:val="18"/>
                <w:szCs w:val="18"/>
                <w:lang w:val="de-DE"/>
              </w:rPr>
              <w:t>GTATCAGAGGAATATCACCCAG</w:t>
            </w:r>
          </w:p>
        </w:tc>
      </w:tr>
      <w:tr w:rsidR="00290034" w:rsidRPr="00BB51A0" w:rsidTr="00FD65FA">
        <w:trPr>
          <w:trHeight w:val="300"/>
        </w:trPr>
        <w:tc>
          <w:tcPr>
            <w:tcW w:w="178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i/>
                <w:sz w:val="18"/>
                <w:szCs w:val="18"/>
                <w:lang w:val="de-DE"/>
              </w:rPr>
            </w:pPr>
            <w:r w:rsidRPr="00BB51A0">
              <w:rPr>
                <w:i/>
                <w:sz w:val="18"/>
                <w:szCs w:val="18"/>
                <w:lang w:val="de-DE"/>
              </w:rPr>
              <w:t>AT1G26420</w:t>
            </w:r>
          </w:p>
        </w:tc>
        <w:tc>
          <w:tcPr>
            <w:tcW w:w="364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sz w:val="18"/>
                <w:szCs w:val="18"/>
                <w:lang w:val="de-DE"/>
              </w:rPr>
            </w:pPr>
            <w:r w:rsidRPr="00BB51A0">
              <w:rPr>
                <w:sz w:val="18"/>
                <w:szCs w:val="18"/>
                <w:lang w:val="de-DE"/>
              </w:rPr>
              <w:t>TCTGTGCCATTTGTCATTCTC</w:t>
            </w:r>
          </w:p>
        </w:tc>
        <w:tc>
          <w:tcPr>
            <w:tcW w:w="368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sz w:val="18"/>
                <w:szCs w:val="18"/>
                <w:lang w:val="de-DE"/>
              </w:rPr>
            </w:pPr>
            <w:r w:rsidRPr="00BB51A0">
              <w:rPr>
                <w:sz w:val="18"/>
                <w:szCs w:val="18"/>
                <w:lang w:val="de-DE"/>
              </w:rPr>
              <w:t>TTATGTGCCCTCCTACTCCT</w:t>
            </w:r>
          </w:p>
        </w:tc>
      </w:tr>
      <w:tr w:rsidR="00290034" w:rsidRPr="00BB51A0" w:rsidTr="00FD65FA">
        <w:trPr>
          <w:trHeight w:val="300"/>
        </w:trPr>
        <w:tc>
          <w:tcPr>
            <w:tcW w:w="1780" w:type="dxa"/>
            <w:tcBorders>
              <w:top w:val="nil"/>
              <w:left w:val="nil"/>
              <w:bottom w:val="nil"/>
              <w:right w:val="nil"/>
            </w:tcBorders>
            <w:shd w:val="clear" w:color="auto" w:fill="auto"/>
            <w:noWrap/>
            <w:vAlign w:val="bottom"/>
            <w:hideMark/>
          </w:tcPr>
          <w:p w:rsidR="00290034" w:rsidRPr="00BB51A0" w:rsidRDefault="00290034" w:rsidP="00290034">
            <w:pPr>
              <w:spacing w:line="360" w:lineRule="auto"/>
              <w:jc w:val="both"/>
              <w:rPr>
                <w:i/>
                <w:sz w:val="18"/>
                <w:szCs w:val="18"/>
                <w:lang w:val="de-DE"/>
              </w:rPr>
            </w:pPr>
            <w:r w:rsidRPr="00BB51A0">
              <w:rPr>
                <w:i/>
                <w:sz w:val="18"/>
                <w:szCs w:val="18"/>
                <w:lang w:val="de-DE"/>
              </w:rPr>
              <w:lastRenderedPageBreak/>
              <w:t>AT3G57460</w:t>
            </w:r>
          </w:p>
        </w:tc>
        <w:tc>
          <w:tcPr>
            <w:tcW w:w="3640" w:type="dxa"/>
            <w:tcBorders>
              <w:top w:val="nil"/>
              <w:left w:val="nil"/>
              <w:bottom w:val="nil"/>
              <w:right w:val="nil"/>
            </w:tcBorders>
            <w:shd w:val="clear" w:color="auto" w:fill="auto"/>
            <w:noWrap/>
            <w:vAlign w:val="bottom"/>
            <w:hideMark/>
          </w:tcPr>
          <w:p w:rsidR="00290034" w:rsidRPr="00BB51A0" w:rsidRDefault="00290034" w:rsidP="00290034">
            <w:pPr>
              <w:spacing w:line="360" w:lineRule="auto"/>
              <w:jc w:val="both"/>
              <w:rPr>
                <w:sz w:val="18"/>
                <w:szCs w:val="18"/>
                <w:lang w:val="de-DE"/>
              </w:rPr>
            </w:pPr>
            <w:r w:rsidRPr="00BB51A0">
              <w:rPr>
                <w:sz w:val="18"/>
                <w:szCs w:val="18"/>
                <w:lang w:val="de-DE"/>
              </w:rPr>
              <w:t>TAAGTCTTTCGGACAATGGT</w:t>
            </w:r>
          </w:p>
        </w:tc>
        <w:tc>
          <w:tcPr>
            <w:tcW w:w="3680" w:type="dxa"/>
            <w:tcBorders>
              <w:top w:val="nil"/>
              <w:left w:val="nil"/>
              <w:bottom w:val="nil"/>
              <w:right w:val="nil"/>
            </w:tcBorders>
            <w:shd w:val="clear" w:color="auto" w:fill="auto"/>
            <w:noWrap/>
            <w:vAlign w:val="bottom"/>
            <w:hideMark/>
          </w:tcPr>
          <w:p w:rsidR="00290034" w:rsidRPr="00BB51A0" w:rsidRDefault="00290034" w:rsidP="00290034">
            <w:pPr>
              <w:spacing w:line="360" w:lineRule="auto"/>
              <w:jc w:val="both"/>
              <w:rPr>
                <w:sz w:val="18"/>
                <w:szCs w:val="18"/>
                <w:lang w:val="de-DE"/>
              </w:rPr>
            </w:pPr>
            <w:r w:rsidRPr="00BB51A0">
              <w:rPr>
                <w:sz w:val="18"/>
                <w:szCs w:val="18"/>
                <w:lang w:val="de-DE"/>
              </w:rPr>
              <w:t>GTACAGTCACCTTGACAACG</w:t>
            </w:r>
          </w:p>
        </w:tc>
      </w:tr>
      <w:tr w:rsidR="00290034" w:rsidRPr="00BB51A0" w:rsidTr="00FD65FA">
        <w:trPr>
          <w:trHeight w:val="300"/>
        </w:trPr>
        <w:tc>
          <w:tcPr>
            <w:tcW w:w="178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i/>
                <w:sz w:val="18"/>
                <w:szCs w:val="18"/>
                <w:lang w:val="de-DE"/>
              </w:rPr>
            </w:pPr>
            <w:r w:rsidRPr="00BB51A0">
              <w:rPr>
                <w:i/>
                <w:sz w:val="18"/>
                <w:szCs w:val="18"/>
                <w:lang w:val="de-DE"/>
              </w:rPr>
              <w:t>AT5G39090</w:t>
            </w:r>
          </w:p>
        </w:tc>
        <w:tc>
          <w:tcPr>
            <w:tcW w:w="364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sz w:val="18"/>
                <w:szCs w:val="18"/>
                <w:lang w:val="de-DE"/>
              </w:rPr>
            </w:pPr>
            <w:r w:rsidRPr="00BB51A0">
              <w:rPr>
                <w:sz w:val="18"/>
                <w:szCs w:val="18"/>
                <w:lang w:val="de-DE"/>
              </w:rPr>
              <w:t>GAGTTACACCCATTAGTCCC</w:t>
            </w:r>
          </w:p>
        </w:tc>
        <w:tc>
          <w:tcPr>
            <w:tcW w:w="368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sz w:val="18"/>
                <w:szCs w:val="18"/>
                <w:lang w:val="de-DE"/>
              </w:rPr>
            </w:pPr>
            <w:r w:rsidRPr="00BB51A0">
              <w:rPr>
                <w:sz w:val="18"/>
                <w:szCs w:val="18"/>
                <w:lang w:val="de-DE"/>
              </w:rPr>
              <w:t>TAAGTGAGCCCAAGATTTGAG</w:t>
            </w:r>
          </w:p>
        </w:tc>
      </w:tr>
      <w:tr w:rsidR="00290034" w:rsidRPr="00BB51A0" w:rsidTr="00FD65FA">
        <w:trPr>
          <w:trHeight w:val="300"/>
        </w:trPr>
        <w:tc>
          <w:tcPr>
            <w:tcW w:w="178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i/>
                <w:sz w:val="18"/>
                <w:szCs w:val="18"/>
                <w:lang w:val="de-DE"/>
              </w:rPr>
            </w:pPr>
            <w:r w:rsidRPr="00BB51A0">
              <w:rPr>
                <w:i/>
                <w:sz w:val="18"/>
                <w:szCs w:val="18"/>
                <w:lang w:val="de-DE"/>
              </w:rPr>
              <w:t>ATPase1</w:t>
            </w:r>
          </w:p>
        </w:tc>
        <w:tc>
          <w:tcPr>
            <w:tcW w:w="364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sz w:val="18"/>
                <w:szCs w:val="18"/>
                <w:lang w:val="de-DE"/>
              </w:rPr>
            </w:pPr>
            <w:r w:rsidRPr="00BB51A0">
              <w:rPr>
                <w:sz w:val="18"/>
                <w:szCs w:val="18"/>
                <w:lang w:val="de-DE"/>
              </w:rPr>
              <w:t>AGAGGAAGATGAAGAGGAGG</w:t>
            </w:r>
          </w:p>
        </w:tc>
        <w:tc>
          <w:tcPr>
            <w:tcW w:w="368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sz w:val="18"/>
                <w:szCs w:val="18"/>
                <w:lang w:val="de-DE"/>
              </w:rPr>
            </w:pPr>
            <w:r w:rsidRPr="00BB51A0">
              <w:rPr>
                <w:sz w:val="18"/>
                <w:szCs w:val="18"/>
                <w:lang w:val="de-DE"/>
              </w:rPr>
              <w:t>ACTACAAGCTGACCATAACC</w:t>
            </w:r>
          </w:p>
        </w:tc>
      </w:tr>
      <w:tr w:rsidR="00290034" w:rsidRPr="00BB51A0" w:rsidTr="00FD65FA">
        <w:trPr>
          <w:trHeight w:val="300"/>
        </w:trPr>
        <w:tc>
          <w:tcPr>
            <w:tcW w:w="178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i/>
                <w:sz w:val="18"/>
                <w:szCs w:val="18"/>
                <w:lang w:val="de-DE"/>
              </w:rPr>
            </w:pPr>
            <w:r w:rsidRPr="00BB51A0">
              <w:rPr>
                <w:i/>
                <w:sz w:val="18"/>
                <w:szCs w:val="18"/>
                <w:lang w:val="de-DE"/>
              </w:rPr>
              <w:t>BAHD1</w:t>
            </w:r>
          </w:p>
        </w:tc>
        <w:tc>
          <w:tcPr>
            <w:tcW w:w="364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sz w:val="18"/>
                <w:szCs w:val="18"/>
                <w:lang w:val="de-DE"/>
              </w:rPr>
            </w:pPr>
            <w:r w:rsidRPr="00BB51A0">
              <w:rPr>
                <w:sz w:val="18"/>
                <w:szCs w:val="18"/>
                <w:lang w:val="de-DE"/>
              </w:rPr>
              <w:t>ATTGTGGGTGCTAAGTATGTC</w:t>
            </w:r>
          </w:p>
        </w:tc>
        <w:tc>
          <w:tcPr>
            <w:tcW w:w="368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sz w:val="18"/>
                <w:szCs w:val="18"/>
                <w:lang w:val="de-DE"/>
              </w:rPr>
            </w:pPr>
            <w:r w:rsidRPr="00BB51A0">
              <w:rPr>
                <w:sz w:val="18"/>
                <w:szCs w:val="18"/>
                <w:lang w:val="de-DE"/>
              </w:rPr>
              <w:t>TTCCATCTACCAATTCTGTCAC</w:t>
            </w:r>
          </w:p>
        </w:tc>
      </w:tr>
      <w:tr w:rsidR="00290034" w:rsidRPr="00BB51A0" w:rsidTr="00FD65FA">
        <w:trPr>
          <w:trHeight w:val="300"/>
        </w:trPr>
        <w:tc>
          <w:tcPr>
            <w:tcW w:w="178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i/>
                <w:sz w:val="18"/>
                <w:szCs w:val="18"/>
                <w:lang w:val="de-DE"/>
              </w:rPr>
            </w:pPr>
            <w:r w:rsidRPr="00BB51A0">
              <w:rPr>
                <w:i/>
                <w:sz w:val="18"/>
                <w:szCs w:val="18"/>
                <w:lang w:val="de-DE"/>
              </w:rPr>
              <w:t>BGLU31</w:t>
            </w:r>
          </w:p>
        </w:tc>
        <w:tc>
          <w:tcPr>
            <w:tcW w:w="364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sz w:val="18"/>
                <w:szCs w:val="18"/>
                <w:lang w:val="de-DE"/>
              </w:rPr>
            </w:pPr>
            <w:r w:rsidRPr="00BB51A0">
              <w:rPr>
                <w:sz w:val="18"/>
                <w:szCs w:val="18"/>
                <w:lang w:val="de-DE"/>
              </w:rPr>
              <w:t>TTGGTTCGAGCCATATGACAGTGC</w:t>
            </w:r>
          </w:p>
        </w:tc>
        <w:tc>
          <w:tcPr>
            <w:tcW w:w="368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sz w:val="18"/>
                <w:szCs w:val="18"/>
                <w:lang w:val="de-DE"/>
              </w:rPr>
            </w:pPr>
            <w:r w:rsidRPr="00BB51A0">
              <w:rPr>
                <w:sz w:val="18"/>
                <w:szCs w:val="18"/>
                <w:lang w:val="de-DE"/>
              </w:rPr>
              <w:t>TGGATAGTCTCCGAAAACTAGAGGGC</w:t>
            </w:r>
          </w:p>
        </w:tc>
      </w:tr>
      <w:tr w:rsidR="00290034" w:rsidRPr="00BB51A0" w:rsidTr="00FD65FA">
        <w:trPr>
          <w:trHeight w:val="300"/>
        </w:trPr>
        <w:tc>
          <w:tcPr>
            <w:tcW w:w="178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i/>
                <w:sz w:val="18"/>
                <w:szCs w:val="18"/>
                <w:lang w:val="de-DE"/>
              </w:rPr>
            </w:pPr>
            <w:r w:rsidRPr="00BB51A0">
              <w:rPr>
                <w:i/>
                <w:sz w:val="18"/>
                <w:szCs w:val="18"/>
                <w:lang w:val="de-DE"/>
              </w:rPr>
              <w:t>BGLU45</w:t>
            </w:r>
          </w:p>
        </w:tc>
        <w:tc>
          <w:tcPr>
            <w:tcW w:w="364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sz w:val="18"/>
                <w:szCs w:val="18"/>
                <w:lang w:val="de-DE"/>
              </w:rPr>
            </w:pPr>
            <w:r w:rsidRPr="00BB51A0">
              <w:rPr>
                <w:sz w:val="18"/>
                <w:szCs w:val="18"/>
                <w:lang w:val="de-DE"/>
              </w:rPr>
              <w:t>TACCTAGAGGAAGATTTGGAGAG</w:t>
            </w:r>
          </w:p>
        </w:tc>
        <w:tc>
          <w:tcPr>
            <w:tcW w:w="368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sz w:val="18"/>
                <w:szCs w:val="18"/>
                <w:lang w:val="de-DE"/>
              </w:rPr>
            </w:pPr>
            <w:r w:rsidRPr="00BB51A0">
              <w:rPr>
                <w:sz w:val="18"/>
                <w:szCs w:val="18"/>
                <w:lang w:val="de-DE"/>
              </w:rPr>
              <w:t>CGTCACAAATGGTTTAATCCC</w:t>
            </w:r>
          </w:p>
        </w:tc>
      </w:tr>
      <w:tr w:rsidR="00290034" w:rsidRPr="00BB51A0" w:rsidTr="00FD65FA">
        <w:trPr>
          <w:trHeight w:val="300"/>
        </w:trPr>
        <w:tc>
          <w:tcPr>
            <w:tcW w:w="178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i/>
                <w:sz w:val="18"/>
                <w:szCs w:val="18"/>
                <w:lang w:val="de-DE"/>
              </w:rPr>
            </w:pPr>
            <w:r w:rsidRPr="00BB51A0">
              <w:rPr>
                <w:i/>
                <w:sz w:val="18"/>
                <w:szCs w:val="18"/>
                <w:lang w:val="de-DE"/>
              </w:rPr>
              <w:t>BP/KNAT1</w:t>
            </w:r>
          </w:p>
        </w:tc>
        <w:tc>
          <w:tcPr>
            <w:tcW w:w="364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sz w:val="18"/>
                <w:szCs w:val="18"/>
                <w:lang w:val="de-DE"/>
              </w:rPr>
            </w:pPr>
            <w:r w:rsidRPr="00BB51A0">
              <w:rPr>
                <w:sz w:val="18"/>
                <w:szCs w:val="18"/>
                <w:lang w:val="de-DE"/>
              </w:rPr>
              <w:t>CAATCCTGATGGGAAGAGTG</w:t>
            </w:r>
          </w:p>
        </w:tc>
        <w:tc>
          <w:tcPr>
            <w:tcW w:w="368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sz w:val="18"/>
                <w:szCs w:val="18"/>
                <w:lang w:val="de-DE"/>
              </w:rPr>
            </w:pPr>
            <w:r w:rsidRPr="00BB51A0">
              <w:rPr>
                <w:sz w:val="18"/>
                <w:szCs w:val="18"/>
                <w:lang w:val="de-DE"/>
              </w:rPr>
              <w:t>TTCAGCAAATGGTTCTTGAG</w:t>
            </w:r>
          </w:p>
        </w:tc>
      </w:tr>
      <w:tr w:rsidR="00290034" w:rsidRPr="00BB51A0" w:rsidTr="00FD65FA">
        <w:trPr>
          <w:trHeight w:val="300"/>
        </w:trPr>
        <w:tc>
          <w:tcPr>
            <w:tcW w:w="178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i/>
                <w:sz w:val="18"/>
                <w:szCs w:val="18"/>
                <w:lang w:val="de-DE"/>
              </w:rPr>
            </w:pPr>
            <w:r w:rsidRPr="00BB51A0">
              <w:rPr>
                <w:i/>
                <w:sz w:val="18"/>
                <w:szCs w:val="18"/>
                <w:lang w:val="de-DE"/>
              </w:rPr>
              <w:t>BSMT1</w:t>
            </w:r>
          </w:p>
        </w:tc>
        <w:tc>
          <w:tcPr>
            <w:tcW w:w="364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sz w:val="18"/>
                <w:szCs w:val="18"/>
                <w:lang w:val="de-DE"/>
              </w:rPr>
            </w:pPr>
            <w:r w:rsidRPr="00BB51A0">
              <w:rPr>
                <w:sz w:val="18"/>
                <w:szCs w:val="18"/>
                <w:lang w:val="de-DE"/>
              </w:rPr>
              <w:t>ACTTTGAAGCAGGACGCAAT</w:t>
            </w:r>
          </w:p>
        </w:tc>
        <w:tc>
          <w:tcPr>
            <w:tcW w:w="368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sz w:val="18"/>
                <w:szCs w:val="18"/>
                <w:lang w:val="de-DE"/>
              </w:rPr>
            </w:pPr>
            <w:r w:rsidRPr="00BB51A0">
              <w:rPr>
                <w:sz w:val="18"/>
                <w:szCs w:val="18"/>
                <w:lang w:val="de-DE"/>
              </w:rPr>
              <w:t>CTGCAGTTGGCATGTTGAGT</w:t>
            </w:r>
          </w:p>
        </w:tc>
      </w:tr>
      <w:tr w:rsidR="00290034" w:rsidRPr="00BB51A0" w:rsidTr="00FD65FA">
        <w:trPr>
          <w:trHeight w:val="300"/>
        </w:trPr>
        <w:tc>
          <w:tcPr>
            <w:tcW w:w="178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i/>
                <w:sz w:val="18"/>
                <w:szCs w:val="18"/>
                <w:lang w:val="de-DE"/>
              </w:rPr>
            </w:pPr>
            <w:r w:rsidRPr="00BB51A0">
              <w:rPr>
                <w:i/>
                <w:sz w:val="18"/>
                <w:szCs w:val="18"/>
                <w:lang w:val="de-DE"/>
              </w:rPr>
              <w:t>C2D1</w:t>
            </w:r>
          </w:p>
        </w:tc>
        <w:tc>
          <w:tcPr>
            <w:tcW w:w="364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sz w:val="18"/>
                <w:szCs w:val="18"/>
                <w:lang w:val="de-DE"/>
              </w:rPr>
            </w:pPr>
            <w:r w:rsidRPr="00BB51A0">
              <w:rPr>
                <w:sz w:val="18"/>
                <w:szCs w:val="18"/>
                <w:lang w:val="de-DE"/>
              </w:rPr>
              <w:t>CCAACATTATATCCGCTAACCT</w:t>
            </w:r>
          </w:p>
        </w:tc>
        <w:tc>
          <w:tcPr>
            <w:tcW w:w="368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sz w:val="18"/>
                <w:szCs w:val="18"/>
                <w:lang w:val="de-DE"/>
              </w:rPr>
            </w:pPr>
            <w:r w:rsidRPr="00BB51A0">
              <w:rPr>
                <w:sz w:val="18"/>
                <w:szCs w:val="18"/>
                <w:lang w:val="de-DE"/>
              </w:rPr>
              <w:t>TACTCGCACAAAGACCTCTG</w:t>
            </w:r>
          </w:p>
        </w:tc>
      </w:tr>
      <w:tr w:rsidR="00290034" w:rsidRPr="00BB51A0" w:rsidTr="00FD65FA">
        <w:trPr>
          <w:trHeight w:val="300"/>
        </w:trPr>
        <w:tc>
          <w:tcPr>
            <w:tcW w:w="178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i/>
                <w:sz w:val="18"/>
                <w:szCs w:val="18"/>
                <w:lang w:val="de-DE"/>
              </w:rPr>
            </w:pPr>
            <w:r w:rsidRPr="00BB51A0">
              <w:rPr>
                <w:i/>
                <w:sz w:val="18"/>
                <w:szCs w:val="18"/>
                <w:lang w:val="de-DE"/>
              </w:rPr>
              <w:t>CHI1</w:t>
            </w:r>
          </w:p>
        </w:tc>
        <w:tc>
          <w:tcPr>
            <w:tcW w:w="364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sz w:val="18"/>
                <w:szCs w:val="18"/>
                <w:lang w:val="de-DE"/>
              </w:rPr>
            </w:pPr>
            <w:r w:rsidRPr="00BB51A0">
              <w:rPr>
                <w:sz w:val="18"/>
                <w:szCs w:val="18"/>
                <w:lang w:val="de-DE"/>
              </w:rPr>
              <w:t>CTGCTGTTTCACTAGAAGGA</w:t>
            </w:r>
          </w:p>
        </w:tc>
        <w:tc>
          <w:tcPr>
            <w:tcW w:w="368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sz w:val="18"/>
                <w:szCs w:val="18"/>
                <w:lang w:val="de-DE"/>
              </w:rPr>
            </w:pPr>
            <w:r w:rsidRPr="00BB51A0">
              <w:rPr>
                <w:sz w:val="18"/>
                <w:szCs w:val="18"/>
                <w:lang w:val="de-DE"/>
              </w:rPr>
              <w:t>TCAATGTAACACATGAACCC</w:t>
            </w:r>
          </w:p>
        </w:tc>
      </w:tr>
      <w:tr w:rsidR="00290034" w:rsidRPr="00BB51A0" w:rsidTr="00FD65FA">
        <w:trPr>
          <w:trHeight w:val="300"/>
        </w:trPr>
        <w:tc>
          <w:tcPr>
            <w:tcW w:w="178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i/>
                <w:sz w:val="18"/>
                <w:szCs w:val="18"/>
                <w:lang w:val="de-DE"/>
              </w:rPr>
            </w:pPr>
            <w:r w:rsidRPr="00BB51A0">
              <w:rPr>
                <w:i/>
                <w:sz w:val="18"/>
                <w:szCs w:val="18"/>
                <w:lang w:val="de-DE"/>
              </w:rPr>
              <w:t>COBL4</w:t>
            </w:r>
          </w:p>
        </w:tc>
        <w:tc>
          <w:tcPr>
            <w:tcW w:w="364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sz w:val="18"/>
                <w:szCs w:val="18"/>
                <w:lang w:val="de-DE"/>
              </w:rPr>
            </w:pPr>
            <w:r w:rsidRPr="00BB51A0">
              <w:rPr>
                <w:sz w:val="18"/>
                <w:szCs w:val="18"/>
                <w:lang w:val="de-DE"/>
              </w:rPr>
              <w:t>TTACCTGCACATACTCACAG</w:t>
            </w:r>
          </w:p>
        </w:tc>
        <w:tc>
          <w:tcPr>
            <w:tcW w:w="368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sz w:val="18"/>
                <w:szCs w:val="18"/>
                <w:lang w:val="de-DE"/>
              </w:rPr>
            </w:pPr>
            <w:r w:rsidRPr="00BB51A0">
              <w:rPr>
                <w:sz w:val="18"/>
                <w:szCs w:val="18"/>
                <w:lang w:val="de-DE"/>
              </w:rPr>
              <w:t>GAATCTTAGAATCAGCCTTGAC</w:t>
            </w:r>
          </w:p>
        </w:tc>
      </w:tr>
      <w:tr w:rsidR="00290034" w:rsidRPr="00BB51A0" w:rsidTr="00FD65FA">
        <w:trPr>
          <w:trHeight w:val="300"/>
        </w:trPr>
        <w:tc>
          <w:tcPr>
            <w:tcW w:w="178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i/>
                <w:sz w:val="18"/>
                <w:szCs w:val="18"/>
                <w:lang w:val="de-DE"/>
              </w:rPr>
            </w:pPr>
            <w:r w:rsidRPr="00BB51A0">
              <w:rPr>
                <w:i/>
                <w:sz w:val="18"/>
                <w:szCs w:val="18"/>
                <w:lang w:val="de-DE"/>
              </w:rPr>
              <w:t>CXE17</w:t>
            </w:r>
          </w:p>
        </w:tc>
        <w:tc>
          <w:tcPr>
            <w:tcW w:w="364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sz w:val="18"/>
                <w:szCs w:val="18"/>
                <w:lang w:val="de-DE"/>
              </w:rPr>
            </w:pPr>
            <w:r w:rsidRPr="00BB51A0">
              <w:rPr>
                <w:sz w:val="18"/>
                <w:szCs w:val="18"/>
                <w:lang w:val="de-DE"/>
              </w:rPr>
              <w:t>GCCGTTAAAGCCCGTTGCGTC</w:t>
            </w:r>
          </w:p>
        </w:tc>
        <w:tc>
          <w:tcPr>
            <w:tcW w:w="368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sz w:val="18"/>
                <w:szCs w:val="18"/>
                <w:lang w:val="de-DE"/>
              </w:rPr>
            </w:pPr>
            <w:r w:rsidRPr="00BB51A0">
              <w:rPr>
                <w:sz w:val="18"/>
                <w:szCs w:val="18"/>
                <w:lang w:val="de-DE"/>
              </w:rPr>
              <w:t>GGGAGACGGTGTTCAGGGGC</w:t>
            </w:r>
          </w:p>
        </w:tc>
      </w:tr>
      <w:tr w:rsidR="00290034" w:rsidRPr="00BB51A0" w:rsidTr="00FD65FA">
        <w:trPr>
          <w:trHeight w:val="300"/>
        </w:trPr>
        <w:tc>
          <w:tcPr>
            <w:tcW w:w="178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i/>
                <w:sz w:val="18"/>
                <w:szCs w:val="18"/>
                <w:lang w:val="de-DE"/>
              </w:rPr>
            </w:pPr>
            <w:r w:rsidRPr="00BB51A0">
              <w:rPr>
                <w:i/>
                <w:sz w:val="18"/>
                <w:szCs w:val="18"/>
                <w:lang w:val="de-DE"/>
              </w:rPr>
              <w:t>CXE20</w:t>
            </w:r>
          </w:p>
        </w:tc>
        <w:tc>
          <w:tcPr>
            <w:tcW w:w="364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sz w:val="18"/>
                <w:szCs w:val="18"/>
                <w:lang w:val="de-DE"/>
              </w:rPr>
            </w:pPr>
            <w:r w:rsidRPr="00BB51A0">
              <w:rPr>
                <w:sz w:val="18"/>
                <w:szCs w:val="18"/>
                <w:lang w:val="de-DE"/>
              </w:rPr>
              <w:t>GTTTGTCCTCCCATAGTCAC</w:t>
            </w:r>
          </w:p>
        </w:tc>
        <w:tc>
          <w:tcPr>
            <w:tcW w:w="368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sz w:val="18"/>
                <w:szCs w:val="18"/>
                <w:lang w:val="de-DE"/>
              </w:rPr>
            </w:pPr>
            <w:r w:rsidRPr="00BB51A0">
              <w:rPr>
                <w:sz w:val="18"/>
                <w:szCs w:val="18"/>
                <w:lang w:val="de-DE"/>
              </w:rPr>
              <w:t>TCACTTTCCATCTCAACCGT</w:t>
            </w:r>
          </w:p>
        </w:tc>
      </w:tr>
      <w:tr w:rsidR="00290034" w:rsidRPr="00BB51A0" w:rsidTr="00FD65FA">
        <w:trPr>
          <w:trHeight w:val="300"/>
        </w:trPr>
        <w:tc>
          <w:tcPr>
            <w:tcW w:w="178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i/>
                <w:sz w:val="18"/>
                <w:szCs w:val="18"/>
                <w:lang w:val="de-DE"/>
              </w:rPr>
            </w:pPr>
            <w:r w:rsidRPr="00BB51A0">
              <w:rPr>
                <w:i/>
                <w:sz w:val="18"/>
                <w:szCs w:val="18"/>
                <w:lang w:val="de-DE"/>
              </w:rPr>
              <w:t>CYP710A1</w:t>
            </w:r>
          </w:p>
        </w:tc>
        <w:tc>
          <w:tcPr>
            <w:tcW w:w="364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sz w:val="18"/>
                <w:szCs w:val="18"/>
                <w:lang w:val="de-DE"/>
              </w:rPr>
            </w:pPr>
            <w:r w:rsidRPr="00BB51A0">
              <w:rPr>
                <w:sz w:val="18"/>
                <w:szCs w:val="18"/>
                <w:lang w:val="de-DE"/>
              </w:rPr>
              <w:t>AGAGTAAGAGAAGAAGTAGCC</w:t>
            </w:r>
          </w:p>
        </w:tc>
        <w:tc>
          <w:tcPr>
            <w:tcW w:w="368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sz w:val="18"/>
                <w:szCs w:val="18"/>
                <w:lang w:val="de-DE"/>
              </w:rPr>
            </w:pPr>
            <w:r w:rsidRPr="00BB51A0">
              <w:rPr>
                <w:sz w:val="18"/>
                <w:szCs w:val="18"/>
                <w:lang w:val="de-DE"/>
              </w:rPr>
              <w:t>GCCTGTATCTAATGACCTCAC</w:t>
            </w:r>
          </w:p>
        </w:tc>
      </w:tr>
      <w:tr w:rsidR="00290034" w:rsidRPr="00BB51A0" w:rsidTr="00FD65FA">
        <w:trPr>
          <w:trHeight w:val="300"/>
        </w:trPr>
        <w:tc>
          <w:tcPr>
            <w:tcW w:w="178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i/>
                <w:sz w:val="18"/>
                <w:szCs w:val="18"/>
                <w:lang w:val="de-DE"/>
              </w:rPr>
            </w:pPr>
            <w:r w:rsidRPr="00BB51A0">
              <w:rPr>
                <w:i/>
                <w:sz w:val="18"/>
                <w:szCs w:val="18"/>
                <w:lang w:val="de-DE"/>
              </w:rPr>
              <w:t>CYP71A13</w:t>
            </w:r>
          </w:p>
        </w:tc>
        <w:tc>
          <w:tcPr>
            <w:tcW w:w="364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sz w:val="18"/>
                <w:szCs w:val="18"/>
                <w:lang w:val="de-DE"/>
              </w:rPr>
            </w:pPr>
            <w:r w:rsidRPr="00BB51A0">
              <w:rPr>
                <w:sz w:val="18"/>
                <w:szCs w:val="18"/>
                <w:lang w:val="de-DE"/>
              </w:rPr>
              <w:t>ATGAAGAAACTCCAAGACGA</w:t>
            </w:r>
          </w:p>
        </w:tc>
        <w:tc>
          <w:tcPr>
            <w:tcW w:w="368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sz w:val="18"/>
                <w:szCs w:val="18"/>
                <w:lang w:val="de-DE"/>
              </w:rPr>
            </w:pPr>
            <w:r w:rsidRPr="00BB51A0">
              <w:rPr>
                <w:sz w:val="18"/>
                <w:szCs w:val="18"/>
                <w:lang w:val="de-DE"/>
              </w:rPr>
              <w:t>GATTATCACCTCTGTCCCTG</w:t>
            </w:r>
          </w:p>
        </w:tc>
      </w:tr>
      <w:tr w:rsidR="00290034" w:rsidRPr="00BB51A0" w:rsidTr="00FD65FA">
        <w:trPr>
          <w:trHeight w:val="300"/>
        </w:trPr>
        <w:tc>
          <w:tcPr>
            <w:tcW w:w="178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i/>
                <w:sz w:val="18"/>
                <w:szCs w:val="18"/>
                <w:lang w:val="de-DE"/>
              </w:rPr>
            </w:pPr>
            <w:r w:rsidRPr="00BB51A0">
              <w:rPr>
                <w:i/>
                <w:sz w:val="18"/>
                <w:szCs w:val="18"/>
                <w:lang w:val="de-DE"/>
              </w:rPr>
              <w:t>CYP81G1</w:t>
            </w:r>
          </w:p>
        </w:tc>
        <w:tc>
          <w:tcPr>
            <w:tcW w:w="364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sz w:val="18"/>
                <w:szCs w:val="18"/>
                <w:lang w:val="de-DE"/>
              </w:rPr>
            </w:pPr>
            <w:r w:rsidRPr="00BB51A0">
              <w:rPr>
                <w:sz w:val="18"/>
                <w:szCs w:val="18"/>
                <w:lang w:val="de-DE"/>
              </w:rPr>
              <w:t>GAAGTTCGGAAGCTGATTAGG</w:t>
            </w:r>
          </w:p>
        </w:tc>
        <w:tc>
          <w:tcPr>
            <w:tcW w:w="368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sz w:val="18"/>
                <w:szCs w:val="18"/>
                <w:lang w:val="de-DE"/>
              </w:rPr>
            </w:pPr>
            <w:r w:rsidRPr="00BB51A0">
              <w:rPr>
                <w:sz w:val="18"/>
                <w:szCs w:val="18"/>
                <w:lang w:val="de-DE"/>
              </w:rPr>
              <w:t>AAGCAACATCACCTGTACGA</w:t>
            </w:r>
          </w:p>
        </w:tc>
      </w:tr>
      <w:tr w:rsidR="00290034" w:rsidRPr="00BB51A0" w:rsidTr="00FD65FA">
        <w:trPr>
          <w:trHeight w:val="300"/>
        </w:trPr>
        <w:tc>
          <w:tcPr>
            <w:tcW w:w="1780" w:type="dxa"/>
            <w:tcBorders>
              <w:top w:val="nil"/>
              <w:left w:val="nil"/>
              <w:bottom w:val="nil"/>
              <w:right w:val="nil"/>
            </w:tcBorders>
            <w:shd w:val="clear" w:color="auto" w:fill="auto"/>
            <w:noWrap/>
            <w:vAlign w:val="bottom"/>
            <w:hideMark/>
          </w:tcPr>
          <w:p w:rsidR="00290034" w:rsidRPr="00BB51A0" w:rsidRDefault="00290034" w:rsidP="00290034">
            <w:pPr>
              <w:spacing w:line="360" w:lineRule="auto"/>
              <w:jc w:val="both"/>
              <w:rPr>
                <w:i/>
                <w:sz w:val="18"/>
                <w:szCs w:val="18"/>
                <w:lang w:val="de-DE"/>
              </w:rPr>
            </w:pPr>
            <w:r w:rsidRPr="00BB51A0">
              <w:rPr>
                <w:i/>
                <w:sz w:val="18"/>
                <w:szCs w:val="18"/>
                <w:lang w:val="de-DE"/>
              </w:rPr>
              <w:t>EXP10</w:t>
            </w:r>
          </w:p>
        </w:tc>
        <w:tc>
          <w:tcPr>
            <w:tcW w:w="3640" w:type="dxa"/>
            <w:tcBorders>
              <w:top w:val="nil"/>
              <w:left w:val="nil"/>
              <w:bottom w:val="nil"/>
              <w:right w:val="nil"/>
            </w:tcBorders>
            <w:shd w:val="clear" w:color="auto" w:fill="auto"/>
            <w:noWrap/>
            <w:vAlign w:val="bottom"/>
            <w:hideMark/>
          </w:tcPr>
          <w:p w:rsidR="00290034" w:rsidRPr="00BB51A0" w:rsidRDefault="00290034" w:rsidP="00290034">
            <w:pPr>
              <w:spacing w:line="360" w:lineRule="auto"/>
              <w:jc w:val="both"/>
              <w:rPr>
                <w:sz w:val="18"/>
                <w:szCs w:val="18"/>
                <w:lang w:val="de-DE"/>
              </w:rPr>
            </w:pPr>
            <w:r w:rsidRPr="00BB51A0">
              <w:rPr>
                <w:sz w:val="18"/>
                <w:szCs w:val="18"/>
                <w:lang w:val="de-DE"/>
              </w:rPr>
              <w:t>AACAGATGACTCTTCTTCGT</w:t>
            </w:r>
          </w:p>
        </w:tc>
        <w:tc>
          <w:tcPr>
            <w:tcW w:w="3680" w:type="dxa"/>
            <w:tcBorders>
              <w:top w:val="nil"/>
              <w:left w:val="nil"/>
              <w:bottom w:val="nil"/>
              <w:right w:val="nil"/>
            </w:tcBorders>
            <w:shd w:val="clear" w:color="auto" w:fill="auto"/>
            <w:noWrap/>
            <w:vAlign w:val="bottom"/>
            <w:hideMark/>
          </w:tcPr>
          <w:p w:rsidR="00290034" w:rsidRPr="00BB51A0" w:rsidRDefault="00290034" w:rsidP="00290034">
            <w:pPr>
              <w:spacing w:line="360" w:lineRule="auto"/>
              <w:jc w:val="both"/>
              <w:rPr>
                <w:sz w:val="18"/>
                <w:szCs w:val="18"/>
                <w:lang w:val="de-DE"/>
              </w:rPr>
            </w:pPr>
            <w:r w:rsidRPr="00BB51A0">
              <w:rPr>
                <w:sz w:val="18"/>
                <w:szCs w:val="18"/>
                <w:lang w:val="de-DE"/>
              </w:rPr>
              <w:t>CTGAACCTCTTCTCTTATTCCT</w:t>
            </w:r>
          </w:p>
        </w:tc>
      </w:tr>
      <w:tr w:rsidR="00290034" w:rsidRPr="00BB51A0" w:rsidTr="00FD65FA">
        <w:trPr>
          <w:trHeight w:val="300"/>
        </w:trPr>
        <w:tc>
          <w:tcPr>
            <w:tcW w:w="1780" w:type="dxa"/>
            <w:tcBorders>
              <w:top w:val="nil"/>
              <w:left w:val="nil"/>
              <w:bottom w:val="nil"/>
              <w:right w:val="nil"/>
            </w:tcBorders>
            <w:shd w:val="clear" w:color="auto" w:fill="auto"/>
            <w:noWrap/>
            <w:vAlign w:val="bottom"/>
            <w:hideMark/>
          </w:tcPr>
          <w:p w:rsidR="00290034" w:rsidRPr="00BB51A0" w:rsidRDefault="00290034" w:rsidP="00290034">
            <w:pPr>
              <w:spacing w:line="360" w:lineRule="auto"/>
              <w:jc w:val="both"/>
              <w:rPr>
                <w:i/>
                <w:sz w:val="18"/>
                <w:szCs w:val="18"/>
                <w:lang w:val="de-DE"/>
              </w:rPr>
            </w:pPr>
            <w:r w:rsidRPr="00BB51A0">
              <w:rPr>
                <w:i/>
                <w:sz w:val="18"/>
                <w:szCs w:val="18"/>
                <w:lang w:val="de-DE"/>
              </w:rPr>
              <w:t>EXP12</w:t>
            </w:r>
          </w:p>
        </w:tc>
        <w:tc>
          <w:tcPr>
            <w:tcW w:w="3640" w:type="dxa"/>
            <w:tcBorders>
              <w:top w:val="nil"/>
              <w:left w:val="nil"/>
              <w:bottom w:val="nil"/>
              <w:right w:val="nil"/>
            </w:tcBorders>
            <w:shd w:val="clear" w:color="auto" w:fill="auto"/>
            <w:noWrap/>
            <w:vAlign w:val="bottom"/>
            <w:hideMark/>
          </w:tcPr>
          <w:p w:rsidR="00290034" w:rsidRPr="00BB51A0" w:rsidRDefault="00290034" w:rsidP="00290034">
            <w:pPr>
              <w:spacing w:line="360" w:lineRule="auto"/>
              <w:jc w:val="both"/>
              <w:rPr>
                <w:sz w:val="18"/>
                <w:szCs w:val="18"/>
                <w:lang w:val="de-DE"/>
              </w:rPr>
            </w:pPr>
            <w:r w:rsidRPr="00BB51A0">
              <w:rPr>
                <w:sz w:val="18"/>
                <w:szCs w:val="18"/>
                <w:lang w:val="de-DE"/>
              </w:rPr>
              <w:t>CAGCATGAAATGAAGCAGAC</w:t>
            </w:r>
          </w:p>
        </w:tc>
        <w:tc>
          <w:tcPr>
            <w:tcW w:w="3680" w:type="dxa"/>
            <w:tcBorders>
              <w:top w:val="nil"/>
              <w:left w:val="nil"/>
              <w:bottom w:val="nil"/>
              <w:right w:val="nil"/>
            </w:tcBorders>
            <w:shd w:val="clear" w:color="auto" w:fill="auto"/>
            <w:noWrap/>
            <w:vAlign w:val="bottom"/>
            <w:hideMark/>
          </w:tcPr>
          <w:p w:rsidR="00290034" w:rsidRPr="00BB51A0" w:rsidRDefault="00290034" w:rsidP="00290034">
            <w:pPr>
              <w:spacing w:line="360" w:lineRule="auto"/>
              <w:jc w:val="both"/>
              <w:rPr>
                <w:sz w:val="18"/>
                <w:szCs w:val="18"/>
                <w:lang w:val="de-DE"/>
              </w:rPr>
            </w:pPr>
            <w:r w:rsidRPr="00BB51A0">
              <w:rPr>
                <w:sz w:val="18"/>
                <w:szCs w:val="18"/>
                <w:lang w:val="de-DE"/>
              </w:rPr>
              <w:t>TCCCTAGAAGACACAATCCA</w:t>
            </w:r>
          </w:p>
        </w:tc>
      </w:tr>
      <w:tr w:rsidR="00290034" w:rsidRPr="00BB51A0" w:rsidTr="00FD65FA">
        <w:trPr>
          <w:trHeight w:val="300"/>
        </w:trPr>
        <w:tc>
          <w:tcPr>
            <w:tcW w:w="1780" w:type="dxa"/>
            <w:tcBorders>
              <w:top w:val="nil"/>
              <w:left w:val="nil"/>
              <w:bottom w:val="nil"/>
              <w:right w:val="nil"/>
            </w:tcBorders>
            <w:shd w:val="clear" w:color="auto" w:fill="auto"/>
            <w:noWrap/>
            <w:vAlign w:val="bottom"/>
            <w:hideMark/>
          </w:tcPr>
          <w:p w:rsidR="00290034" w:rsidRPr="00BB51A0" w:rsidRDefault="00290034" w:rsidP="00290034">
            <w:pPr>
              <w:spacing w:line="360" w:lineRule="auto"/>
              <w:jc w:val="both"/>
              <w:rPr>
                <w:i/>
                <w:sz w:val="18"/>
                <w:szCs w:val="18"/>
                <w:lang w:val="de-DE"/>
              </w:rPr>
            </w:pPr>
            <w:r w:rsidRPr="00BB51A0">
              <w:rPr>
                <w:i/>
                <w:sz w:val="18"/>
                <w:szCs w:val="18"/>
                <w:lang w:val="de-DE"/>
              </w:rPr>
              <w:t>EXP13</w:t>
            </w:r>
          </w:p>
        </w:tc>
        <w:tc>
          <w:tcPr>
            <w:tcW w:w="3640" w:type="dxa"/>
            <w:tcBorders>
              <w:top w:val="nil"/>
              <w:left w:val="nil"/>
              <w:bottom w:val="nil"/>
              <w:right w:val="nil"/>
            </w:tcBorders>
            <w:shd w:val="clear" w:color="auto" w:fill="auto"/>
            <w:noWrap/>
            <w:vAlign w:val="bottom"/>
            <w:hideMark/>
          </w:tcPr>
          <w:p w:rsidR="00290034" w:rsidRPr="00BB51A0" w:rsidRDefault="00290034" w:rsidP="00290034">
            <w:pPr>
              <w:spacing w:line="360" w:lineRule="auto"/>
              <w:jc w:val="both"/>
              <w:rPr>
                <w:sz w:val="18"/>
                <w:szCs w:val="18"/>
                <w:lang w:val="de-DE"/>
              </w:rPr>
            </w:pPr>
            <w:r w:rsidRPr="00BB51A0">
              <w:rPr>
                <w:sz w:val="18"/>
                <w:szCs w:val="18"/>
                <w:lang w:val="de-DE"/>
              </w:rPr>
              <w:t>GTTAGTCACTCACAGAGAAGGA</w:t>
            </w:r>
          </w:p>
        </w:tc>
        <w:tc>
          <w:tcPr>
            <w:tcW w:w="3680" w:type="dxa"/>
            <w:tcBorders>
              <w:top w:val="nil"/>
              <w:left w:val="nil"/>
              <w:bottom w:val="nil"/>
              <w:right w:val="nil"/>
            </w:tcBorders>
            <w:shd w:val="clear" w:color="auto" w:fill="auto"/>
            <w:noWrap/>
            <w:vAlign w:val="bottom"/>
            <w:hideMark/>
          </w:tcPr>
          <w:p w:rsidR="00290034" w:rsidRPr="00BB51A0" w:rsidRDefault="00290034" w:rsidP="00290034">
            <w:pPr>
              <w:spacing w:line="360" w:lineRule="auto"/>
              <w:jc w:val="both"/>
              <w:rPr>
                <w:sz w:val="18"/>
                <w:szCs w:val="18"/>
                <w:lang w:val="de-DE"/>
              </w:rPr>
            </w:pPr>
            <w:r w:rsidRPr="00BB51A0">
              <w:rPr>
                <w:sz w:val="18"/>
                <w:szCs w:val="18"/>
                <w:lang w:val="de-DE"/>
              </w:rPr>
              <w:t>GTACATGATACCATCTTGACCA</w:t>
            </w:r>
          </w:p>
        </w:tc>
      </w:tr>
      <w:tr w:rsidR="00290034" w:rsidRPr="00BB51A0" w:rsidTr="00FD65FA">
        <w:trPr>
          <w:trHeight w:val="300"/>
        </w:trPr>
        <w:tc>
          <w:tcPr>
            <w:tcW w:w="178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i/>
                <w:sz w:val="18"/>
                <w:szCs w:val="18"/>
                <w:lang w:val="de-DE"/>
              </w:rPr>
            </w:pPr>
            <w:r w:rsidRPr="00BB51A0">
              <w:rPr>
                <w:i/>
                <w:sz w:val="18"/>
                <w:szCs w:val="18"/>
                <w:lang w:val="de-DE"/>
              </w:rPr>
              <w:t>FMO1</w:t>
            </w:r>
          </w:p>
        </w:tc>
        <w:tc>
          <w:tcPr>
            <w:tcW w:w="364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sz w:val="18"/>
                <w:szCs w:val="18"/>
                <w:lang w:val="de-DE"/>
              </w:rPr>
            </w:pPr>
            <w:r w:rsidRPr="00BB51A0">
              <w:rPr>
                <w:sz w:val="18"/>
                <w:szCs w:val="18"/>
                <w:lang w:val="de-DE"/>
              </w:rPr>
              <w:t>TCTTCTGCGTGCCGTAGTTTC</w:t>
            </w:r>
          </w:p>
        </w:tc>
        <w:tc>
          <w:tcPr>
            <w:tcW w:w="368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sz w:val="18"/>
                <w:szCs w:val="18"/>
                <w:lang w:val="de-DE"/>
              </w:rPr>
            </w:pPr>
            <w:r w:rsidRPr="00BB51A0">
              <w:rPr>
                <w:sz w:val="18"/>
                <w:szCs w:val="18"/>
                <w:lang w:val="de-DE"/>
              </w:rPr>
              <w:t>CGCCATTTGACAAGAAGCATAG</w:t>
            </w:r>
          </w:p>
        </w:tc>
      </w:tr>
      <w:tr w:rsidR="00290034" w:rsidRPr="00BB51A0" w:rsidTr="00FD65FA">
        <w:trPr>
          <w:trHeight w:val="300"/>
        </w:trPr>
        <w:tc>
          <w:tcPr>
            <w:tcW w:w="178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i/>
                <w:sz w:val="18"/>
                <w:szCs w:val="18"/>
                <w:lang w:val="de-DE"/>
              </w:rPr>
            </w:pPr>
            <w:r w:rsidRPr="00BB51A0">
              <w:rPr>
                <w:i/>
                <w:sz w:val="18"/>
                <w:szCs w:val="18"/>
                <w:lang w:val="de-DE"/>
              </w:rPr>
              <w:t>FRK1</w:t>
            </w:r>
          </w:p>
        </w:tc>
        <w:tc>
          <w:tcPr>
            <w:tcW w:w="364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sz w:val="18"/>
                <w:szCs w:val="18"/>
                <w:lang w:val="de-DE"/>
              </w:rPr>
            </w:pPr>
            <w:r w:rsidRPr="00BB51A0">
              <w:rPr>
                <w:sz w:val="18"/>
                <w:szCs w:val="18"/>
                <w:lang w:val="de-DE"/>
              </w:rPr>
              <w:t>ACAACAAAGAGGTACACTTGG</w:t>
            </w:r>
          </w:p>
        </w:tc>
        <w:tc>
          <w:tcPr>
            <w:tcW w:w="368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sz w:val="18"/>
                <w:szCs w:val="18"/>
                <w:lang w:val="de-DE"/>
              </w:rPr>
            </w:pPr>
            <w:r w:rsidRPr="00BB51A0">
              <w:rPr>
                <w:sz w:val="18"/>
                <w:szCs w:val="18"/>
                <w:lang w:val="de-DE"/>
              </w:rPr>
              <w:t>CTTGTTCTCCATTTATGACACC</w:t>
            </w:r>
          </w:p>
        </w:tc>
      </w:tr>
      <w:tr w:rsidR="00290034" w:rsidRPr="00BB51A0" w:rsidTr="00FD65FA">
        <w:trPr>
          <w:trHeight w:val="300"/>
        </w:trPr>
        <w:tc>
          <w:tcPr>
            <w:tcW w:w="178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i/>
                <w:sz w:val="18"/>
                <w:szCs w:val="18"/>
                <w:lang w:val="de-DE"/>
              </w:rPr>
            </w:pPr>
            <w:r w:rsidRPr="00BB51A0">
              <w:rPr>
                <w:i/>
                <w:sz w:val="18"/>
                <w:szCs w:val="18"/>
                <w:lang w:val="de-DE"/>
              </w:rPr>
              <w:t>GH3.3</w:t>
            </w:r>
          </w:p>
        </w:tc>
        <w:tc>
          <w:tcPr>
            <w:tcW w:w="364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sz w:val="18"/>
                <w:szCs w:val="18"/>
                <w:lang w:val="de-DE"/>
              </w:rPr>
            </w:pPr>
            <w:r w:rsidRPr="00BB51A0">
              <w:rPr>
                <w:sz w:val="18"/>
                <w:szCs w:val="18"/>
                <w:lang w:val="de-DE"/>
              </w:rPr>
              <w:t>TGACCGTTGATTCAGCTCTGCGA</w:t>
            </w:r>
          </w:p>
        </w:tc>
        <w:tc>
          <w:tcPr>
            <w:tcW w:w="368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sz w:val="18"/>
                <w:szCs w:val="18"/>
                <w:lang w:val="de-DE"/>
              </w:rPr>
            </w:pPr>
            <w:r w:rsidRPr="00BB51A0">
              <w:rPr>
                <w:sz w:val="18"/>
                <w:szCs w:val="18"/>
                <w:lang w:val="de-DE"/>
              </w:rPr>
              <w:t>GCCTTCACGTCCTTAGTGGACGG</w:t>
            </w:r>
          </w:p>
        </w:tc>
      </w:tr>
      <w:tr w:rsidR="00290034" w:rsidRPr="00BB51A0" w:rsidTr="00FD65FA">
        <w:trPr>
          <w:trHeight w:val="300"/>
        </w:trPr>
        <w:tc>
          <w:tcPr>
            <w:tcW w:w="178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i/>
                <w:sz w:val="18"/>
                <w:szCs w:val="18"/>
                <w:lang w:val="de-DE"/>
              </w:rPr>
            </w:pPr>
            <w:r w:rsidRPr="00BB51A0">
              <w:rPr>
                <w:i/>
                <w:sz w:val="18"/>
                <w:szCs w:val="18"/>
                <w:lang w:val="de-DE"/>
              </w:rPr>
              <w:t>GH3.4</w:t>
            </w:r>
          </w:p>
        </w:tc>
        <w:tc>
          <w:tcPr>
            <w:tcW w:w="364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sz w:val="18"/>
                <w:szCs w:val="18"/>
                <w:lang w:val="de-DE"/>
              </w:rPr>
            </w:pPr>
            <w:r w:rsidRPr="00BB51A0">
              <w:rPr>
                <w:sz w:val="18"/>
                <w:szCs w:val="18"/>
                <w:lang w:val="de-DE"/>
              </w:rPr>
              <w:t>AGGTGGGTTACCGGCTCGTCC</w:t>
            </w:r>
          </w:p>
        </w:tc>
        <w:tc>
          <w:tcPr>
            <w:tcW w:w="368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sz w:val="18"/>
                <w:szCs w:val="18"/>
                <w:lang w:val="de-DE"/>
              </w:rPr>
            </w:pPr>
            <w:r w:rsidRPr="00BB51A0">
              <w:rPr>
                <w:sz w:val="18"/>
                <w:szCs w:val="18"/>
                <w:lang w:val="de-DE"/>
              </w:rPr>
              <w:t>GACGCTGTCTGAATCCGACGTCC</w:t>
            </w:r>
          </w:p>
        </w:tc>
      </w:tr>
      <w:tr w:rsidR="00290034" w:rsidRPr="00BB51A0" w:rsidTr="00FD65FA">
        <w:trPr>
          <w:trHeight w:val="300"/>
        </w:trPr>
        <w:tc>
          <w:tcPr>
            <w:tcW w:w="178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i/>
                <w:sz w:val="18"/>
                <w:szCs w:val="18"/>
                <w:lang w:val="de-DE"/>
              </w:rPr>
            </w:pPr>
            <w:r w:rsidRPr="00BB51A0">
              <w:rPr>
                <w:i/>
                <w:sz w:val="18"/>
                <w:szCs w:val="18"/>
                <w:lang w:val="de-DE"/>
              </w:rPr>
              <w:t>GPAT5</w:t>
            </w:r>
          </w:p>
        </w:tc>
        <w:tc>
          <w:tcPr>
            <w:tcW w:w="364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sz w:val="18"/>
                <w:szCs w:val="18"/>
                <w:lang w:val="de-DE"/>
              </w:rPr>
            </w:pPr>
            <w:r w:rsidRPr="00BB51A0">
              <w:rPr>
                <w:sz w:val="18"/>
                <w:szCs w:val="18"/>
                <w:lang w:val="de-DE"/>
              </w:rPr>
              <w:t>CGAAACGGATGTTGATCAGTC</w:t>
            </w:r>
          </w:p>
        </w:tc>
        <w:tc>
          <w:tcPr>
            <w:tcW w:w="368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sz w:val="18"/>
                <w:szCs w:val="18"/>
                <w:lang w:val="de-DE"/>
              </w:rPr>
            </w:pPr>
            <w:r w:rsidRPr="00BB51A0">
              <w:rPr>
                <w:sz w:val="18"/>
                <w:szCs w:val="18"/>
                <w:lang w:val="de-DE"/>
              </w:rPr>
              <w:t>TGCATGAATATGCTCCTCAC</w:t>
            </w:r>
          </w:p>
        </w:tc>
      </w:tr>
      <w:tr w:rsidR="00290034" w:rsidRPr="00BB51A0" w:rsidTr="00FD65FA">
        <w:trPr>
          <w:trHeight w:val="300"/>
        </w:trPr>
        <w:tc>
          <w:tcPr>
            <w:tcW w:w="1780" w:type="dxa"/>
            <w:tcBorders>
              <w:top w:val="nil"/>
              <w:left w:val="nil"/>
              <w:bottom w:val="nil"/>
              <w:right w:val="nil"/>
            </w:tcBorders>
            <w:shd w:val="clear" w:color="auto" w:fill="auto"/>
            <w:noWrap/>
            <w:vAlign w:val="bottom"/>
            <w:hideMark/>
          </w:tcPr>
          <w:p w:rsidR="00290034" w:rsidRPr="00BB51A0" w:rsidRDefault="00290034" w:rsidP="00290034">
            <w:pPr>
              <w:spacing w:line="360" w:lineRule="auto"/>
              <w:jc w:val="both"/>
              <w:rPr>
                <w:i/>
                <w:sz w:val="18"/>
                <w:szCs w:val="18"/>
                <w:lang w:val="de-DE"/>
              </w:rPr>
            </w:pPr>
            <w:r w:rsidRPr="00BB51A0">
              <w:rPr>
                <w:i/>
                <w:sz w:val="18"/>
                <w:szCs w:val="18"/>
                <w:lang w:val="de-DE"/>
              </w:rPr>
              <w:t>GRX480</w:t>
            </w:r>
          </w:p>
        </w:tc>
        <w:tc>
          <w:tcPr>
            <w:tcW w:w="3640" w:type="dxa"/>
            <w:tcBorders>
              <w:top w:val="nil"/>
              <w:left w:val="nil"/>
              <w:bottom w:val="nil"/>
              <w:right w:val="nil"/>
            </w:tcBorders>
            <w:shd w:val="clear" w:color="auto" w:fill="auto"/>
            <w:noWrap/>
            <w:vAlign w:val="bottom"/>
            <w:hideMark/>
          </w:tcPr>
          <w:p w:rsidR="00290034" w:rsidRPr="00BB51A0" w:rsidRDefault="00290034" w:rsidP="00290034">
            <w:pPr>
              <w:spacing w:line="360" w:lineRule="auto"/>
              <w:jc w:val="both"/>
              <w:rPr>
                <w:sz w:val="18"/>
                <w:szCs w:val="18"/>
                <w:lang w:val="de-DE"/>
              </w:rPr>
            </w:pPr>
            <w:r w:rsidRPr="00BB51A0">
              <w:rPr>
                <w:sz w:val="18"/>
                <w:szCs w:val="18"/>
                <w:lang w:val="de-DE"/>
              </w:rPr>
              <w:t>CTTGAGATTGATGAGGAGAGG</w:t>
            </w:r>
          </w:p>
        </w:tc>
        <w:tc>
          <w:tcPr>
            <w:tcW w:w="3680" w:type="dxa"/>
            <w:tcBorders>
              <w:top w:val="nil"/>
              <w:left w:val="nil"/>
              <w:bottom w:val="nil"/>
              <w:right w:val="nil"/>
            </w:tcBorders>
            <w:shd w:val="clear" w:color="auto" w:fill="auto"/>
            <w:noWrap/>
            <w:vAlign w:val="bottom"/>
            <w:hideMark/>
          </w:tcPr>
          <w:p w:rsidR="00290034" w:rsidRPr="00BB51A0" w:rsidRDefault="00290034" w:rsidP="00290034">
            <w:pPr>
              <w:spacing w:line="360" w:lineRule="auto"/>
              <w:jc w:val="both"/>
              <w:rPr>
                <w:sz w:val="18"/>
                <w:szCs w:val="18"/>
                <w:lang w:val="de-DE"/>
              </w:rPr>
            </w:pPr>
            <w:r w:rsidRPr="00BB51A0">
              <w:rPr>
                <w:sz w:val="18"/>
                <w:szCs w:val="18"/>
                <w:lang w:val="de-DE"/>
              </w:rPr>
              <w:t>GAGATATGAGTAGCCATAACCC</w:t>
            </w:r>
          </w:p>
        </w:tc>
      </w:tr>
      <w:tr w:rsidR="00290034" w:rsidRPr="00BB51A0" w:rsidTr="00FD65FA">
        <w:trPr>
          <w:trHeight w:val="300"/>
        </w:trPr>
        <w:tc>
          <w:tcPr>
            <w:tcW w:w="178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i/>
                <w:sz w:val="18"/>
                <w:szCs w:val="18"/>
                <w:lang w:val="de-DE"/>
              </w:rPr>
            </w:pPr>
            <w:r w:rsidRPr="00BB51A0">
              <w:rPr>
                <w:i/>
                <w:sz w:val="18"/>
                <w:szCs w:val="18"/>
                <w:lang w:val="de-DE"/>
              </w:rPr>
              <w:t>GRXS13</w:t>
            </w:r>
          </w:p>
        </w:tc>
        <w:tc>
          <w:tcPr>
            <w:tcW w:w="364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sz w:val="18"/>
                <w:szCs w:val="18"/>
                <w:lang w:val="de-DE"/>
              </w:rPr>
            </w:pPr>
            <w:r w:rsidRPr="00BB51A0">
              <w:rPr>
                <w:sz w:val="18"/>
                <w:szCs w:val="18"/>
                <w:lang w:val="de-DE"/>
              </w:rPr>
              <w:t>GGTTGAGATTGGTGAAGAAGAC</w:t>
            </w:r>
          </w:p>
        </w:tc>
        <w:tc>
          <w:tcPr>
            <w:tcW w:w="368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sz w:val="18"/>
                <w:szCs w:val="18"/>
                <w:lang w:val="de-DE"/>
              </w:rPr>
            </w:pPr>
            <w:r w:rsidRPr="00BB51A0">
              <w:rPr>
                <w:sz w:val="18"/>
                <w:szCs w:val="18"/>
                <w:lang w:val="de-DE"/>
              </w:rPr>
              <w:t>GCCATTAATATGAGCAGCCA</w:t>
            </w:r>
          </w:p>
        </w:tc>
      </w:tr>
      <w:tr w:rsidR="00290034" w:rsidRPr="00BB51A0" w:rsidTr="00FD65FA">
        <w:trPr>
          <w:trHeight w:val="300"/>
        </w:trPr>
        <w:tc>
          <w:tcPr>
            <w:tcW w:w="178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i/>
                <w:sz w:val="18"/>
                <w:szCs w:val="18"/>
                <w:lang w:val="de-DE"/>
              </w:rPr>
            </w:pPr>
            <w:r w:rsidRPr="00BB51A0">
              <w:rPr>
                <w:i/>
                <w:sz w:val="18"/>
                <w:szCs w:val="18"/>
                <w:lang w:val="de-DE"/>
              </w:rPr>
              <w:lastRenderedPageBreak/>
              <w:t>GSTU1</w:t>
            </w:r>
          </w:p>
        </w:tc>
        <w:tc>
          <w:tcPr>
            <w:tcW w:w="364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sz w:val="18"/>
                <w:szCs w:val="18"/>
                <w:lang w:val="de-DE"/>
              </w:rPr>
            </w:pPr>
            <w:r w:rsidRPr="00BB51A0">
              <w:rPr>
                <w:sz w:val="18"/>
                <w:szCs w:val="18"/>
                <w:lang w:val="de-DE"/>
              </w:rPr>
              <w:t>TCGATGACCAGATCCTAACAC</w:t>
            </w:r>
          </w:p>
        </w:tc>
        <w:tc>
          <w:tcPr>
            <w:tcW w:w="368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sz w:val="18"/>
                <w:szCs w:val="18"/>
                <w:lang w:val="de-DE"/>
              </w:rPr>
            </w:pPr>
            <w:r w:rsidRPr="00BB51A0">
              <w:rPr>
                <w:sz w:val="18"/>
                <w:szCs w:val="18"/>
                <w:lang w:val="de-DE"/>
              </w:rPr>
              <w:t>ATACTTCCTGCGATCATGTC</w:t>
            </w:r>
          </w:p>
        </w:tc>
      </w:tr>
      <w:tr w:rsidR="00290034" w:rsidRPr="00BB51A0" w:rsidTr="00FD65FA">
        <w:trPr>
          <w:trHeight w:val="300"/>
        </w:trPr>
        <w:tc>
          <w:tcPr>
            <w:tcW w:w="1780" w:type="dxa"/>
            <w:tcBorders>
              <w:top w:val="nil"/>
              <w:left w:val="nil"/>
              <w:bottom w:val="nil"/>
              <w:right w:val="nil"/>
            </w:tcBorders>
            <w:shd w:val="clear" w:color="auto" w:fill="auto"/>
            <w:noWrap/>
            <w:vAlign w:val="bottom"/>
            <w:hideMark/>
          </w:tcPr>
          <w:p w:rsidR="00290034" w:rsidRPr="00BB51A0" w:rsidRDefault="00290034" w:rsidP="00290034">
            <w:pPr>
              <w:spacing w:line="360" w:lineRule="auto"/>
              <w:jc w:val="both"/>
              <w:rPr>
                <w:i/>
                <w:sz w:val="18"/>
                <w:szCs w:val="18"/>
                <w:lang w:val="de-DE"/>
              </w:rPr>
            </w:pPr>
            <w:r w:rsidRPr="00BB51A0">
              <w:rPr>
                <w:i/>
                <w:sz w:val="18"/>
                <w:szCs w:val="18"/>
                <w:lang w:val="de-DE"/>
              </w:rPr>
              <w:t>GSTU4</w:t>
            </w:r>
          </w:p>
        </w:tc>
        <w:tc>
          <w:tcPr>
            <w:tcW w:w="3640" w:type="dxa"/>
            <w:tcBorders>
              <w:top w:val="nil"/>
              <w:left w:val="nil"/>
              <w:bottom w:val="nil"/>
              <w:right w:val="nil"/>
            </w:tcBorders>
            <w:shd w:val="clear" w:color="auto" w:fill="auto"/>
            <w:noWrap/>
            <w:vAlign w:val="bottom"/>
            <w:hideMark/>
          </w:tcPr>
          <w:p w:rsidR="00290034" w:rsidRPr="00BB51A0" w:rsidRDefault="00290034" w:rsidP="00290034">
            <w:pPr>
              <w:spacing w:line="360" w:lineRule="auto"/>
              <w:jc w:val="both"/>
              <w:rPr>
                <w:sz w:val="18"/>
                <w:szCs w:val="18"/>
                <w:lang w:val="de-DE"/>
              </w:rPr>
            </w:pPr>
            <w:r w:rsidRPr="00BB51A0">
              <w:rPr>
                <w:sz w:val="18"/>
                <w:szCs w:val="18"/>
                <w:lang w:val="de-DE"/>
              </w:rPr>
              <w:t>CTTCCTCAAGATCCTTACGA</w:t>
            </w:r>
          </w:p>
        </w:tc>
        <w:tc>
          <w:tcPr>
            <w:tcW w:w="3680" w:type="dxa"/>
            <w:tcBorders>
              <w:top w:val="nil"/>
              <w:left w:val="nil"/>
              <w:bottom w:val="nil"/>
              <w:right w:val="nil"/>
            </w:tcBorders>
            <w:shd w:val="clear" w:color="auto" w:fill="auto"/>
            <w:noWrap/>
            <w:vAlign w:val="bottom"/>
            <w:hideMark/>
          </w:tcPr>
          <w:p w:rsidR="00290034" w:rsidRPr="00BB51A0" w:rsidRDefault="00290034" w:rsidP="00290034">
            <w:pPr>
              <w:spacing w:line="360" w:lineRule="auto"/>
              <w:jc w:val="both"/>
              <w:rPr>
                <w:sz w:val="18"/>
                <w:szCs w:val="18"/>
                <w:lang w:val="de-DE"/>
              </w:rPr>
            </w:pPr>
            <w:r w:rsidRPr="00BB51A0">
              <w:rPr>
                <w:sz w:val="18"/>
                <w:szCs w:val="18"/>
                <w:lang w:val="de-DE"/>
              </w:rPr>
              <w:t>CAACCTCTACTCCCTTCTC</w:t>
            </w:r>
          </w:p>
        </w:tc>
      </w:tr>
      <w:tr w:rsidR="00290034" w:rsidRPr="00BB51A0" w:rsidTr="00FD65FA">
        <w:trPr>
          <w:trHeight w:val="300"/>
        </w:trPr>
        <w:tc>
          <w:tcPr>
            <w:tcW w:w="1780" w:type="dxa"/>
            <w:tcBorders>
              <w:top w:val="nil"/>
              <w:left w:val="nil"/>
              <w:bottom w:val="nil"/>
              <w:right w:val="nil"/>
            </w:tcBorders>
            <w:shd w:val="clear" w:color="auto" w:fill="auto"/>
            <w:noWrap/>
            <w:vAlign w:val="bottom"/>
            <w:hideMark/>
          </w:tcPr>
          <w:p w:rsidR="00290034" w:rsidRPr="00BB51A0" w:rsidRDefault="00290034" w:rsidP="00290034">
            <w:pPr>
              <w:spacing w:line="360" w:lineRule="auto"/>
              <w:jc w:val="both"/>
              <w:rPr>
                <w:i/>
                <w:sz w:val="18"/>
                <w:szCs w:val="18"/>
                <w:lang w:val="de-DE"/>
              </w:rPr>
            </w:pPr>
            <w:r w:rsidRPr="00BB51A0">
              <w:rPr>
                <w:i/>
                <w:sz w:val="18"/>
                <w:szCs w:val="18"/>
                <w:lang w:val="de-DE"/>
              </w:rPr>
              <w:t>HSP70</w:t>
            </w:r>
          </w:p>
        </w:tc>
        <w:tc>
          <w:tcPr>
            <w:tcW w:w="3640" w:type="dxa"/>
            <w:tcBorders>
              <w:top w:val="nil"/>
              <w:left w:val="nil"/>
              <w:bottom w:val="nil"/>
              <w:right w:val="nil"/>
            </w:tcBorders>
            <w:shd w:val="clear" w:color="auto" w:fill="auto"/>
            <w:noWrap/>
            <w:vAlign w:val="bottom"/>
            <w:hideMark/>
          </w:tcPr>
          <w:p w:rsidR="00290034" w:rsidRPr="00BB51A0" w:rsidRDefault="00290034" w:rsidP="00290034">
            <w:pPr>
              <w:spacing w:line="360" w:lineRule="auto"/>
              <w:jc w:val="both"/>
              <w:rPr>
                <w:sz w:val="18"/>
                <w:szCs w:val="18"/>
                <w:lang w:val="de-DE"/>
              </w:rPr>
            </w:pPr>
            <w:r w:rsidRPr="00BB51A0">
              <w:rPr>
                <w:sz w:val="18"/>
                <w:szCs w:val="18"/>
                <w:lang w:val="de-DE"/>
              </w:rPr>
              <w:t>ATGAACCCTACCAACACC</w:t>
            </w:r>
          </w:p>
        </w:tc>
        <w:tc>
          <w:tcPr>
            <w:tcW w:w="3680" w:type="dxa"/>
            <w:tcBorders>
              <w:top w:val="nil"/>
              <w:left w:val="nil"/>
              <w:bottom w:val="nil"/>
              <w:right w:val="nil"/>
            </w:tcBorders>
            <w:shd w:val="clear" w:color="auto" w:fill="auto"/>
            <w:noWrap/>
            <w:vAlign w:val="bottom"/>
            <w:hideMark/>
          </w:tcPr>
          <w:p w:rsidR="00290034" w:rsidRPr="00BB51A0" w:rsidRDefault="00290034" w:rsidP="00290034">
            <w:pPr>
              <w:spacing w:line="360" w:lineRule="auto"/>
              <w:jc w:val="both"/>
              <w:rPr>
                <w:sz w:val="18"/>
                <w:szCs w:val="18"/>
                <w:lang w:val="de-DE"/>
              </w:rPr>
            </w:pPr>
            <w:r w:rsidRPr="00BB51A0">
              <w:rPr>
                <w:sz w:val="18"/>
                <w:szCs w:val="18"/>
                <w:lang w:val="de-DE"/>
              </w:rPr>
              <w:t>ACTGTTTCTCCTCTCCCT</w:t>
            </w:r>
          </w:p>
        </w:tc>
      </w:tr>
      <w:tr w:rsidR="00290034" w:rsidRPr="00BB51A0" w:rsidTr="00FD65FA">
        <w:trPr>
          <w:trHeight w:val="300"/>
        </w:trPr>
        <w:tc>
          <w:tcPr>
            <w:tcW w:w="1780" w:type="dxa"/>
            <w:tcBorders>
              <w:top w:val="nil"/>
              <w:left w:val="nil"/>
              <w:bottom w:val="nil"/>
              <w:right w:val="nil"/>
            </w:tcBorders>
            <w:shd w:val="clear" w:color="auto" w:fill="auto"/>
            <w:noWrap/>
            <w:vAlign w:val="bottom"/>
            <w:hideMark/>
          </w:tcPr>
          <w:p w:rsidR="00290034" w:rsidRPr="00BB51A0" w:rsidRDefault="00290034" w:rsidP="00290034">
            <w:pPr>
              <w:spacing w:line="360" w:lineRule="auto"/>
              <w:jc w:val="both"/>
              <w:rPr>
                <w:i/>
                <w:sz w:val="18"/>
                <w:szCs w:val="18"/>
                <w:lang w:val="de-DE"/>
              </w:rPr>
            </w:pPr>
            <w:r w:rsidRPr="00BB51A0">
              <w:rPr>
                <w:i/>
                <w:sz w:val="18"/>
                <w:szCs w:val="18"/>
                <w:lang w:val="de-DE"/>
              </w:rPr>
              <w:t>HSP83</w:t>
            </w:r>
          </w:p>
        </w:tc>
        <w:tc>
          <w:tcPr>
            <w:tcW w:w="3640" w:type="dxa"/>
            <w:tcBorders>
              <w:top w:val="nil"/>
              <w:left w:val="nil"/>
              <w:bottom w:val="nil"/>
              <w:right w:val="nil"/>
            </w:tcBorders>
            <w:shd w:val="clear" w:color="auto" w:fill="auto"/>
            <w:noWrap/>
            <w:vAlign w:val="bottom"/>
            <w:hideMark/>
          </w:tcPr>
          <w:p w:rsidR="00290034" w:rsidRPr="00BB51A0" w:rsidRDefault="00290034" w:rsidP="00290034">
            <w:pPr>
              <w:spacing w:line="360" w:lineRule="auto"/>
              <w:jc w:val="both"/>
              <w:rPr>
                <w:sz w:val="18"/>
                <w:szCs w:val="18"/>
                <w:lang w:val="de-DE"/>
              </w:rPr>
            </w:pPr>
            <w:r w:rsidRPr="00BB51A0">
              <w:rPr>
                <w:sz w:val="18"/>
                <w:szCs w:val="18"/>
                <w:lang w:val="de-DE"/>
              </w:rPr>
              <w:t>TTTGGTGTTGGTTTCTACTCTG</w:t>
            </w:r>
          </w:p>
        </w:tc>
        <w:tc>
          <w:tcPr>
            <w:tcW w:w="3680" w:type="dxa"/>
            <w:tcBorders>
              <w:top w:val="nil"/>
              <w:left w:val="nil"/>
              <w:bottom w:val="nil"/>
              <w:right w:val="nil"/>
            </w:tcBorders>
            <w:shd w:val="clear" w:color="auto" w:fill="auto"/>
            <w:noWrap/>
            <w:vAlign w:val="bottom"/>
            <w:hideMark/>
          </w:tcPr>
          <w:p w:rsidR="00290034" w:rsidRPr="00BB51A0" w:rsidRDefault="00290034" w:rsidP="00290034">
            <w:pPr>
              <w:spacing w:line="360" w:lineRule="auto"/>
              <w:jc w:val="both"/>
              <w:rPr>
                <w:sz w:val="18"/>
                <w:szCs w:val="18"/>
                <w:lang w:val="de-DE"/>
              </w:rPr>
            </w:pPr>
            <w:r w:rsidRPr="00BB51A0">
              <w:rPr>
                <w:sz w:val="18"/>
                <w:szCs w:val="18"/>
                <w:lang w:val="de-DE"/>
              </w:rPr>
              <w:t>GTATTCAAGCTGATCGTCCT</w:t>
            </w:r>
          </w:p>
        </w:tc>
      </w:tr>
      <w:tr w:rsidR="00290034" w:rsidRPr="00BB51A0" w:rsidTr="00FD65FA">
        <w:trPr>
          <w:trHeight w:val="300"/>
        </w:trPr>
        <w:tc>
          <w:tcPr>
            <w:tcW w:w="178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i/>
                <w:sz w:val="18"/>
                <w:szCs w:val="18"/>
                <w:lang w:val="de-DE"/>
              </w:rPr>
            </w:pPr>
            <w:r w:rsidRPr="00BB51A0">
              <w:rPr>
                <w:i/>
                <w:sz w:val="18"/>
                <w:szCs w:val="18"/>
                <w:lang w:val="de-DE"/>
              </w:rPr>
              <w:t>IPT7</w:t>
            </w:r>
          </w:p>
        </w:tc>
        <w:tc>
          <w:tcPr>
            <w:tcW w:w="364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sz w:val="18"/>
                <w:szCs w:val="18"/>
                <w:lang w:val="de-DE"/>
              </w:rPr>
            </w:pPr>
            <w:r w:rsidRPr="00BB51A0">
              <w:rPr>
                <w:sz w:val="18"/>
                <w:szCs w:val="18"/>
                <w:lang w:val="de-DE"/>
              </w:rPr>
              <w:t>CAAGCAATCTCGAAACTCTCAG</w:t>
            </w:r>
          </w:p>
        </w:tc>
        <w:tc>
          <w:tcPr>
            <w:tcW w:w="368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sz w:val="18"/>
                <w:szCs w:val="18"/>
                <w:lang w:val="de-DE"/>
              </w:rPr>
            </w:pPr>
            <w:r w:rsidRPr="00BB51A0">
              <w:rPr>
                <w:sz w:val="18"/>
                <w:szCs w:val="18"/>
                <w:lang w:val="de-DE"/>
              </w:rPr>
              <w:t>GGAGTTAAGTACGGGTAAGGA</w:t>
            </w:r>
          </w:p>
        </w:tc>
      </w:tr>
      <w:tr w:rsidR="00290034" w:rsidRPr="00BB51A0" w:rsidTr="00FD65FA">
        <w:trPr>
          <w:trHeight w:val="300"/>
        </w:trPr>
        <w:tc>
          <w:tcPr>
            <w:tcW w:w="178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i/>
                <w:sz w:val="18"/>
                <w:szCs w:val="18"/>
                <w:lang w:val="de-DE"/>
              </w:rPr>
            </w:pPr>
            <w:r w:rsidRPr="00BB51A0">
              <w:rPr>
                <w:i/>
                <w:sz w:val="18"/>
                <w:szCs w:val="18"/>
                <w:lang w:val="de-DE"/>
              </w:rPr>
              <w:t>KTI1</w:t>
            </w:r>
          </w:p>
        </w:tc>
        <w:tc>
          <w:tcPr>
            <w:tcW w:w="364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sz w:val="18"/>
                <w:szCs w:val="18"/>
                <w:lang w:val="de-DE"/>
              </w:rPr>
            </w:pPr>
            <w:r w:rsidRPr="00BB51A0">
              <w:rPr>
                <w:sz w:val="18"/>
                <w:szCs w:val="18"/>
                <w:lang w:val="de-DE"/>
              </w:rPr>
              <w:t>CTGTCATCCGTGGCCGAGGC</w:t>
            </w:r>
          </w:p>
        </w:tc>
        <w:tc>
          <w:tcPr>
            <w:tcW w:w="368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sz w:val="18"/>
                <w:szCs w:val="18"/>
                <w:lang w:val="de-DE"/>
              </w:rPr>
            </w:pPr>
            <w:r w:rsidRPr="00BB51A0">
              <w:rPr>
                <w:sz w:val="18"/>
                <w:szCs w:val="18"/>
                <w:lang w:val="de-DE"/>
              </w:rPr>
              <w:t>GGACATGGCTGCCCACCG</w:t>
            </w:r>
          </w:p>
        </w:tc>
      </w:tr>
      <w:tr w:rsidR="00290034" w:rsidRPr="00BB51A0" w:rsidTr="00FD65FA">
        <w:trPr>
          <w:trHeight w:val="300"/>
        </w:trPr>
        <w:tc>
          <w:tcPr>
            <w:tcW w:w="178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i/>
                <w:sz w:val="18"/>
                <w:szCs w:val="18"/>
                <w:lang w:val="de-DE"/>
              </w:rPr>
            </w:pPr>
            <w:r w:rsidRPr="00BB51A0">
              <w:rPr>
                <w:i/>
                <w:sz w:val="18"/>
                <w:szCs w:val="18"/>
                <w:lang w:val="de-DE"/>
              </w:rPr>
              <w:t>LAC7</w:t>
            </w:r>
          </w:p>
        </w:tc>
        <w:tc>
          <w:tcPr>
            <w:tcW w:w="364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sz w:val="18"/>
                <w:szCs w:val="18"/>
                <w:lang w:val="de-DE"/>
              </w:rPr>
            </w:pPr>
            <w:r w:rsidRPr="00BB51A0">
              <w:rPr>
                <w:sz w:val="18"/>
                <w:szCs w:val="18"/>
                <w:lang w:val="de-DE"/>
              </w:rPr>
              <w:t>CATCTTATTTGGTGAATGGTGG</w:t>
            </w:r>
          </w:p>
        </w:tc>
        <w:tc>
          <w:tcPr>
            <w:tcW w:w="368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sz w:val="18"/>
                <w:szCs w:val="18"/>
                <w:lang w:val="de-DE"/>
              </w:rPr>
            </w:pPr>
            <w:r w:rsidRPr="00BB51A0">
              <w:rPr>
                <w:sz w:val="18"/>
                <w:szCs w:val="18"/>
                <w:lang w:val="de-DE"/>
              </w:rPr>
              <w:t>GCGAAGTAAGTATCTCTTTCCT</w:t>
            </w:r>
          </w:p>
        </w:tc>
      </w:tr>
      <w:tr w:rsidR="00290034" w:rsidRPr="00BB51A0" w:rsidTr="00FD65FA">
        <w:trPr>
          <w:trHeight w:val="300"/>
        </w:trPr>
        <w:tc>
          <w:tcPr>
            <w:tcW w:w="178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i/>
                <w:sz w:val="18"/>
                <w:szCs w:val="18"/>
                <w:lang w:val="de-DE"/>
              </w:rPr>
            </w:pPr>
            <w:r w:rsidRPr="00BB51A0">
              <w:rPr>
                <w:i/>
                <w:sz w:val="18"/>
                <w:szCs w:val="18"/>
                <w:lang w:val="de-DE"/>
              </w:rPr>
              <w:t>LHY</w:t>
            </w:r>
          </w:p>
        </w:tc>
        <w:tc>
          <w:tcPr>
            <w:tcW w:w="364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sz w:val="18"/>
                <w:szCs w:val="18"/>
                <w:lang w:val="de-DE"/>
              </w:rPr>
            </w:pPr>
            <w:r w:rsidRPr="00BB51A0">
              <w:rPr>
                <w:sz w:val="18"/>
                <w:szCs w:val="18"/>
                <w:lang w:val="de-DE"/>
              </w:rPr>
              <w:t>TTCACAAAGTTGGAGAAAGAGG</w:t>
            </w:r>
          </w:p>
        </w:tc>
        <w:tc>
          <w:tcPr>
            <w:tcW w:w="368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sz w:val="18"/>
                <w:szCs w:val="18"/>
                <w:lang w:val="de-DE"/>
              </w:rPr>
            </w:pPr>
            <w:r w:rsidRPr="00BB51A0">
              <w:rPr>
                <w:sz w:val="18"/>
                <w:szCs w:val="18"/>
                <w:lang w:val="de-DE"/>
              </w:rPr>
              <w:t>TGCTGATGATACTTGAGAGG</w:t>
            </w:r>
          </w:p>
        </w:tc>
      </w:tr>
      <w:tr w:rsidR="00290034" w:rsidRPr="00BB51A0" w:rsidTr="00FD65FA">
        <w:trPr>
          <w:trHeight w:val="300"/>
        </w:trPr>
        <w:tc>
          <w:tcPr>
            <w:tcW w:w="178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i/>
                <w:sz w:val="18"/>
                <w:szCs w:val="18"/>
                <w:lang w:val="de-DE"/>
              </w:rPr>
            </w:pPr>
            <w:r w:rsidRPr="00BB51A0">
              <w:rPr>
                <w:i/>
                <w:sz w:val="18"/>
                <w:szCs w:val="18"/>
                <w:lang w:val="de-DE"/>
              </w:rPr>
              <w:t>MAPKKK18</w:t>
            </w:r>
          </w:p>
        </w:tc>
        <w:tc>
          <w:tcPr>
            <w:tcW w:w="364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sz w:val="18"/>
                <w:szCs w:val="18"/>
                <w:lang w:val="de-DE"/>
              </w:rPr>
            </w:pPr>
            <w:r w:rsidRPr="00BB51A0">
              <w:rPr>
                <w:sz w:val="18"/>
                <w:szCs w:val="18"/>
                <w:lang w:val="de-DE"/>
              </w:rPr>
              <w:t>GGGTCGGATATTTAGGTGAG</w:t>
            </w:r>
          </w:p>
        </w:tc>
        <w:tc>
          <w:tcPr>
            <w:tcW w:w="368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sz w:val="18"/>
                <w:szCs w:val="18"/>
                <w:lang w:val="de-DE"/>
              </w:rPr>
            </w:pPr>
            <w:r w:rsidRPr="00BB51A0">
              <w:rPr>
                <w:sz w:val="18"/>
                <w:szCs w:val="18"/>
                <w:lang w:val="de-DE"/>
              </w:rPr>
              <w:t>ACGGATGGTTTAGTAGTTGAC</w:t>
            </w:r>
          </w:p>
        </w:tc>
      </w:tr>
      <w:tr w:rsidR="00290034" w:rsidRPr="00BB51A0" w:rsidTr="00FD65FA">
        <w:trPr>
          <w:trHeight w:val="300"/>
        </w:trPr>
        <w:tc>
          <w:tcPr>
            <w:tcW w:w="178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i/>
                <w:sz w:val="18"/>
                <w:szCs w:val="18"/>
                <w:lang w:val="de-DE"/>
              </w:rPr>
            </w:pPr>
            <w:r w:rsidRPr="00BB51A0">
              <w:rPr>
                <w:i/>
                <w:sz w:val="18"/>
                <w:szCs w:val="18"/>
                <w:lang w:val="de-DE"/>
              </w:rPr>
              <w:t>MRP7</w:t>
            </w:r>
          </w:p>
        </w:tc>
        <w:tc>
          <w:tcPr>
            <w:tcW w:w="364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sz w:val="18"/>
                <w:szCs w:val="18"/>
                <w:lang w:val="de-DE"/>
              </w:rPr>
            </w:pPr>
            <w:r w:rsidRPr="00BB51A0">
              <w:rPr>
                <w:sz w:val="18"/>
                <w:szCs w:val="18"/>
                <w:lang w:val="de-DE"/>
              </w:rPr>
              <w:t>TGAATAGAGCTTCTACAGACC</w:t>
            </w:r>
          </w:p>
        </w:tc>
        <w:tc>
          <w:tcPr>
            <w:tcW w:w="368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sz w:val="18"/>
                <w:szCs w:val="18"/>
                <w:lang w:val="de-DE"/>
              </w:rPr>
            </w:pPr>
            <w:r w:rsidRPr="00BB51A0">
              <w:rPr>
                <w:sz w:val="18"/>
                <w:szCs w:val="18"/>
                <w:lang w:val="de-DE"/>
              </w:rPr>
              <w:t>CAGGGATGAAGACGATAAGG</w:t>
            </w:r>
          </w:p>
        </w:tc>
      </w:tr>
      <w:tr w:rsidR="00290034" w:rsidRPr="00BB51A0" w:rsidTr="00FD65FA">
        <w:trPr>
          <w:trHeight w:val="300"/>
        </w:trPr>
        <w:tc>
          <w:tcPr>
            <w:tcW w:w="178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i/>
                <w:sz w:val="18"/>
                <w:szCs w:val="18"/>
                <w:lang w:val="de-DE"/>
              </w:rPr>
            </w:pPr>
            <w:r w:rsidRPr="00BB51A0">
              <w:rPr>
                <w:i/>
                <w:sz w:val="18"/>
                <w:szCs w:val="18"/>
                <w:lang w:val="de-DE"/>
              </w:rPr>
              <w:t>MYB122</w:t>
            </w:r>
          </w:p>
        </w:tc>
        <w:tc>
          <w:tcPr>
            <w:tcW w:w="364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sz w:val="18"/>
                <w:szCs w:val="18"/>
                <w:lang w:val="de-DE"/>
              </w:rPr>
            </w:pPr>
            <w:r w:rsidRPr="00BB51A0">
              <w:rPr>
                <w:sz w:val="18"/>
                <w:szCs w:val="18"/>
                <w:lang w:val="de-DE"/>
              </w:rPr>
              <w:t>CGGTTGGCGAACCCTTCCGG</w:t>
            </w:r>
          </w:p>
        </w:tc>
        <w:tc>
          <w:tcPr>
            <w:tcW w:w="368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sz w:val="18"/>
                <w:szCs w:val="18"/>
                <w:lang w:val="de-DE"/>
              </w:rPr>
            </w:pPr>
            <w:r w:rsidRPr="00BB51A0">
              <w:rPr>
                <w:sz w:val="18"/>
                <w:szCs w:val="18"/>
                <w:lang w:val="de-DE"/>
              </w:rPr>
              <w:t>TCCTCGTCTTGGCTAAACTCTCCACG</w:t>
            </w:r>
          </w:p>
        </w:tc>
      </w:tr>
      <w:tr w:rsidR="00290034" w:rsidRPr="00BB51A0" w:rsidTr="00FD65FA">
        <w:trPr>
          <w:trHeight w:val="300"/>
        </w:trPr>
        <w:tc>
          <w:tcPr>
            <w:tcW w:w="1780" w:type="dxa"/>
            <w:tcBorders>
              <w:top w:val="nil"/>
              <w:left w:val="nil"/>
              <w:bottom w:val="nil"/>
              <w:right w:val="nil"/>
            </w:tcBorders>
            <w:shd w:val="clear" w:color="auto" w:fill="auto"/>
            <w:noWrap/>
            <w:vAlign w:val="bottom"/>
            <w:hideMark/>
          </w:tcPr>
          <w:p w:rsidR="00290034" w:rsidRPr="00BB51A0" w:rsidRDefault="00290034" w:rsidP="00290034">
            <w:pPr>
              <w:spacing w:line="360" w:lineRule="auto"/>
              <w:jc w:val="both"/>
              <w:rPr>
                <w:i/>
                <w:sz w:val="18"/>
                <w:szCs w:val="18"/>
                <w:lang w:val="de-DE"/>
              </w:rPr>
            </w:pPr>
            <w:r w:rsidRPr="00BB51A0">
              <w:rPr>
                <w:i/>
                <w:sz w:val="18"/>
                <w:szCs w:val="18"/>
                <w:lang w:val="de-DE"/>
              </w:rPr>
              <w:t>NAR2</w:t>
            </w:r>
          </w:p>
        </w:tc>
        <w:tc>
          <w:tcPr>
            <w:tcW w:w="3640" w:type="dxa"/>
            <w:tcBorders>
              <w:top w:val="nil"/>
              <w:left w:val="nil"/>
              <w:bottom w:val="nil"/>
              <w:right w:val="nil"/>
            </w:tcBorders>
            <w:shd w:val="clear" w:color="auto" w:fill="auto"/>
            <w:noWrap/>
            <w:vAlign w:val="bottom"/>
            <w:hideMark/>
          </w:tcPr>
          <w:p w:rsidR="00290034" w:rsidRPr="00BB51A0" w:rsidRDefault="00290034" w:rsidP="00290034">
            <w:pPr>
              <w:spacing w:line="360" w:lineRule="auto"/>
              <w:jc w:val="both"/>
              <w:rPr>
                <w:sz w:val="18"/>
                <w:szCs w:val="18"/>
                <w:lang w:val="de-DE"/>
              </w:rPr>
            </w:pPr>
            <w:r w:rsidRPr="00BB51A0">
              <w:rPr>
                <w:sz w:val="18"/>
                <w:szCs w:val="18"/>
                <w:lang w:val="de-DE"/>
              </w:rPr>
              <w:t>CCAATCTCTTCAGCGTTCAG</w:t>
            </w:r>
          </w:p>
        </w:tc>
        <w:tc>
          <w:tcPr>
            <w:tcW w:w="3680" w:type="dxa"/>
            <w:tcBorders>
              <w:top w:val="nil"/>
              <w:left w:val="nil"/>
              <w:bottom w:val="nil"/>
              <w:right w:val="nil"/>
            </w:tcBorders>
            <w:shd w:val="clear" w:color="auto" w:fill="auto"/>
            <w:noWrap/>
            <w:vAlign w:val="bottom"/>
            <w:hideMark/>
          </w:tcPr>
          <w:p w:rsidR="00290034" w:rsidRPr="00BB51A0" w:rsidRDefault="00290034" w:rsidP="00290034">
            <w:pPr>
              <w:spacing w:line="360" w:lineRule="auto"/>
              <w:jc w:val="both"/>
              <w:rPr>
                <w:sz w:val="18"/>
                <w:szCs w:val="18"/>
                <w:lang w:val="de-DE"/>
              </w:rPr>
            </w:pPr>
            <w:r w:rsidRPr="00BB51A0">
              <w:rPr>
                <w:sz w:val="18"/>
                <w:szCs w:val="18"/>
                <w:lang w:val="de-DE"/>
              </w:rPr>
              <w:t>GCCTTCCTCTTCTCATTGAC</w:t>
            </w:r>
          </w:p>
        </w:tc>
      </w:tr>
      <w:tr w:rsidR="00290034" w:rsidRPr="00BB51A0" w:rsidTr="00FD65FA">
        <w:trPr>
          <w:trHeight w:val="300"/>
        </w:trPr>
        <w:tc>
          <w:tcPr>
            <w:tcW w:w="178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i/>
                <w:sz w:val="18"/>
                <w:szCs w:val="18"/>
                <w:lang w:val="de-DE"/>
              </w:rPr>
            </w:pPr>
            <w:r w:rsidRPr="00BB51A0">
              <w:rPr>
                <w:i/>
                <w:sz w:val="18"/>
                <w:szCs w:val="18"/>
                <w:lang w:val="de-DE"/>
              </w:rPr>
              <w:t>NCED5</w:t>
            </w:r>
          </w:p>
        </w:tc>
        <w:tc>
          <w:tcPr>
            <w:tcW w:w="364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sz w:val="18"/>
                <w:szCs w:val="18"/>
                <w:lang w:val="de-DE"/>
              </w:rPr>
            </w:pPr>
            <w:r w:rsidRPr="00BB51A0">
              <w:rPr>
                <w:sz w:val="18"/>
                <w:szCs w:val="18"/>
                <w:lang w:val="de-DE"/>
              </w:rPr>
              <w:t>CGGCACTTTCGTGAATTCGGCG</w:t>
            </w:r>
          </w:p>
        </w:tc>
        <w:tc>
          <w:tcPr>
            <w:tcW w:w="368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sz w:val="18"/>
                <w:szCs w:val="18"/>
                <w:lang w:val="de-DE"/>
              </w:rPr>
            </w:pPr>
            <w:r w:rsidRPr="00BB51A0">
              <w:rPr>
                <w:sz w:val="18"/>
                <w:szCs w:val="18"/>
                <w:lang w:val="de-DE"/>
              </w:rPr>
              <w:t>TTCAAGCTGGCTCCCACCGC</w:t>
            </w:r>
          </w:p>
        </w:tc>
      </w:tr>
      <w:tr w:rsidR="00290034" w:rsidRPr="00BB51A0" w:rsidTr="00FD65FA">
        <w:trPr>
          <w:trHeight w:val="300"/>
        </w:trPr>
        <w:tc>
          <w:tcPr>
            <w:tcW w:w="1780" w:type="dxa"/>
            <w:tcBorders>
              <w:top w:val="nil"/>
              <w:left w:val="nil"/>
              <w:bottom w:val="nil"/>
              <w:right w:val="nil"/>
            </w:tcBorders>
            <w:shd w:val="clear" w:color="auto" w:fill="auto"/>
            <w:noWrap/>
            <w:vAlign w:val="bottom"/>
            <w:hideMark/>
          </w:tcPr>
          <w:p w:rsidR="00290034" w:rsidRPr="00BB51A0" w:rsidRDefault="00290034" w:rsidP="00290034">
            <w:pPr>
              <w:spacing w:line="360" w:lineRule="auto"/>
              <w:jc w:val="both"/>
              <w:rPr>
                <w:i/>
                <w:sz w:val="18"/>
                <w:szCs w:val="18"/>
                <w:lang w:val="de-DE"/>
              </w:rPr>
            </w:pPr>
            <w:r w:rsidRPr="00BB51A0">
              <w:rPr>
                <w:i/>
                <w:sz w:val="18"/>
                <w:szCs w:val="18"/>
                <w:lang w:val="de-DE"/>
              </w:rPr>
              <w:t>NIA1</w:t>
            </w:r>
          </w:p>
        </w:tc>
        <w:tc>
          <w:tcPr>
            <w:tcW w:w="3640" w:type="dxa"/>
            <w:tcBorders>
              <w:top w:val="nil"/>
              <w:left w:val="nil"/>
              <w:bottom w:val="nil"/>
              <w:right w:val="nil"/>
            </w:tcBorders>
            <w:shd w:val="clear" w:color="auto" w:fill="auto"/>
            <w:noWrap/>
            <w:vAlign w:val="bottom"/>
            <w:hideMark/>
          </w:tcPr>
          <w:p w:rsidR="00290034" w:rsidRPr="00BB51A0" w:rsidRDefault="00290034" w:rsidP="00290034">
            <w:pPr>
              <w:spacing w:line="360" w:lineRule="auto"/>
              <w:jc w:val="both"/>
              <w:rPr>
                <w:sz w:val="18"/>
                <w:szCs w:val="18"/>
                <w:lang w:val="de-DE"/>
              </w:rPr>
            </w:pPr>
            <w:r w:rsidRPr="00BB51A0">
              <w:rPr>
                <w:sz w:val="18"/>
                <w:szCs w:val="18"/>
                <w:lang w:val="de-DE"/>
              </w:rPr>
              <w:t>GCCTGAATACATAATCAACGAG</w:t>
            </w:r>
          </w:p>
        </w:tc>
        <w:tc>
          <w:tcPr>
            <w:tcW w:w="3680" w:type="dxa"/>
            <w:tcBorders>
              <w:top w:val="nil"/>
              <w:left w:val="nil"/>
              <w:bottom w:val="nil"/>
              <w:right w:val="nil"/>
            </w:tcBorders>
            <w:shd w:val="clear" w:color="auto" w:fill="auto"/>
            <w:noWrap/>
            <w:vAlign w:val="bottom"/>
            <w:hideMark/>
          </w:tcPr>
          <w:p w:rsidR="00290034" w:rsidRPr="00BB51A0" w:rsidRDefault="00290034" w:rsidP="00290034">
            <w:pPr>
              <w:spacing w:line="360" w:lineRule="auto"/>
              <w:jc w:val="both"/>
              <w:rPr>
                <w:sz w:val="18"/>
                <w:szCs w:val="18"/>
                <w:lang w:val="de-DE"/>
              </w:rPr>
            </w:pPr>
            <w:r w:rsidRPr="00BB51A0">
              <w:rPr>
                <w:sz w:val="18"/>
                <w:szCs w:val="18"/>
                <w:lang w:val="de-DE"/>
              </w:rPr>
              <w:t>TACCTCCTCCAGAATAAGCG</w:t>
            </w:r>
          </w:p>
        </w:tc>
      </w:tr>
      <w:tr w:rsidR="00290034" w:rsidRPr="00BB51A0" w:rsidTr="00FD65FA">
        <w:trPr>
          <w:trHeight w:val="300"/>
        </w:trPr>
        <w:tc>
          <w:tcPr>
            <w:tcW w:w="1780" w:type="dxa"/>
            <w:tcBorders>
              <w:top w:val="nil"/>
              <w:left w:val="nil"/>
              <w:bottom w:val="nil"/>
              <w:right w:val="nil"/>
            </w:tcBorders>
            <w:shd w:val="clear" w:color="auto" w:fill="auto"/>
            <w:noWrap/>
            <w:vAlign w:val="bottom"/>
            <w:hideMark/>
          </w:tcPr>
          <w:p w:rsidR="00290034" w:rsidRPr="00BB51A0" w:rsidRDefault="00290034" w:rsidP="00290034">
            <w:pPr>
              <w:spacing w:line="360" w:lineRule="auto"/>
              <w:jc w:val="both"/>
              <w:rPr>
                <w:i/>
                <w:sz w:val="18"/>
                <w:szCs w:val="18"/>
                <w:lang w:val="de-DE"/>
              </w:rPr>
            </w:pPr>
            <w:r w:rsidRPr="00BB51A0">
              <w:rPr>
                <w:i/>
                <w:sz w:val="18"/>
                <w:szCs w:val="18"/>
                <w:lang w:val="de-DE"/>
              </w:rPr>
              <w:t>NIA2</w:t>
            </w:r>
          </w:p>
        </w:tc>
        <w:tc>
          <w:tcPr>
            <w:tcW w:w="3640" w:type="dxa"/>
            <w:tcBorders>
              <w:top w:val="nil"/>
              <w:left w:val="nil"/>
              <w:bottom w:val="nil"/>
              <w:right w:val="nil"/>
            </w:tcBorders>
            <w:shd w:val="clear" w:color="auto" w:fill="auto"/>
            <w:noWrap/>
            <w:vAlign w:val="bottom"/>
            <w:hideMark/>
          </w:tcPr>
          <w:p w:rsidR="00290034" w:rsidRPr="00BB51A0" w:rsidRDefault="00290034" w:rsidP="00290034">
            <w:pPr>
              <w:spacing w:line="360" w:lineRule="auto"/>
              <w:jc w:val="both"/>
              <w:rPr>
                <w:sz w:val="18"/>
                <w:szCs w:val="18"/>
                <w:lang w:val="de-DE"/>
              </w:rPr>
            </w:pPr>
            <w:r w:rsidRPr="00BB51A0">
              <w:rPr>
                <w:sz w:val="18"/>
                <w:szCs w:val="18"/>
                <w:lang w:val="de-DE"/>
              </w:rPr>
              <w:t>AGTATCTAACACCAGACCAC</w:t>
            </w:r>
          </w:p>
        </w:tc>
        <w:tc>
          <w:tcPr>
            <w:tcW w:w="3680" w:type="dxa"/>
            <w:tcBorders>
              <w:top w:val="nil"/>
              <w:left w:val="nil"/>
              <w:bottom w:val="nil"/>
              <w:right w:val="nil"/>
            </w:tcBorders>
            <w:shd w:val="clear" w:color="auto" w:fill="auto"/>
            <w:noWrap/>
            <w:vAlign w:val="bottom"/>
            <w:hideMark/>
          </w:tcPr>
          <w:p w:rsidR="00290034" w:rsidRPr="00BB51A0" w:rsidRDefault="00290034" w:rsidP="00290034">
            <w:pPr>
              <w:spacing w:line="360" w:lineRule="auto"/>
              <w:jc w:val="both"/>
              <w:rPr>
                <w:sz w:val="18"/>
                <w:szCs w:val="18"/>
                <w:lang w:val="de-DE"/>
              </w:rPr>
            </w:pPr>
            <w:r w:rsidRPr="00BB51A0">
              <w:rPr>
                <w:sz w:val="18"/>
                <w:szCs w:val="18"/>
                <w:lang w:val="de-DE"/>
              </w:rPr>
              <w:t>TTATACCACCAACCTTCTTCG</w:t>
            </w:r>
          </w:p>
        </w:tc>
      </w:tr>
      <w:tr w:rsidR="00290034" w:rsidRPr="00BB51A0" w:rsidTr="00FD65FA">
        <w:trPr>
          <w:trHeight w:val="300"/>
        </w:trPr>
        <w:tc>
          <w:tcPr>
            <w:tcW w:w="178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i/>
                <w:sz w:val="18"/>
                <w:szCs w:val="18"/>
                <w:lang w:val="de-DE"/>
              </w:rPr>
            </w:pPr>
            <w:r w:rsidRPr="00BB51A0">
              <w:rPr>
                <w:i/>
                <w:sz w:val="18"/>
                <w:szCs w:val="18"/>
                <w:lang w:val="de-DE"/>
              </w:rPr>
              <w:t>NPR1</w:t>
            </w:r>
          </w:p>
        </w:tc>
        <w:tc>
          <w:tcPr>
            <w:tcW w:w="364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sz w:val="18"/>
                <w:szCs w:val="18"/>
                <w:lang w:val="de-DE"/>
              </w:rPr>
            </w:pPr>
            <w:r w:rsidRPr="00BB51A0">
              <w:rPr>
                <w:sz w:val="18"/>
                <w:szCs w:val="18"/>
                <w:lang w:val="de-DE"/>
              </w:rPr>
              <w:t>TCTATCAGAGGCACTTATTGG</w:t>
            </w:r>
          </w:p>
        </w:tc>
        <w:tc>
          <w:tcPr>
            <w:tcW w:w="368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sz w:val="18"/>
                <w:szCs w:val="18"/>
                <w:lang w:val="de-DE"/>
              </w:rPr>
            </w:pPr>
            <w:r w:rsidRPr="00BB51A0">
              <w:rPr>
                <w:sz w:val="18"/>
                <w:szCs w:val="18"/>
                <w:lang w:val="de-DE"/>
              </w:rPr>
              <w:t>GCTTCATACAAGCTTTACCAC</w:t>
            </w:r>
          </w:p>
        </w:tc>
      </w:tr>
      <w:tr w:rsidR="00290034" w:rsidRPr="00BB51A0" w:rsidTr="00FD65FA">
        <w:trPr>
          <w:trHeight w:val="300"/>
        </w:trPr>
        <w:tc>
          <w:tcPr>
            <w:tcW w:w="178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i/>
                <w:sz w:val="18"/>
                <w:szCs w:val="18"/>
                <w:lang w:val="de-DE"/>
              </w:rPr>
            </w:pPr>
            <w:r w:rsidRPr="00BB51A0">
              <w:rPr>
                <w:i/>
                <w:sz w:val="18"/>
                <w:szCs w:val="18"/>
                <w:lang w:val="de-DE"/>
              </w:rPr>
              <w:t>NPR3</w:t>
            </w:r>
          </w:p>
        </w:tc>
        <w:tc>
          <w:tcPr>
            <w:tcW w:w="364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sz w:val="18"/>
                <w:szCs w:val="18"/>
                <w:lang w:val="de-DE"/>
              </w:rPr>
            </w:pPr>
            <w:r w:rsidRPr="00BB51A0">
              <w:rPr>
                <w:sz w:val="18"/>
                <w:szCs w:val="18"/>
                <w:lang w:val="de-DE"/>
              </w:rPr>
              <w:t>AAACAGTTGAGACTGGTCGA</w:t>
            </w:r>
          </w:p>
        </w:tc>
        <w:tc>
          <w:tcPr>
            <w:tcW w:w="368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sz w:val="18"/>
                <w:szCs w:val="18"/>
                <w:lang w:val="de-DE"/>
              </w:rPr>
            </w:pPr>
            <w:r w:rsidRPr="00BB51A0">
              <w:rPr>
                <w:sz w:val="18"/>
                <w:szCs w:val="18"/>
                <w:lang w:val="de-DE"/>
              </w:rPr>
              <w:t>TGGACATCATCCTTAAGCTCTC</w:t>
            </w:r>
          </w:p>
        </w:tc>
      </w:tr>
      <w:tr w:rsidR="00290034" w:rsidRPr="00BB51A0" w:rsidTr="00FD65FA">
        <w:trPr>
          <w:trHeight w:val="300"/>
        </w:trPr>
        <w:tc>
          <w:tcPr>
            <w:tcW w:w="178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i/>
                <w:sz w:val="18"/>
                <w:szCs w:val="18"/>
                <w:lang w:val="de-DE"/>
              </w:rPr>
            </w:pPr>
            <w:r w:rsidRPr="00BB51A0">
              <w:rPr>
                <w:i/>
                <w:sz w:val="18"/>
                <w:szCs w:val="18"/>
                <w:lang w:val="de-DE"/>
              </w:rPr>
              <w:t>NPR4</w:t>
            </w:r>
          </w:p>
        </w:tc>
        <w:tc>
          <w:tcPr>
            <w:tcW w:w="364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sz w:val="18"/>
                <w:szCs w:val="18"/>
                <w:lang w:val="de-DE"/>
              </w:rPr>
            </w:pPr>
            <w:r w:rsidRPr="00BB51A0">
              <w:rPr>
                <w:sz w:val="18"/>
                <w:szCs w:val="18"/>
                <w:lang w:val="de-DE"/>
              </w:rPr>
              <w:t>ATATCTACACTGGGAGGTTAAAGC</w:t>
            </w:r>
          </w:p>
        </w:tc>
        <w:tc>
          <w:tcPr>
            <w:tcW w:w="368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sz w:val="18"/>
                <w:szCs w:val="18"/>
                <w:lang w:val="de-DE"/>
              </w:rPr>
            </w:pPr>
            <w:r w:rsidRPr="00BB51A0">
              <w:rPr>
                <w:sz w:val="18"/>
                <w:szCs w:val="18"/>
                <w:lang w:val="de-DE"/>
              </w:rPr>
              <w:t>GAAGCTTCCGCTGAAATGAC</w:t>
            </w:r>
          </w:p>
        </w:tc>
      </w:tr>
      <w:tr w:rsidR="00290034" w:rsidRPr="00BB51A0" w:rsidTr="00FD65FA">
        <w:trPr>
          <w:trHeight w:val="300"/>
        </w:trPr>
        <w:tc>
          <w:tcPr>
            <w:tcW w:w="178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i/>
                <w:sz w:val="18"/>
                <w:szCs w:val="18"/>
                <w:lang w:val="de-DE"/>
              </w:rPr>
            </w:pPr>
            <w:r w:rsidRPr="00BB51A0">
              <w:rPr>
                <w:i/>
                <w:sz w:val="18"/>
                <w:szCs w:val="18"/>
                <w:lang w:val="de-DE"/>
              </w:rPr>
              <w:t>PAD3/ CYP71B15</w:t>
            </w:r>
          </w:p>
        </w:tc>
        <w:tc>
          <w:tcPr>
            <w:tcW w:w="364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sz w:val="18"/>
                <w:szCs w:val="18"/>
                <w:lang w:val="de-DE"/>
              </w:rPr>
            </w:pPr>
            <w:r w:rsidRPr="00BB51A0">
              <w:rPr>
                <w:sz w:val="18"/>
                <w:szCs w:val="18"/>
                <w:lang w:val="de-DE"/>
              </w:rPr>
              <w:t>GGCTGAAGCGGTCATAAGAG</w:t>
            </w:r>
          </w:p>
        </w:tc>
        <w:tc>
          <w:tcPr>
            <w:tcW w:w="368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sz w:val="18"/>
                <w:szCs w:val="18"/>
                <w:lang w:val="de-DE"/>
              </w:rPr>
            </w:pPr>
            <w:r w:rsidRPr="00BB51A0">
              <w:rPr>
                <w:sz w:val="18"/>
                <w:szCs w:val="18"/>
                <w:lang w:val="de-DE"/>
              </w:rPr>
              <w:t>TCCAGGCTTAAGATGCTCGT</w:t>
            </w:r>
          </w:p>
        </w:tc>
      </w:tr>
      <w:tr w:rsidR="00290034" w:rsidRPr="00BB51A0" w:rsidTr="00FD65FA">
        <w:trPr>
          <w:trHeight w:val="300"/>
        </w:trPr>
        <w:tc>
          <w:tcPr>
            <w:tcW w:w="178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i/>
                <w:sz w:val="18"/>
                <w:szCs w:val="18"/>
                <w:lang w:val="de-DE"/>
              </w:rPr>
            </w:pPr>
            <w:r w:rsidRPr="00BB51A0">
              <w:rPr>
                <w:i/>
                <w:sz w:val="18"/>
                <w:szCs w:val="18"/>
                <w:lang w:val="de-DE"/>
              </w:rPr>
              <w:t>PBS3</w:t>
            </w:r>
          </w:p>
        </w:tc>
        <w:tc>
          <w:tcPr>
            <w:tcW w:w="364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sz w:val="18"/>
                <w:szCs w:val="18"/>
                <w:lang w:val="de-DE"/>
              </w:rPr>
            </w:pPr>
            <w:r w:rsidRPr="00BB51A0">
              <w:rPr>
                <w:sz w:val="18"/>
                <w:szCs w:val="18"/>
                <w:lang w:val="de-DE"/>
              </w:rPr>
              <w:t>TGCCTGCTCGAGTCGCAACC</w:t>
            </w:r>
          </w:p>
        </w:tc>
        <w:tc>
          <w:tcPr>
            <w:tcW w:w="368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sz w:val="18"/>
                <w:szCs w:val="18"/>
                <w:lang w:val="de-DE"/>
              </w:rPr>
            </w:pPr>
            <w:r w:rsidRPr="00BB51A0">
              <w:rPr>
                <w:sz w:val="18"/>
                <w:szCs w:val="18"/>
                <w:lang w:val="de-DE"/>
              </w:rPr>
              <w:t>TGGACTAAGCCACAGAGCAAATGGC</w:t>
            </w:r>
          </w:p>
        </w:tc>
      </w:tr>
      <w:tr w:rsidR="00290034" w:rsidRPr="00BB51A0" w:rsidTr="00FD65FA">
        <w:trPr>
          <w:trHeight w:val="300"/>
        </w:trPr>
        <w:tc>
          <w:tcPr>
            <w:tcW w:w="178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i/>
                <w:sz w:val="18"/>
                <w:szCs w:val="18"/>
                <w:lang w:val="de-DE"/>
              </w:rPr>
            </w:pPr>
            <w:r w:rsidRPr="00BB51A0">
              <w:rPr>
                <w:i/>
                <w:sz w:val="18"/>
                <w:szCs w:val="18"/>
                <w:lang w:val="de-DE"/>
              </w:rPr>
              <w:t>PER58</w:t>
            </w:r>
          </w:p>
        </w:tc>
        <w:tc>
          <w:tcPr>
            <w:tcW w:w="364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sz w:val="18"/>
                <w:szCs w:val="18"/>
                <w:lang w:val="de-DE"/>
              </w:rPr>
            </w:pPr>
            <w:r w:rsidRPr="00BB51A0">
              <w:rPr>
                <w:sz w:val="18"/>
                <w:szCs w:val="18"/>
                <w:lang w:val="de-DE"/>
              </w:rPr>
              <w:t>TGTCCCGGAGTTGTCTCTTGTGCT</w:t>
            </w:r>
          </w:p>
        </w:tc>
        <w:tc>
          <w:tcPr>
            <w:tcW w:w="368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sz w:val="18"/>
                <w:szCs w:val="18"/>
                <w:lang w:val="de-DE"/>
              </w:rPr>
            </w:pPr>
            <w:r w:rsidRPr="00BB51A0">
              <w:rPr>
                <w:sz w:val="18"/>
                <w:szCs w:val="18"/>
                <w:lang w:val="de-DE"/>
              </w:rPr>
              <w:t>GTCCGCACGGATCGCTGTCC</w:t>
            </w:r>
          </w:p>
        </w:tc>
      </w:tr>
      <w:tr w:rsidR="00290034" w:rsidRPr="00BB51A0" w:rsidTr="00FD65FA">
        <w:trPr>
          <w:trHeight w:val="300"/>
        </w:trPr>
        <w:tc>
          <w:tcPr>
            <w:tcW w:w="178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i/>
                <w:sz w:val="18"/>
                <w:szCs w:val="18"/>
                <w:lang w:val="de-DE"/>
              </w:rPr>
            </w:pPr>
            <w:r w:rsidRPr="00BB51A0">
              <w:rPr>
                <w:i/>
                <w:sz w:val="18"/>
                <w:szCs w:val="18"/>
                <w:lang w:val="de-DE"/>
              </w:rPr>
              <w:t>PMEa</w:t>
            </w:r>
          </w:p>
        </w:tc>
        <w:tc>
          <w:tcPr>
            <w:tcW w:w="364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sz w:val="18"/>
                <w:szCs w:val="18"/>
                <w:lang w:val="de-DE"/>
              </w:rPr>
            </w:pPr>
            <w:r w:rsidRPr="00BB51A0">
              <w:rPr>
                <w:sz w:val="18"/>
                <w:szCs w:val="18"/>
                <w:lang w:val="de-DE"/>
              </w:rPr>
              <w:t>ATGTTGAGAGGTGATGGTATAGG</w:t>
            </w:r>
          </w:p>
        </w:tc>
        <w:tc>
          <w:tcPr>
            <w:tcW w:w="368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sz w:val="18"/>
                <w:szCs w:val="18"/>
                <w:lang w:val="de-DE"/>
              </w:rPr>
            </w:pPr>
            <w:r w:rsidRPr="00BB51A0">
              <w:rPr>
                <w:sz w:val="18"/>
                <w:szCs w:val="18"/>
                <w:lang w:val="de-DE"/>
              </w:rPr>
              <w:t>TGATCCCACGAGCTATAAACC</w:t>
            </w:r>
          </w:p>
        </w:tc>
      </w:tr>
      <w:tr w:rsidR="00290034" w:rsidRPr="00BB51A0" w:rsidTr="00FD65FA">
        <w:trPr>
          <w:trHeight w:val="300"/>
        </w:trPr>
        <w:tc>
          <w:tcPr>
            <w:tcW w:w="178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i/>
                <w:sz w:val="18"/>
                <w:szCs w:val="18"/>
                <w:lang w:val="de-DE"/>
              </w:rPr>
            </w:pPr>
            <w:r w:rsidRPr="00BB51A0">
              <w:rPr>
                <w:i/>
                <w:sz w:val="18"/>
                <w:szCs w:val="18"/>
                <w:lang w:val="de-DE"/>
              </w:rPr>
              <w:t>PMEIa</w:t>
            </w:r>
          </w:p>
        </w:tc>
        <w:tc>
          <w:tcPr>
            <w:tcW w:w="364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sz w:val="18"/>
                <w:szCs w:val="18"/>
                <w:lang w:val="de-DE"/>
              </w:rPr>
            </w:pPr>
            <w:r w:rsidRPr="00BB51A0">
              <w:rPr>
                <w:sz w:val="18"/>
                <w:szCs w:val="18"/>
                <w:lang w:val="de-DE"/>
              </w:rPr>
              <w:t>CACAGGATCTCAAAGACCAG</w:t>
            </w:r>
          </w:p>
        </w:tc>
        <w:tc>
          <w:tcPr>
            <w:tcW w:w="368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sz w:val="18"/>
                <w:szCs w:val="18"/>
                <w:lang w:val="de-DE"/>
              </w:rPr>
            </w:pPr>
            <w:r w:rsidRPr="00BB51A0">
              <w:rPr>
                <w:sz w:val="18"/>
                <w:szCs w:val="18"/>
                <w:lang w:val="de-DE"/>
              </w:rPr>
              <w:t>GTACATCCAAAGCAGCACTC</w:t>
            </w:r>
          </w:p>
        </w:tc>
      </w:tr>
      <w:tr w:rsidR="00290034" w:rsidRPr="00BB51A0" w:rsidTr="00FD65FA">
        <w:trPr>
          <w:trHeight w:val="300"/>
        </w:trPr>
        <w:tc>
          <w:tcPr>
            <w:tcW w:w="178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i/>
                <w:sz w:val="18"/>
                <w:szCs w:val="18"/>
                <w:lang w:val="de-DE"/>
              </w:rPr>
            </w:pPr>
            <w:r w:rsidRPr="00BB51A0">
              <w:rPr>
                <w:i/>
                <w:sz w:val="18"/>
                <w:szCs w:val="18"/>
                <w:lang w:val="de-DE"/>
              </w:rPr>
              <w:t>PR-1</w:t>
            </w:r>
          </w:p>
        </w:tc>
        <w:tc>
          <w:tcPr>
            <w:tcW w:w="364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sz w:val="18"/>
                <w:szCs w:val="18"/>
                <w:lang w:val="de-DE"/>
              </w:rPr>
            </w:pPr>
            <w:r w:rsidRPr="00BB51A0">
              <w:rPr>
                <w:sz w:val="18"/>
                <w:szCs w:val="18"/>
                <w:lang w:val="de-DE"/>
              </w:rPr>
              <w:t>GTGCTCTTGTTCTTCCCTCG</w:t>
            </w:r>
          </w:p>
        </w:tc>
        <w:tc>
          <w:tcPr>
            <w:tcW w:w="368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sz w:val="18"/>
                <w:szCs w:val="18"/>
                <w:lang w:val="de-DE"/>
              </w:rPr>
            </w:pPr>
            <w:r w:rsidRPr="00BB51A0">
              <w:rPr>
                <w:sz w:val="18"/>
                <w:szCs w:val="18"/>
                <w:lang w:val="de-DE"/>
              </w:rPr>
              <w:t>GCCTGGTTGTGAACCCTTAG</w:t>
            </w:r>
          </w:p>
        </w:tc>
      </w:tr>
      <w:tr w:rsidR="00290034" w:rsidRPr="00BB51A0" w:rsidTr="00FD65FA">
        <w:trPr>
          <w:trHeight w:val="300"/>
        </w:trPr>
        <w:tc>
          <w:tcPr>
            <w:tcW w:w="178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i/>
                <w:sz w:val="18"/>
                <w:szCs w:val="18"/>
                <w:lang w:val="de-DE"/>
              </w:rPr>
            </w:pPr>
            <w:r w:rsidRPr="00BB51A0">
              <w:rPr>
                <w:i/>
                <w:sz w:val="18"/>
                <w:szCs w:val="18"/>
                <w:lang w:val="de-DE"/>
              </w:rPr>
              <w:t>PR-3</w:t>
            </w:r>
          </w:p>
        </w:tc>
        <w:tc>
          <w:tcPr>
            <w:tcW w:w="364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sz w:val="18"/>
                <w:szCs w:val="18"/>
                <w:lang w:val="de-DE"/>
              </w:rPr>
            </w:pPr>
            <w:r w:rsidRPr="00BB51A0">
              <w:rPr>
                <w:sz w:val="18"/>
                <w:szCs w:val="18"/>
                <w:lang w:val="de-DE"/>
              </w:rPr>
              <w:t>CATGAAACTACAGGTGGATGG</w:t>
            </w:r>
          </w:p>
        </w:tc>
        <w:tc>
          <w:tcPr>
            <w:tcW w:w="368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sz w:val="18"/>
                <w:szCs w:val="18"/>
                <w:lang w:val="de-DE"/>
              </w:rPr>
            </w:pPr>
            <w:r w:rsidRPr="00BB51A0">
              <w:rPr>
                <w:sz w:val="18"/>
                <w:szCs w:val="18"/>
                <w:lang w:val="de-DE"/>
              </w:rPr>
              <w:t>AGACCGTAATTGTAGTTCCAC</w:t>
            </w:r>
          </w:p>
        </w:tc>
      </w:tr>
      <w:tr w:rsidR="00290034" w:rsidRPr="00BB51A0" w:rsidTr="00FD65FA">
        <w:trPr>
          <w:trHeight w:val="300"/>
        </w:trPr>
        <w:tc>
          <w:tcPr>
            <w:tcW w:w="178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i/>
                <w:sz w:val="18"/>
                <w:szCs w:val="18"/>
                <w:lang w:val="de-DE"/>
              </w:rPr>
            </w:pPr>
            <w:r w:rsidRPr="00BB51A0">
              <w:rPr>
                <w:i/>
                <w:sz w:val="18"/>
                <w:szCs w:val="18"/>
                <w:lang w:val="de-DE"/>
              </w:rPr>
              <w:t>PRB1</w:t>
            </w:r>
          </w:p>
        </w:tc>
        <w:tc>
          <w:tcPr>
            <w:tcW w:w="364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sz w:val="18"/>
                <w:szCs w:val="18"/>
                <w:lang w:val="de-DE"/>
              </w:rPr>
            </w:pPr>
            <w:r w:rsidRPr="00BB51A0">
              <w:rPr>
                <w:sz w:val="18"/>
                <w:szCs w:val="18"/>
                <w:lang w:val="de-DE"/>
              </w:rPr>
              <w:t>GACTATGTAAATGCTCACAACC</w:t>
            </w:r>
          </w:p>
        </w:tc>
        <w:tc>
          <w:tcPr>
            <w:tcW w:w="368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sz w:val="18"/>
                <w:szCs w:val="18"/>
                <w:lang w:val="de-DE"/>
              </w:rPr>
            </w:pPr>
            <w:r w:rsidRPr="00BB51A0">
              <w:rPr>
                <w:sz w:val="18"/>
                <w:szCs w:val="18"/>
                <w:lang w:val="de-DE"/>
              </w:rPr>
              <w:t>CCACTCTTTGCCAAGTTCTC</w:t>
            </w:r>
          </w:p>
        </w:tc>
      </w:tr>
      <w:tr w:rsidR="00290034" w:rsidRPr="00BB51A0" w:rsidTr="00FD65FA">
        <w:trPr>
          <w:trHeight w:val="300"/>
        </w:trPr>
        <w:tc>
          <w:tcPr>
            <w:tcW w:w="1780" w:type="dxa"/>
            <w:tcBorders>
              <w:top w:val="nil"/>
              <w:left w:val="nil"/>
              <w:bottom w:val="nil"/>
              <w:right w:val="nil"/>
            </w:tcBorders>
            <w:shd w:val="clear" w:color="auto" w:fill="auto"/>
            <w:noWrap/>
            <w:vAlign w:val="bottom"/>
            <w:hideMark/>
          </w:tcPr>
          <w:p w:rsidR="00290034" w:rsidRPr="00BB51A0" w:rsidRDefault="00290034" w:rsidP="00290034">
            <w:pPr>
              <w:spacing w:line="360" w:lineRule="auto"/>
              <w:jc w:val="both"/>
              <w:rPr>
                <w:i/>
                <w:sz w:val="18"/>
                <w:szCs w:val="18"/>
                <w:lang w:val="de-DE"/>
              </w:rPr>
            </w:pPr>
            <w:r w:rsidRPr="00BB51A0">
              <w:rPr>
                <w:i/>
                <w:sz w:val="18"/>
                <w:szCs w:val="18"/>
                <w:lang w:val="de-DE"/>
              </w:rPr>
              <w:lastRenderedPageBreak/>
              <w:t>PTB</w:t>
            </w:r>
          </w:p>
        </w:tc>
        <w:tc>
          <w:tcPr>
            <w:tcW w:w="3640" w:type="dxa"/>
            <w:tcBorders>
              <w:top w:val="nil"/>
              <w:left w:val="nil"/>
              <w:bottom w:val="nil"/>
              <w:right w:val="nil"/>
            </w:tcBorders>
            <w:shd w:val="clear" w:color="auto" w:fill="auto"/>
            <w:noWrap/>
            <w:vAlign w:val="bottom"/>
            <w:hideMark/>
          </w:tcPr>
          <w:p w:rsidR="00290034" w:rsidRPr="00BB51A0" w:rsidRDefault="00290034" w:rsidP="00290034">
            <w:pPr>
              <w:spacing w:line="360" w:lineRule="auto"/>
              <w:jc w:val="both"/>
              <w:rPr>
                <w:sz w:val="18"/>
                <w:szCs w:val="18"/>
                <w:lang w:val="de-DE"/>
              </w:rPr>
            </w:pPr>
            <w:r w:rsidRPr="00BB51A0">
              <w:rPr>
                <w:sz w:val="18"/>
                <w:szCs w:val="18"/>
                <w:lang w:val="de-DE"/>
              </w:rPr>
              <w:t>GATCTGAATGTTAAGGCTTTTAGCG</w:t>
            </w:r>
          </w:p>
        </w:tc>
        <w:tc>
          <w:tcPr>
            <w:tcW w:w="3680" w:type="dxa"/>
            <w:tcBorders>
              <w:top w:val="nil"/>
              <w:left w:val="nil"/>
              <w:bottom w:val="nil"/>
              <w:right w:val="nil"/>
            </w:tcBorders>
            <w:shd w:val="clear" w:color="auto" w:fill="auto"/>
            <w:noWrap/>
            <w:vAlign w:val="bottom"/>
            <w:hideMark/>
          </w:tcPr>
          <w:p w:rsidR="00290034" w:rsidRPr="009E28F7" w:rsidRDefault="00290034" w:rsidP="00290034">
            <w:pPr>
              <w:spacing w:line="360" w:lineRule="auto"/>
              <w:jc w:val="both"/>
              <w:rPr>
                <w:sz w:val="16"/>
                <w:szCs w:val="16"/>
                <w:lang w:val="de-DE"/>
              </w:rPr>
            </w:pPr>
            <w:r w:rsidRPr="009E28F7">
              <w:rPr>
                <w:sz w:val="16"/>
                <w:szCs w:val="16"/>
                <w:lang w:val="de-DE"/>
              </w:rPr>
              <w:t>GGCTTAGATCAGGAAGTGTATAGTCTCTG</w:t>
            </w:r>
          </w:p>
        </w:tc>
      </w:tr>
      <w:tr w:rsidR="00290034" w:rsidRPr="00BB51A0" w:rsidTr="00FD65FA">
        <w:trPr>
          <w:trHeight w:val="300"/>
        </w:trPr>
        <w:tc>
          <w:tcPr>
            <w:tcW w:w="178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i/>
                <w:sz w:val="18"/>
                <w:szCs w:val="18"/>
                <w:lang w:val="de-DE"/>
              </w:rPr>
            </w:pPr>
            <w:r w:rsidRPr="00BB51A0">
              <w:rPr>
                <w:i/>
                <w:sz w:val="18"/>
                <w:szCs w:val="18"/>
                <w:lang w:val="de-DE"/>
              </w:rPr>
              <w:t>RABA1i</w:t>
            </w:r>
          </w:p>
        </w:tc>
        <w:tc>
          <w:tcPr>
            <w:tcW w:w="364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sz w:val="18"/>
                <w:szCs w:val="18"/>
                <w:lang w:val="de-DE"/>
              </w:rPr>
            </w:pPr>
            <w:r w:rsidRPr="00BB51A0">
              <w:rPr>
                <w:sz w:val="18"/>
                <w:szCs w:val="18"/>
                <w:lang w:val="de-DE"/>
              </w:rPr>
              <w:t>GATCGTCAAGGCTCAAATATGG</w:t>
            </w:r>
          </w:p>
        </w:tc>
        <w:tc>
          <w:tcPr>
            <w:tcW w:w="368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sz w:val="18"/>
                <w:szCs w:val="18"/>
                <w:lang w:val="de-DE"/>
              </w:rPr>
            </w:pPr>
            <w:r w:rsidRPr="00BB51A0">
              <w:rPr>
                <w:sz w:val="18"/>
                <w:szCs w:val="18"/>
                <w:lang w:val="de-DE"/>
              </w:rPr>
              <w:t>CTAAGCTCCTTTAGCCATCTC</w:t>
            </w:r>
          </w:p>
        </w:tc>
      </w:tr>
      <w:tr w:rsidR="00290034" w:rsidRPr="00BB51A0" w:rsidTr="00FD65FA">
        <w:trPr>
          <w:trHeight w:val="300"/>
        </w:trPr>
        <w:tc>
          <w:tcPr>
            <w:tcW w:w="178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i/>
                <w:sz w:val="18"/>
                <w:szCs w:val="18"/>
                <w:lang w:val="de-DE"/>
              </w:rPr>
            </w:pPr>
            <w:r w:rsidRPr="00BB51A0">
              <w:rPr>
                <w:i/>
                <w:sz w:val="18"/>
                <w:szCs w:val="18"/>
                <w:lang w:val="de-DE"/>
              </w:rPr>
              <w:t>RBOHA</w:t>
            </w:r>
          </w:p>
        </w:tc>
        <w:tc>
          <w:tcPr>
            <w:tcW w:w="364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sz w:val="18"/>
                <w:szCs w:val="18"/>
                <w:lang w:val="de-DE"/>
              </w:rPr>
            </w:pPr>
            <w:r w:rsidRPr="00BB51A0">
              <w:rPr>
                <w:sz w:val="18"/>
                <w:szCs w:val="18"/>
                <w:lang w:val="de-DE"/>
              </w:rPr>
              <w:t>GTTGCTTCTTCTGTTTCTTCGT</w:t>
            </w:r>
          </w:p>
        </w:tc>
        <w:tc>
          <w:tcPr>
            <w:tcW w:w="368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sz w:val="18"/>
                <w:szCs w:val="18"/>
                <w:lang w:val="de-DE"/>
              </w:rPr>
            </w:pPr>
            <w:r w:rsidRPr="00BB51A0">
              <w:rPr>
                <w:sz w:val="18"/>
                <w:szCs w:val="18"/>
                <w:lang w:val="de-DE"/>
              </w:rPr>
              <w:t>CGATTTCATCCCTATACATTCACC</w:t>
            </w:r>
          </w:p>
        </w:tc>
      </w:tr>
      <w:tr w:rsidR="00290034" w:rsidRPr="00BB51A0" w:rsidTr="00FD65FA">
        <w:trPr>
          <w:trHeight w:val="300"/>
        </w:trPr>
        <w:tc>
          <w:tcPr>
            <w:tcW w:w="178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i/>
                <w:sz w:val="18"/>
                <w:szCs w:val="18"/>
                <w:lang w:val="de-DE"/>
              </w:rPr>
            </w:pPr>
            <w:r w:rsidRPr="00BB51A0">
              <w:rPr>
                <w:i/>
                <w:sz w:val="18"/>
                <w:szCs w:val="18"/>
                <w:lang w:val="de-DE"/>
              </w:rPr>
              <w:t>RKL1-12</w:t>
            </w:r>
          </w:p>
        </w:tc>
        <w:tc>
          <w:tcPr>
            <w:tcW w:w="364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sz w:val="18"/>
                <w:szCs w:val="18"/>
                <w:lang w:val="de-DE"/>
              </w:rPr>
            </w:pPr>
            <w:r w:rsidRPr="00BB51A0">
              <w:rPr>
                <w:sz w:val="18"/>
                <w:szCs w:val="18"/>
                <w:lang w:val="de-DE"/>
              </w:rPr>
              <w:t>TGAAAGCTCATAAGTCTCCAG</w:t>
            </w:r>
          </w:p>
        </w:tc>
        <w:tc>
          <w:tcPr>
            <w:tcW w:w="368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sz w:val="18"/>
                <w:szCs w:val="18"/>
                <w:lang w:val="de-DE"/>
              </w:rPr>
            </w:pPr>
            <w:r w:rsidRPr="00BB51A0">
              <w:rPr>
                <w:sz w:val="18"/>
                <w:szCs w:val="18"/>
                <w:lang w:val="de-DE"/>
              </w:rPr>
              <w:t>GATACACTGTTCCAAAGCCT</w:t>
            </w:r>
          </w:p>
        </w:tc>
      </w:tr>
      <w:tr w:rsidR="00290034" w:rsidRPr="00BB51A0" w:rsidTr="00FD65FA">
        <w:trPr>
          <w:trHeight w:val="300"/>
        </w:trPr>
        <w:tc>
          <w:tcPr>
            <w:tcW w:w="178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i/>
                <w:sz w:val="18"/>
                <w:szCs w:val="18"/>
                <w:lang w:val="de-DE"/>
              </w:rPr>
            </w:pPr>
            <w:r w:rsidRPr="00BB51A0">
              <w:rPr>
                <w:i/>
                <w:sz w:val="18"/>
                <w:szCs w:val="18"/>
                <w:lang w:val="de-DE"/>
              </w:rPr>
              <w:t>SAG13</w:t>
            </w:r>
          </w:p>
        </w:tc>
        <w:tc>
          <w:tcPr>
            <w:tcW w:w="364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sz w:val="18"/>
                <w:szCs w:val="18"/>
                <w:lang w:val="de-DE"/>
              </w:rPr>
            </w:pPr>
            <w:r w:rsidRPr="00BB51A0">
              <w:rPr>
                <w:sz w:val="18"/>
                <w:szCs w:val="18"/>
                <w:lang w:val="de-DE"/>
              </w:rPr>
              <w:t>GCGACAACATAAGGACGA</w:t>
            </w:r>
          </w:p>
        </w:tc>
        <w:tc>
          <w:tcPr>
            <w:tcW w:w="368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sz w:val="18"/>
                <w:szCs w:val="18"/>
                <w:lang w:val="de-DE"/>
              </w:rPr>
            </w:pPr>
            <w:r w:rsidRPr="00BB51A0">
              <w:rPr>
                <w:sz w:val="18"/>
                <w:szCs w:val="18"/>
                <w:lang w:val="de-DE"/>
              </w:rPr>
              <w:t>CTTCATTTGCTTCTCCAACAC</w:t>
            </w:r>
          </w:p>
        </w:tc>
      </w:tr>
      <w:tr w:rsidR="00290034" w:rsidRPr="00BB51A0" w:rsidTr="00FD65FA">
        <w:trPr>
          <w:trHeight w:val="300"/>
        </w:trPr>
        <w:tc>
          <w:tcPr>
            <w:tcW w:w="1780" w:type="dxa"/>
            <w:tcBorders>
              <w:top w:val="nil"/>
              <w:left w:val="nil"/>
              <w:bottom w:val="nil"/>
              <w:right w:val="nil"/>
            </w:tcBorders>
            <w:shd w:val="clear" w:color="auto" w:fill="auto"/>
            <w:noWrap/>
            <w:vAlign w:val="bottom"/>
            <w:hideMark/>
          </w:tcPr>
          <w:p w:rsidR="00290034" w:rsidRPr="00BB51A0" w:rsidRDefault="00290034" w:rsidP="00290034">
            <w:pPr>
              <w:spacing w:line="360" w:lineRule="auto"/>
              <w:jc w:val="both"/>
              <w:rPr>
                <w:i/>
                <w:sz w:val="18"/>
                <w:szCs w:val="18"/>
                <w:lang w:val="de-DE"/>
              </w:rPr>
            </w:pPr>
            <w:r w:rsidRPr="00BB51A0">
              <w:rPr>
                <w:i/>
                <w:sz w:val="18"/>
                <w:szCs w:val="18"/>
                <w:lang w:val="de-DE"/>
              </w:rPr>
              <w:t>SBT3.3</w:t>
            </w:r>
          </w:p>
        </w:tc>
        <w:tc>
          <w:tcPr>
            <w:tcW w:w="3640" w:type="dxa"/>
            <w:tcBorders>
              <w:top w:val="nil"/>
              <w:left w:val="nil"/>
              <w:bottom w:val="nil"/>
              <w:right w:val="nil"/>
            </w:tcBorders>
            <w:shd w:val="clear" w:color="auto" w:fill="auto"/>
            <w:noWrap/>
            <w:vAlign w:val="bottom"/>
            <w:hideMark/>
          </w:tcPr>
          <w:p w:rsidR="00290034" w:rsidRPr="00BB51A0" w:rsidRDefault="00290034" w:rsidP="00290034">
            <w:pPr>
              <w:spacing w:line="360" w:lineRule="auto"/>
              <w:jc w:val="both"/>
              <w:rPr>
                <w:sz w:val="18"/>
                <w:szCs w:val="18"/>
                <w:lang w:val="de-DE"/>
              </w:rPr>
            </w:pPr>
            <w:r w:rsidRPr="00BB51A0">
              <w:rPr>
                <w:sz w:val="18"/>
                <w:szCs w:val="18"/>
                <w:lang w:val="de-DE"/>
              </w:rPr>
              <w:t>TCACTACAGCTTGGAGAACAG</w:t>
            </w:r>
          </w:p>
        </w:tc>
        <w:tc>
          <w:tcPr>
            <w:tcW w:w="3680" w:type="dxa"/>
            <w:tcBorders>
              <w:top w:val="nil"/>
              <w:left w:val="nil"/>
              <w:bottom w:val="nil"/>
              <w:right w:val="nil"/>
            </w:tcBorders>
            <w:shd w:val="clear" w:color="auto" w:fill="auto"/>
            <w:noWrap/>
            <w:vAlign w:val="bottom"/>
            <w:hideMark/>
          </w:tcPr>
          <w:p w:rsidR="00290034" w:rsidRPr="00BB51A0" w:rsidRDefault="00290034" w:rsidP="00290034">
            <w:pPr>
              <w:spacing w:line="360" w:lineRule="auto"/>
              <w:jc w:val="both"/>
              <w:rPr>
                <w:sz w:val="18"/>
                <w:szCs w:val="18"/>
                <w:lang w:val="de-DE"/>
              </w:rPr>
            </w:pPr>
            <w:r w:rsidRPr="00BB51A0">
              <w:rPr>
                <w:sz w:val="18"/>
                <w:szCs w:val="18"/>
                <w:lang w:val="de-DE"/>
              </w:rPr>
              <w:t>AACCAGCAGAACATAAGTAGAG</w:t>
            </w:r>
          </w:p>
        </w:tc>
      </w:tr>
      <w:tr w:rsidR="00290034" w:rsidRPr="00BB51A0" w:rsidTr="00FD65FA">
        <w:trPr>
          <w:trHeight w:val="300"/>
        </w:trPr>
        <w:tc>
          <w:tcPr>
            <w:tcW w:w="1780" w:type="dxa"/>
            <w:tcBorders>
              <w:top w:val="nil"/>
              <w:left w:val="nil"/>
              <w:bottom w:val="nil"/>
              <w:right w:val="nil"/>
            </w:tcBorders>
            <w:shd w:val="clear" w:color="auto" w:fill="auto"/>
            <w:noWrap/>
            <w:vAlign w:val="bottom"/>
            <w:hideMark/>
          </w:tcPr>
          <w:p w:rsidR="00290034" w:rsidRPr="00BB51A0" w:rsidRDefault="00290034" w:rsidP="00290034">
            <w:pPr>
              <w:spacing w:line="360" w:lineRule="auto"/>
              <w:jc w:val="both"/>
              <w:rPr>
                <w:i/>
                <w:sz w:val="18"/>
                <w:szCs w:val="18"/>
                <w:lang w:val="de-DE"/>
              </w:rPr>
            </w:pPr>
            <w:r w:rsidRPr="00BB51A0">
              <w:rPr>
                <w:i/>
                <w:sz w:val="18"/>
                <w:szCs w:val="18"/>
                <w:lang w:val="de-DE"/>
              </w:rPr>
              <w:t>SBT3.5</w:t>
            </w:r>
          </w:p>
        </w:tc>
        <w:tc>
          <w:tcPr>
            <w:tcW w:w="3640" w:type="dxa"/>
            <w:tcBorders>
              <w:top w:val="nil"/>
              <w:left w:val="nil"/>
              <w:bottom w:val="nil"/>
              <w:right w:val="nil"/>
            </w:tcBorders>
            <w:shd w:val="clear" w:color="auto" w:fill="auto"/>
            <w:noWrap/>
            <w:vAlign w:val="bottom"/>
            <w:hideMark/>
          </w:tcPr>
          <w:p w:rsidR="00290034" w:rsidRPr="00BB51A0" w:rsidRDefault="00290034" w:rsidP="00290034">
            <w:pPr>
              <w:spacing w:line="360" w:lineRule="auto"/>
              <w:jc w:val="both"/>
              <w:rPr>
                <w:sz w:val="18"/>
                <w:szCs w:val="18"/>
                <w:lang w:val="de-DE"/>
              </w:rPr>
            </w:pPr>
            <w:r w:rsidRPr="00BB51A0">
              <w:rPr>
                <w:sz w:val="18"/>
                <w:szCs w:val="18"/>
                <w:lang w:val="de-DE"/>
              </w:rPr>
              <w:t>GAAACTTGCTGATTCTCCTG</w:t>
            </w:r>
          </w:p>
        </w:tc>
        <w:tc>
          <w:tcPr>
            <w:tcW w:w="3680" w:type="dxa"/>
            <w:tcBorders>
              <w:top w:val="nil"/>
              <w:left w:val="nil"/>
              <w:bottom w:val="nil"/>
              <w:right w:val="nil"/>
            </w:tcBorders>
            <w:shd w:val="clear" w:color="auto" w:fill="auto"/>
            <w:noWrap/>
            <w:vAlign w:val="bottom"/>
            <w:hideMark/>
          </w:tcPr>
          <w:p w:rsidR="00290034" w:rsidRPr="00BB51A0" w:rsidRDefault="00290034" w:rsidP="00290034">
            <w:pPr>
              <w:spacing w:line="360" w:lineRule="auto"/>
              <w:jc w:val="both"/>
              <w:rPr>
                <w:sz w:val="18"/>
                <w:szCs w:val="18"/>
                <w:lang w:val="de-DE"/>
              </w:rPr>
            </w:pPr>
            <w:r w:rsidRPr="00BB51A0">
              <w:rPr>
                <w:sz w:val="18"/>
                <w:szCs w:val="18"/>
                <w:lang w:val="de-DE"/>
              </w:rPr>
              <w:t>CTCCTGTGTCAATAAAGCCA</w:t>
            </w:r>
          </w:p>
        </w:tc>
      </w:tr>
      <w:tr w:rsidR="00290034" w:rsidRPr="00BB51A0" w:rsidTr="00FD65FA">
        <w:trPr>
          <w:trHeight w:val="300"/>
        </w:trPr>
        <w:tc>
          <w:tcPr>
            <w:tcW w:w="178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i/>
                <w:sz w:val="18"/>
                <w:szCs w:val="18"/>
                <w:lang w:val="de-DE"/>
              </w:rPr>
            </w:pPr>
            <w:r w:rsidRPr="00BB51A0">
              <w:rPr>
                <w:i/>
                <w:sz w:val="18"/>
                <w:szCs w:val="18"/>
                <w:lang w:val="de-DE"/>
              </w:rPr>
              <w:t>SDR4</w:t>
            </w:r>
          </w:p>
        </w:tc>
        <w:tc>
          <w:tcPr>
            <w:tcW w:w="364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sz w:val="18"/>
                <w:szCs w:val="18"/>
                <w:lang w:val="de-DE"/>
              </w:rPr>
            </w:pPr>
            <w:r w:rsidRPr="00BB51A0">
              <w:rPr>
                <w:sz w:val="18"/>
                <w:szCs w:val="18"/>
                <w:lang w:val="de-DE"/>
              </w:rPr>
              <w:t>CTTAGGCAAGTATTGGATGG</w:t>
            </w:r>
          </w:p>
        </w:tc>
        <w:tc>
          <w:tcPr>
            <w:tcW w:w="368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sz w:val="18"/>
                <w:szCs w:val="18"/>
                <w:lang w:val="de-DE"/>
              </w:rPr>
            </w:pPr>
            <w:r w:rsidRPr="00BB51A0">
              <w:rPr>
                <w:sz w:val="18"/>
                <w:szCs w:val="18"/>
                <w:lang w:val="de-DE"/>
              </w:rPr>
              <w:t>CTCTTCTTGTATGTCCACGA</w:t>
            </w:r>
          </w:p>
        </w:tc>
      </w:tr>
      <w:tr w:rsidR="00290034" w:rsidRPr="00BB51A0" w:rsidTr="00FD65FA">
        <w:trPr>
          <w:trHeight w:val="300"/>
        </w:trPr>
        <w:tc>
          <w:tcPr>
            <w:tcW w:w="1780" w:type="dxa"/>
            <w:tcBorders>
              <w:top w:val="nil"/>
              <w:left w:val="nil"/>
              <w:bottom w:val="nil"/>
              <w:right w:val="nil"/>
            </w:tcBorders>
            <w:shd w:val="clear" w:color="auto" w:fill="auto"/>
            <w:noWrap/>
            <w:vAlign w:val="bottom"/>
            <w:hideMark/>
          </w:tcPr>
          <w:p w:rsidR="00290034" w:rsidRPr="00BB51A0" w:rsidRDefault="00290034" w:rsidP="00290034">
            <w:pPr>
              <w:spacing w:line="360" w:lineRule="auto"/>
              <w:jc w:val="both"/>
              <w:rPr>
                <w:i/>
                <w:sz w:val="18"/>
                <w:szCs w:val="18"/>
                <w:lang w:val="de-DE"/>
              </w:rPr>
            </w:pPr>
            <w:r w:rsidRPr="00BB51A0">
              <w:rPr>
                <w:i/>
                <w:sz w:val="18"/>
                <w:szCs w:val="18"/>
                <w:lang w:val="de-DE"/>
              </w:rPr>
              <w:t>STZ</w:t>
            </w:r>
          </w:p>
        </w:tc>
        <w:tc>
          <w:tcPr>
            <w:tcW w:w="3640" w:type="dxa"/>
            <w:tcBorders>
              <w:top w:val="nil"/>
              <w:left w:val="nil"/>
              <w:bottom w:val="nil"/>
              <w:right w:val="nil"/>
            </w:tcBorders>
            <w:shd w:val="clear" w:color="auto" w:fill="auto"/>
            <w:noWrap/>
            <w:vAlign w:val="bottom"/>
            <w:hideMark/>
          </w:tcPr>
          <w:p w:rsidR="00290034" w:rsidRPr="00BB51A0" w:rsidRDefault="00290034" w:rsidP="00290034">
            <w:pPr>
              <w:spacing w:line="360" w:lineRule="auto"/>
              <w:jc w:val="both"/>
              <w:rPr>
                <w:sz w:val="18"/>
                <w:szCs w:val="18"/>
                <w:lang w:val="de-DE"/>
              </w:rPr>
            </w:pPr>
            <w:r w:rsidRPr="00BB51A0">
              <w:rPr>
                <w:sz w:val="18"/>
                <w:szCs w:val="18"/>
                <w:lang w:val="de-DE"/>
              </w:rPr>
              <w:t>ATCAAGATCCGATTTCCACC</w:t>
            </w:r>
          </w:p>
        </w:tc>
        <w:tc>
          <w:tcPr>
            <w:tcW w:w="3680" w:type="dxa"/>
            <w:tcBorders>
              <w:top w:val="nil"/>
              <w:left w:val="nil"/>
              <w:bottom w:val="nil"/>
              <w:right w:val="nil"/>
            </w:tcBorders>
            <w:shd w:val="clear" w:color="auto" w:fill="auto"/>
            <w:noWrap/>
            <w:vAlign w:val="bottom"/>
            <w:hideMark/>
          </w:tcPr>
          <w:p w:rsidR="00290034" w:rsidRPr="00BB51A0" w:rsidRDefault="00290034" w:rsidP="00290034">
            <w:pPr>
              <w:spacing w:line="360" w:lineRule="auto"/>
              <w:jc w:val="both"/>
              <w:rPr>
                <w:sz w:val="18"/>
                <w:szCs w:val="18"/>
                <w:lang w:val="de-DE"/>
              </w:rPr>
            </w:pPr>
            <w:r w:rsidRPr="00BB51A0">
              <w:rPr>
                <w:sz w:val="18"/>
                <w:szCs w:val="18"/>
                <w:lang w:val="de-DE"/>
              </w:rPr>
              <w:t>TGTAGCTCAACTTCTCCACC</w:t>
            </w:r>
          </w:p>
        </w:tc>
      </w:tr>
      <w:tr w:rsidR="00290034" w:rsidRPr="00BB51A0" w:rsidTr="00FD65FA">
        <w:trPr>
          <w:trHeight w:val="300"/>
        </w:trPr>
        <w:tc>
          <w:tcPr>
            <w:tcW w:w="1780" w:type="dxa"/>
            <w:tcBorders>
              <w:top w:val="nil"/>
              <w:left w:val="nil"/>
              <w:bottom w:val="nil"/>
              <w:right w:val="nil"/>
            </w:tcBorders>
            <w:shd w:val="clear" w:color="auto" w:fill="auto"/>
            <w:noWrap/>
            <w:vAlign w:val="bottom"/>
            <w:hideMark/>
          </w:tcPr>
          <w:p w:rsidR="00290034" w:rsidRPr="00BB51A0" w:rsidRDefault="00290034" w:rsidP="00290034">
            <w:pPr>
              <w:spacing w:line="360" w:lineRule="auto"/>
              <w:jc w:val="both"/>
              <w:rPr>
                <w:i/>
                <w:sz w:val="18"/>
                <w:szCs w:val="18"/>
                <w:lang w:val="de-DE"/>
              </w:rPr>
            </w:pPr>
            <w:r w:rsidRPr="00BB51A0">
              <w:rPr>
                <w:i/>
                <w:sz w:val="18"/>
                <w:szCs w:val="18"/>
                <w:lang w:val="de-DE"/>
              </w:rPr>
              <w:t>TAT3</w:t>
            </w:r>
          </w:p>
        </w:tc>
        <w:tc>
          <w:tcPr>
            <w:tcW w:w="3640" w:type="dxa"/>
            <w:tcBorders>
              <w:top w:val="nil"/>
              <w:left w:val="nil"/>
              <w:bottom w:val="nil"/>
              <w:right w:val="nil"/>
            </w:tcBorders>
            <w:shd w:val="clear" w:color="auto" w:fill="auto"/>
            <w:noWrap/>
            <w:vAlign w:val="bottom"/>
            <w:hideMark/>
          </w:tcPr>
          <w:p w:rsidR="00290034" w:rsidRPr="00BB51A0" w:rsidRDefault="00290034" w:rsidP="00290034">
            <w:pPr>
              <w:spacing w:line="360" w:lineRule="auto"/>
              <w:jc w:val="both"/>
              <w:rPr>
                <w:sz w:val="18"/>
                <w:szCs w:val="18"/>
                <w:lang w:val="de-DE"/>
              </w:rPr>
            </w:pPr>
            <w:r w:rsidRPr="00BB51A0">
              <w:rPr>
                <w:sz w:val="18"/>
                <w:szCs w:val="18"/>
                <w:lang w:val="de-DE"/>
              </w:rPr>
              <w:t>CTAACTCTTACGCACCCAG</w:t>
            </w:r>
          </w:p>
        </w:tc>
        <w:tc>
          <w:tcPr>
            <w:tcW w:w="3680" w:type="dxa"/>
            <w:tcBorders>
              <w:top w:val="nil"/>
              <w:left w:val="nil"/>
              <w:bottom w:val="nil"/>
              <w:right w:val="nil"/>
            </w:tcBorders>
            <w:shd w:val="clear" w:color="auto" w:fill="auto"/>
            <w:noWrap/>
            <w:vAlign w:val="bottom"/>
            <w:hideMark/>
          </w:tcPr>
          <w:p w:rsidR="00290034" w:rsidRPr="00BB51A0" w:rsidRDefault="00290034" w:rsidP="00290034">
            <w:pPr>
              <w:spacing w:line="360" w:lineRule="auto"/>
              <w:jc w:val="both"/>
              <w:rPr>
                <w:sz w:val="18"/>
                <w:szCs w:val="18"/>
                <w:lang w:val="de-DE"/>
              </w:rPr>
            </w:pPr>
            <w:r w:rsidRPr="00BB51A0">
              <w:rPr>
                <w:sz w:val="18"/>
                <w:szCs w:val="18"/>
                <w:lang w:val="de-DE"/>
              </w:rPr>
              <w:t>CTATCACGATCTCTATGGCT</w:t>
            </w:r>
          </w:p>
        </w:tc>
      </w:tr>
      <w:tr w:rsidR="00290034" w:rsidRPr="00BB51A0" w:rsidTr="00FD65FA">
        <w:trPr>
          <w:trHeight w:val="300"/>
        </w:trPr>
        <w:tc>
          <w:tcPr>
            <w:tcW w:w="1780" w:type="dxa"/>
            <w:tcBorders>
              <w:top w:val="nil"/>
              <w:left w:val="nil"/>
              <w:bottom w:val="nil"/>
              <w:right w:val="nil"/>
            </w:tcBorders>
            <w:shd w:val="clear" w:color="auto" w:fill="auto"/>
            <w:noWrap/>
            <w:vAlign w:val="bottom"/>
            <w:hideMark/>
          </w:tcPr>
          <w:p w:rsidR="00290034" w:rsidRPr="00BB51A0" w:rsidRDefault="00290034" w:rsidP="00290034">
            <w:pPr>
              <w:spacing w:line="360" w:lineRule="auto"/>
              <w:jc w:val="both"/>
              <w:rPr>
                <w:i/>
                <w:sz w:val="18"/>
                <w:szCs w:val="18"/>
                <w:lang w:val="de-DE"/>
              </w:rPr>
            </w:pPr>
            <w:r w:rsidRPr="00BB51A0">
              <w:rPr>
                <w:i/>
                <w:sz w:val="18"/>
                <w:szCs w:val="18"/>
                <w:lang w:val="de-DE"/>
              </w:rPr>
              <w:t>TIR2</w:t>
            </w:r>
          </w:p>
        </w:tc>
        <w:tc>
          <w:tcPr>
            <w:tcW w:w="3640" w:type="dxa"/>
            <w:tcBorders>
              <w:top w:val="nil"/>
              <w:left w:val="nil"/>
              <w:bottom w:val="nil"/>
              <w:right w:val="nil"/>
            </w:tcBorders>
            <w:shd w:val="clear" w:color="auto" w:fill="auto"/>
            <w:noWrap/>
            <w:vAlign w:val="bottom"/>
            <w:hideMark/>
          </w:tcPr>
          <w:p w:rsidR="00290034" w:rsidRPr="00BB51A0" w:rsidRDefault="00290034" w:rsidP="00290034">
            <w:pPr>
              <w:spacing w:line="360" w:lineRule="auto"/>
              <w:jc w:val="both"/>
              <w:rPr>
                <w:sz w:val="18"/>
                <w:szCs w:val="18"/>
                <w:lang w:val="de-DE"/>
              </w:rPr>
            </w:pPr>
            <w:r w:rsidRPr="00BB51A0">
              <w:rPr>
                <w:sz w:val="18"/>
                <w:szCs w:val="18"/>
                <w:lang w:val="de-DE"/>
              </w:rPr>
              <w:t>TGCTTATAGACAAACCTCTCCA</w:t>
            </w:r>
          </w:p>
        </w:tc>
        <w:tc>
          <w:tcPr>
            <w:tcW w:w="3680" w:type="dxa"/>
            <w:tcBorders>
              <w:top w:val="nil"/>
              <w:left w:val="nil"/>
              <w:bottom w:val="nil"/>
              <w:right w:val="nil"/>
            </w:tcBorders>
            <w:shd w:val="clear" w:color="auto" w:fill="auto"/>
            <w:noWrap/>
            <w:vAlign w:val="bottom"/>
            <w:hideMark/>
          </w:tcPr>
          <w:p w:rsidR="00290034" w:rsidRPr="00BB51A0" w:rsidRDefault="00290034" w:rsidP="00290034">
            <w:pPr>
              <w:spacing w:line="360" w:lineRule="auto"/>
              <w:jc w:val="both"/>
              <w:rPr>
                <w:sz w:val="18"/>
                <w:szCs w:val="18"/>
                <w:lang w:val="de-DE"/>
              </w:rPr>
            </w:pPr>
            <w:r w:rsidRPr="00BB51A0">
              <w:rPr>
                <w:sz w:val="18"/>
                <w:szCs w:val="18"/>
                <w:lang w:val="de-DE"/>
              </w:rPr>
              <w:t>ACTCTGCCATAACTCCTTCC</w:t>
            </w:r>
          </w:p>
        </w:tc>
      </w:tr>
      <w:tr w:rsidR="00290034" w:rsidRPr="00BB51A0" w:rsidTr="00FD65FA">
        <w:trPr>
          <w:trHeight w:val="300"/>
        </w:trPr>
        <w:tc>
          <w:tcPr>
            <w:tcW w:w="178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i/>
                <w:sz w:val="18"/>
                <w:szCs w:val="18"/>
                <w:lang w:val="de-DE"/>
              </w:rPr>
            </w:pPr>
            <w:r w:rsidRPr="00BB51A0">
              <w:rPr>
                <w:i/>
                <w:sz w:val="18"/>
                <w:szCs w:val="18"/>
                <w:lang w:val="de-DE"/>
              </w:rPr>
              <w:t>TPPD</w:t>
            </w:r>
          </w:p>
        </w:tc>
        <w:tc>
          <w:tcPr>
            <w:tcW w:w="364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sz w:val="18"/>
                <w:szCs w:val="18"/>
                <w:lang w:val="de-DE"/>
              </w:rPr>
            </w:pPr>
            <w:r w:rsidRPr="00BB51A0">
              <w:rPr>
                <w:sz w:val="18"/>
                <w:szCs w:val="18"/>
                <w:lang w:val="de-DE"/>
              </w:rPr>
              <w:t>GACTATGACGGTACATTATCCC</w:t>
            </w:r>
          </w:p>
        </w:tc>
        <w:tc>
          <w:tcPr>
            <w:tcW w:w="368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sz w:val="18"/>
                <w:szCs w:val="18"/>
                <w:lang w:val="de-DE"/>
              </w:rPr>
            </w:pPr>
            <w:r w:rsidRPr="00BB51A0">
              <w:rPr>
                <w:sz w:val="18"/>
                <w:szCs w:val="18"/>
                <w:lang w:val="de-DE"/>
              </w:rPr>
              <w:t>TCTACGAACCTTATCACGGC</w:t>
            </w:r>
          </w:p>
        </w:tc>
      </w:tr>
      <w:tr w:rsidR="00290034" w:rsidRPr="00BB51A0" w:rsidTr="00FD65FA">
        <w:trPr>
          <w:trHeight w:val="300"/>
        </w:trPr>
        <w:tc>
          <w:tcPr>
            <w:tcW w:w="178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i/>
                <w:sz w:val="18"/>
                <w:szCs w:val="18"/>
                <w:lang w:val="de-DE"/>
              </w:rPr>
            </w:pPr>
            <w:r w:rsidRPr="00BB51A0">
              <w:rPr>
                <w:i/>
                <w:sz w:val="18"/>
                <w:szCs w:val="18"/>
                <w:lang w:val="de-DE"/>
              </w:rPr>
              <w:t>UGT73B2</w:t>
            </w:r>
          </w:p>
        </w:tc>
        <w:tc>
          <w:tcPr>
            <w:tcW w:w="364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sz w:val="18"/>
                <w:szCs w:val="18"/>
                <w:lang w:val="de-DE"/>
              </w:rPr>
            </w:pPr>
            <w:r w:rsidRPr="00BB51A0">
              <w:rPr>
                <w:sz w:val="18"/>
                <w:szCs w:val="18"/>
                <w:lang w:val="de-DE"/>
              </w:rPr>
              <w:t>TTCCGGTACAAGTTTCATTTGG</w:t>
            </w:r>
          </w:p>
        </w:tc>
        <w:tc>
          <w:tcPr>
            <w:tcW w:w="368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sz w:val="18"/>
                <w:szCs w:val="18"/>
                <w:lang w:val="de-DE"/>
              </w:rPr>
            </w:pPr>
            <w:r w:rsidRPr="00BB51A0">
              <w:rPr>
                <w:sz w:val="18"/>
                <w:szCs w:val="18"/>
                <w:lang w:val="de-DE"/>
              </w:rPr>
              <w:t>TGCCCATCCTCTTATTATCATACC</w:t>
            </w:r>
          </w:p>
        </w:tc>
      </w:tr>
      <w:tr w:rsidR="00290034" w:rsidRPr="00BB51A0" w:rsidTr="00FD65FA">
        <w:trPr>
          <w:trHeight w:val="300"/>
        </w:trPr>
        <w:tc>
          <w:tcPr>
            <w:tcW w:w="178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i/>
                <w:sz w:val="18"/>
                <w:szCs w:val="18"/>
                <w:lang w:val="de-DE"/>
              </w:rPr>
            </w:pPr>
            <w:r w:rsidRPr="00BB51A0">
              <w:rPr>
                <w:i/>
                <w:sz w:val="18"/>
                <w:szCs w:val="18"/>
                <w:lang w:val="de-DE"/>
              </w:rPr>
              <w:t>UGT73B3</w:t>
            </w:r>
          </w:p>
        </w:tc>
        <w:tc>
          <w:tcPr>
            <w:tcW w:w="364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sz w:val="18"/>
                <w:szCs w:val="18"/>
                <w:lang w:val="de-DE"/>
              </w:rPr>
            </w:pPr>
            <w:r w:rsidRPr="00BB51A0">
              <w:rPr>
                <w:sz w:val="18"/>
                <w:szCs w:val="18"/>
                <w:lang w:val="de-DE"/>
              </w:rPr>
              <w:t>AACAGATAGCAGACCGTGAC</w:t>
            </w:r>
          </w:p>
        </w:tc>
        <w:tc>
          <w:tcPr>
            <w:tcW w:w="368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sz w:val="18"/>
                <w:szCs w:val="18"/>
                <w:lang w:val="de-DE"/>
              </w:rPr>
            </w:pPr>
            <w:r w:rsidRPr="00BB51A0">
              <w:rPr>
                <w:sz w:val="18"/>
                <w:szCs w:val="18"/>
                <w:lang w:val="de-DE"/>
              </w:rPr>
              <w:t>TCAGCCTTCTCCTCAAATCC</w:t>
            </w:r>
          </w:p>
        </w:tc>
      </w:tr>
      <w:tr w:rsidR="00290034" w:rsidRPr="00BB51A0" w:rsidTr="00FD65FA">
        <w:trPr>
          <w:trHeight w:val="300"/>
        </w:trPr>
        <w:tc>
          <w:tcPr>
            <w:tcW w:w="178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i/>
                <w:sz w:val="18"/>
                <w:szCs w:val="18"/>
                <w:lang w:val="de-DE"/>
              </w:rPr>
            </w:pPr>
            <w:r w:rsidRPr="00BB51A0">
              <w:rPr>
                <w:i/>
                <w:sz w:val="18"/>
                <w:szCs w:val="18"/>
                <w:lang w:val="de-DE"/>
              </w:rPr>
              <w:t>UGT73D1</w:t>
            </w:r>
          </w:p>
        </w:tc>
        <w:tc>
          <w:tcPr>
            <w:tcW w:w="364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sz w:val="18"/>
                <w:szCs w:val="18"/>
                <w:lang w:val="de-DE"/>
              </w:rPr>
            </w:pPr>
            <w:r w:rsidRPr="00BB51A0">
              <w:rPr>
                <w:sz w:val="18"/>
                <w:szCs w:val="18"/>
                <w:lang w:val="de-DE"/>
              </w:rPr>
              <w:t>TCCCGAGGATCGTGTTCCATGGA</w:t>
            </w:r>
          </w:p>
        </w:tc>
        <w:tc>
          <w:tcPr>
            <w:tcW w:w="368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sz w:val="18"/>
                <w:szCs w:val="18"/>
                <w:lang w:val="de-DE"/>
              </w:rPr>
            </w:pPr>
            <w:r w:rsidRPr="00BB51A0">
              <w:rPr>
                <w:sz w:val="18"/>
                <w:szCs w:val="18"/>
                <w:lang w:val="de-DE"/>
              </w:rPr>
              <w:t>AGGGAATGGCTCTACGGCCGA</w:t>
            </w:r>
          </w:p>
        </w:tc>
      </w:tr>
      <w:tr w:rsidR="00290034" w:rsidRPr="00BB51A0" w:rsidTr="00FD65FA">
        <w:trPr>
          <w:trHeight w:val="300"/>
        </w:trPr>
        <w:tc>
          <w:tcPr>
            <w:tcW w:w="178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i/>
                <w:sz w:val="18"/>
                <w:szCs w:val="18"/>
                <w:lang w:val="de-DE"/>
              </w:rPr>
            </w:pPr>
            <w:r w:rsidRPr="00BB51A0">
              <w:rPr>
                <w:i/>
                <w:sz w:val="18"/>
                <w:szCs w:val="18"/>
                <w:lang w:val="de-DE"/>
              </w:rPr>
              <w:t>UGT74E2</w:t>
            </w:r>
          </w:p>
        </w:tc>
        <w:tc>
          <w:tcPr>
            <w:tcW w:w="364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sz w:val="18"/>
                <w:szCs w:val="18"/>
                <w:lang w:val="de-DE"/>
              </w:rPr>
            </w:pPr>
            <w:r w:rsidRPr="00BB51A0">
              <w:rPr>
                <w:sz w:val="18"/>
                <w:szCs w:val="18"/>
                <w:lang w:val="de-DE"/>
              </w:rPr>
              <w:t>AAAGTTGTTGAAATGGGTCC</w:t>
            </w:r>
          </w:p>
        </w:tc>
        <w:tc>
          <w:tcPr>
            <w:tcW w:w="368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sz w:val="18"/>
                <w:szCs w:val="18"/>
                <w:lang w:val="de-DE"/>
              </w:rPr>
            </w:pPr>
            <w:r w:rsidRPr="00BB51A0">
              <w:rPr>
                <w:sz w:val="18"/>
                <w:szCs w:val="18"/>
                <w:lang w:val="de-DE"/>
              </w:rPr>
              <w:t>ATAGACAACAGAATTAGGCTCC</w:t>
            </w:r>
          </w:p>
        </w:tc>
      </w:tr>
      <w:tr w:rsidR="00290034" w:rsidRPr="00BB51A0" w:rsidTr="00FD65FA">
        <w:trPr>
          <w:trHeight w:val="300"/>
        </w:trPr>
        <w:tc>
          <w:tcPr>
            <w:tcW w:w="178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i/>
                <w:sz w:val="18"/>
                <w:szCs w:val="18"/>
                <w:lang w:val="de-DE"/>
              </w:rPr>
            </w:pPr>
            <w:r w:rsidRPr="00BB51A0">
              <w:rPr>
                <w:i/>
                <w:sz w:val="18"/>
                <w:szCs w:val="18"/>
                <w:lang w:val="de-DE"/>
              </w:rPr>
              <w:t>UGT76B1</w:t>
            </w:r>
          </w:p>
        </w:tc>
        <w:tc>
          <w:tcPr>
            <w:tcW w:w="364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sz w:val="18"/>
                <w:szCs w:val="18"/>
                <w:lang w:val="de-DE"/>
              </w:rPr>
            </w:pPr>
            <w:r w:rsidRPr="00BB51A0">
              <w:rPr>
                <w:sz w:val="18"/>
                <w:szCs w:val="18"/>
                <w:lang w:val="de-DE"/>
              </w:rPr>
              <w:t>CTTTACAAGAGACTAAGGCAG</w:t>
            </w:r>
          </w:p>
        </w:tc>
        <w:tc>
          <w:tcPr>
            <w:tcW w:w="368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sz w:val="18"/>
                <w:szCs w:val="18"/>
                <w:lang w:val="de-DE"/>
              </w:rPr>
            </w:pPr>
            <w:r w:rsidRPr="00BB51A0">
              <w:rPr>
                <w:sz w:val="18"/>
                <w:szCs w:val="18"/>
                <w:lang w:val="de-DE"/>
              </w:rPr>
              <w:t>CACACCTATCTGTAACTTATCCC</w:t>
            </w:r>
          </w:p>
        </w:tc>
      </w:tr>
      <w:tr w:rsidR="00290034" w:rsidRPr="00BB51A0" w:rsidTr="00FD65FA">
        <w:trPr>
          <w:trHeight w:val="300"/>
        </w:trPr>
        <w:tc>
          <w:tcPr>
            <w:tcW w:w="178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i/>
                <w:sz w:val="18"/>
                <w:szCs w:val="18"/>
                <w:lang w:val="de-DE"/>
              </w:rPr>
            </w:pPr>
            <w:r w:rsidRPr="00BB51A0">
              <w:rPr>
                <w:i/>
                <w:sz w:val="18"/>
                <w:szCs w:val="18"/>
                <w:lang w:val="de-DE"/>
              </w:rPr>
              <w:t>UGT85A1</w:t>
            </w:r>
          </w:p>
        </w:tc>
        <w:tc>
          <w:tcPr>
            <w:tcW w:w="364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sz w:val="18"/>
                <w:szCs w:val="18"/>
                <w:lang w:val="de-DE"/>
              </w:rPr>
            </w:pPr>
            <w:r w:rsidRPr="00BB51A0">
              <w:rPr>
                <w:sz w:val="18"/>
                <w:szCs w:val="18"/>
                <w:lang w:val="de-DE"/>
              </w:rPr>
              <w:t>CTTTACTCTTGATGTTGCGG</w:t>
            </w:r>
          </w:p>
        </w:tc>
        <w:tc>
          <w:tcPr>
            <w:tcW w:w="368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sz w:val="18"/>
                <w:szCs w:val="18"/>
                <w:lang w:val="de-DE"/>
              </w:rPr>
            </w:pPr>
            <w:r w:rsidRPr="00BB51A0">
              <w:rPr>
                <w:sz w:val="18"/>
                <w:szCs w:val="18"/>
                <w:lang w:val="de-DE"/>
              </w:rPr>
              <w:t>GTCTTCTAAGTACTCCTTCGTC</w:t>
            </w:r>
          </w:p>
        </w:tc>
      </w:tr>
      <w:tr w:rsidR="00290034" w:rsidRPr="00BB51A0" w:rsidTr="00FD65FA">
        <w:trPr>
          <w:trHeight w:val="300"/>
        </w:trPr>
        <w:tc>
          <w:tcPr>
            <w:tcW w:w="1780" w:type="dxa"/>
            <w:tcBorders>
              <w:top w:val="nil"/>
              <w:left w:val="nil"/>
              <w:bottom w:val="nil"/>
              <w:right w:val="nil"/>
            </w:tcBorders>
            <w:shd w:val="clear" w:color="auto" w:fill="auto"/>
            <w:noWrap/>
            <w:vAlign w:val="bottom"/>
            <w:hideMark/>
          </w:tcPr>
          <w:p w:rsidR="00290034" w:rsidRPr="00BB51A0" w:rsidRDefault="00290034" w:rsidP="00290034">
            <w:pPr>
              <w:spacing w:line="360" w:lineRule="auto"/>
              <w:jc w:val="both"/>
              <w:rPr>
                <w:i/>
                <w:sz w:val="18"/>
                <w:szCs w:val="18"/>
                <w:lang w:val="de-DE"/>
              </w:rPr>
            </w:pPr>
            <w:r w:rsidRPr="00BB51A0">
              <w:rPr>
                <w:i/>
                <w:sz w:val="18"/>
                <w:szCs w:val="18"/>
                <w:lang w:val="de-DE"/>
              </w:rPr>
              <w:t>VQ2</w:t>
            </w:r>
          </w:p>
        </w:tc>
        <w:tc>
          <w:tcPr>
            <w:tcW w:w="3640" w:type="dxa"/>
            <w:tcBorders>
              <w:top w:val="nil"/>
              <w:left w:val="nil"/>
              <w:bottom w:val="nil"/>
              <w:right w:val="nil"/>
            </w:tcBorders>
            <w:shd w:val="clear" w:color="auto" w:fill="auto"/>
            <w:noWrap/>
            <w:vAlign w:val="bottom"/>
            <w:hideMark/>
          </w:tcPr>
          <w:p w:rsidR="00290034" w:rsidRPr="00BB51A0" w:rsidRDefault="00290034" w:rsidP="00290034">
            <w:pPr>
              <w:spacing w:line="360" w:lineRule="auto"/>
              <w:jc w:val="both"/>
              <w:rPr>
                <w:sz w:val="18"/>
                <w:szCs w:val="18"/>
                <w:lang w:val="de-DE"/>
              </w:rPr>
            </w:pPr>
            <w:r w:rsidRPr="00BB51A0">
              <w:rPr>
                <w:sz w:val="18"/>
                <w:szCs w:val="18"/>
                <w:lang w:val="de-DE"/>
              </w:rPr>
              <w:t>TCAACCTAATCATCAACACCAC</w:t>
            </w:r>
          </w:p>
        </w:tc>
        <w:tc>
          <w:tcPr>
            <w:tcW w:w="3680" w:type="dxa"/>
            <w:tcBorders>
              <w:top w:val="nil"/>
              <w:left w:val="nil"/>
              <w:bottom w:val="nil"/>
              <w:right w:val="nil"/>
            </w:tcBorders>
            <w:shd w:val="clear" w:color="auto" w:fill="auto"/>
            <w:noWrap/>
            <w:vAlign w:val="bottom"/>
            <w:hideMark/>
          </w:tcPr>
          <w:p w:rsidR="00290034" w:rsidRPr="00BB51A0" w:rsidRDefault="00290034" w:rsidP="00290034">
            <w:pPr>
              <w:spacing w:line="360" w:lineRule="auto"/>
              <w:jc w:val="both"/>
              <w:rPr>
                <w:sz w:val="18"/>
                <w:szCs w:val="18"/>
                <w:lang w:val="de-DE"/>
              </w:rPr>
            </w:pPr>
            <w:r w:rsidRPr="00BB51A0">
              <w:rPr>
                <w:sz w:val="18"/>
                <w:szCs w:val="18"/>
                <w:lang w:val="de-DE"/>
              </w:rPr>
              <w:t>ATTTCACTTTCCCTCTTCCA</w:t>
            </w:r>
          </w:p>
        </w:tc>
      </w:tr>
      <w:tr w:rsidR="00290034" w:rsidRPr="00BB51A0" w:rsidTr="00FD65FA">
        <w:trPr>
          <w:trHeight w:val="300"/>
        </w:trPr>
        <w:tc>
          <w:tcPr>
            <w:tcW w:w="178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i/>
                <w:sz w:val="18"/>
                <w:szCs w:val="18"/>
                <w:lang w:val="de-DE"/>
              </w:rPr>
            </w:pPr>
            <w:r w:rsidRPr="00BB51A0">
              <w:rPr>
                <w:i/>
                <w:sz w:val="18"/>
                <w:szCs w:val="18"/>
                <w:lang w:val="de-DE"/>
              </w:rPr>
              <w:t>WRKY38</w:t>
            </w:r>
          </w:p>
        </w:tc>
        <w:tc>
          <w:tcPr>
            <w:tcW w:w="364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sz w:val="18"/>
                <w:szCs w:val="18"/>
                <w:lang w:val="de-DE"/>
              </w:rPr>
            </w:pPr>
            <w:r w:rsidRPr="00BB51A0">
              <w:rPr>
                <w:sz w:val="18"/>
                <w:szCs w:val="18"/>
                <w:lang w:val="de-DE"/>
              </w:rPr>
              <w:t>CTGCTAAACCAGAAACCGA</w:t>
            </w:r>
          </w:p>
        </w:tc>
        <w:tc>
          <w:tcPr>
            <w:tcW w:w="368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sz w:val="18"/>
                <w:szCs w:val="18"/>
                <w:lang w:val="de-DE"/>
              </w:rPr>
            </w:pPr>
            <w:r w:rsidRPr="00BB51A0">
              <w:rPr>
                <w:sz w:val="18"/>
                <w:szCs w:val="18"/>
                <w:lang w:val="de-DE"/>
              </w:rPr>
              <w:t>GAATCGTCCCTCCAATTCTC</w:t>
            </w:r>
          </w:p>
        </w:tc>
      </w:tr>
      <w:tr w:rsidR="00290034" w:rsidRPr="00BB51A0" w:rsidTr="00FD65FA">
        <w:trPr>
          <w:trHeight w:val="300"/>
        </w:trPr>
        <w:tc>
          <w:tcPr>
            <w:tcW w:w="178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i/>
                <w:sz w:val="18"/>
                <w:szCs w:val="18"/>
                <w:lang w:val="de-DE"/>
              </w:rPr>
            </w:pPr>
            <w:r w:rsidRPr="00BB51A0">
              <w:rPr>
                <w:i/>
                <w:sz w:val="18"/>
                <w:szCs w:val="18"/>
                <w:lang w:val="de-DE"/>
              </w:rPr>
              <w:t>XHT10</w:t>
            </w:r>
          </w:p>
        </w:tc>
        <w:tc>
          <w:tcPr>
            <w:tcW w:w="364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sz w:val="18"/>
                <w:szCs w:val="18"/>
                <w:lang w:val="de-DE"/>
              </w:rPr>
            </w:pPr>
            <w:r w:rsidRPr="00BB51A0">
              <w:rPr>
                <w:sz w:val="18"/>
                <w:szCs w:val="18"/>
                <w:lang w:val="de-DE"/>
              </w:rPr>
              <w:t>TGTCCTCAGATCAGCCTAACCGGG</w:t>
            </w:r>
          </w:p>
        </w:tc>
        <w:tc>
          <w:tcPr>
            <w:tcW w:w="368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sz w:val="18"/>
                <w:szCs w:val="18"/>
                <w:lang w:val="de-DE"/>
              </w:rPr>
            </w:pPr>
            <w:r w:rsidRPr="00BB51A0">
              <w:rPr>
                <w:sz w:val="18"/>
                <w:szCs w:val="18"/>
                <w:lang w:val="de-DE"/>
              </w:rPr>
              <w:t>CGCGGTTATCAAGTCCCTCGGC</w:t>
            </w:r>
          </w:p>
        </w:tc>
      </w:tr>
      <w:tr w:rsidR="00290034" w:rsidRPr="00BB51A0" w:rsidTr="00FD65FA">
        <w:trPr>
          <w:trHeight w:val="300"/>
        </w:trPr>
        <w:tc>
          <w:tcPr>
            <w:tcW w:w="178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i/>
                <w:sz w:val="18"/>
                <w:szCs w:val="18"/>
                <w:lang w:val="de-DE"/>
              </w:rPr>
            </w:pPr>
            <w:r w:rsidRPr="00BB51A0">
              <w:rPr>
                <w:i/>
                <w:sz w:val="18"/>
                <w:szCs w:val="18"/>
                <w:lang w:val="de-DE"/>
              </w:rPr>
              <w:t>ZCF37</w:t>
            </w:r>
          </w:p>
        </w:tc>
        <w:tc>
          <w:tcPr>
            <w:tcW w:w="364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sz w:val="18"/>
                <w:szCs w:val="18"/>
                <w:lang w:val="de-DE"/>
              </w:rPr>
            </w:pPr>
            <w:r w:rsidRPr="00BB51A0">
              <w:rPr>
                <w:sz w:val="18"/>
                <w:szCs w:val="18"/>
                <w:lang w:val="de-DE"/>
              </w:rPr>
              <w:t>ACAGAGGAAATCAAGAACACAG</w:t>
            </w:r>
          </w:p>
        </w:tc>
        <w:tc>
          <w:tcPr>
            <w:tcW w:w="3680" w:type="dxa"/>
            <w:tcBorders>
              <w:top w:val="nil"/>
              <w:left w:val="nil"/>
              <w:bottom w:val="nil"/>
              <w:right w:val="nil"/>
            </w:tcBorders>
            <w:shd w:val="clear" w:color="auto" w:fill="auto"/>
            <w:noWrap/>
            <w:vAlign w:val="center"/>
            <w:hideMark/>
          </w:tcPr>
          <w:p w:rsidR="00290034" w:rsidRPr="00BB51A0" w:rsidRDefault="00290034" w:rsidP="00290034">
            <w:pPr>
              <w:spacing w:line="360" w:lineRule="auto"/>
              <w:jc w:val="both"/>
              <w:rPr>
                <w:sz w:val="18"/>
                <w:szCs w:val="18"/>
                <w:lang w:val="de-DE"/>
              </w:rPr>
            </w:pPr>
            <w:r w:rsidRPr="00BB51A0">
              <w:rPr>
                <w:sz w:val="18"/>
                <w:szCs w:val="18"/>
                <w:lang w:val="de-DE"/>
              </w:rPr>
              <w:t>AACACAAGAACCAAGATCACAG</w:t>
            </w:r>
          </w:p>
        </w:tc>
      </w:tr>
    </w:tbl>
    <w:p w:rsidR="00290034" w:rsidRPr="00290034" w:rsidRDefault="00290034" w:rsidP="00290034">
      <w:pPr>
        <w:spacing w:line="360" w:lineRule="auto"/>
        <w:jc w:val="both"/>
        <w:rPr>
          <w:lang w:val="en-US"/>
        </w:rPr>
      </w:pPr>
      <w:r w:rsidRPr="00290034">
        <w:rPr>
          <w:lang w:val="en-US"/>
        </w:rPr>
        <w:tab/>
      </w:r>
    </w:p>
    <w:p w:rsidR="00290034" w:rsidRPr="00102B90" w:rsidRDefault="00563EC1" w:rsidP="00102B90">
      <w:pPr>
        <w:pStyle w:val="berschrift2"/>
        <w:spacing w:after="240"/>
        <w:rPr>
          <w:color w:val="auto"/>
        </w:rPr>
      </w:pPr>
      <w:bookmarkStart w:id="44" w:name="_Toc435621216"/>
      <w:r>
        <w:rPr>
          <w:color w:val="auto"/>
        </w:rPr>
        <w:t xml:space="preserve">5.3 </w:t>
      </w:r>
      <w:r w:rsidR="00290034" w:rsidRPr="00102B90">
        <w:rPr>
          <w:color w:val="auto"/>
        </w:rPr>
        <w:t xml:space="preserve">Plant </w:t>
      </w:r>
      <w:r w:rsidR="005B31E9">
        <w:rPr>
          <w:color w:val="auto"/>
        </w:rPr>
        <w:t>cultivation</w:t>
      </w:r>
      <w:bookmarkEnd w:id="44"/>
      <w:r w:rsidR="00290034" w:rsidRPr="00102B90">
        <w:rPr>
          <w:color w:val="auto"/>
        </w:rPr>
        <w:t xml:space="preserve"> </w:t>
      </w:r>
    </w:p>
    <w:p w:rsidR="00290034" w:rsidRPr="00290034" w:rsidRDefault="00290034" w:rsidP="00290034">
      <w:pPr>
        <w:spacing w:line="360" w:lineRule="auto"/>
        <w:jc w:val="both"/>
      </w:pPr>
      <w:r w:rsidRPr="00290034">
        <w:rPr>
          <w:i/>
        </w:rPr>
        <w:t>Arabidopsis</w:t>
      </w:r>
      <w:r w:rsidRPr="00290034">
        <w:t xml:space="preserve"> seeds were sterilized in ethanol and sown out on 0</w:t>
      </w:r>
      <w:r w:rsidR="00ED781F">
        <w:t>.5 x MS agar plates (Murashige and</w:t>
      </w:r>
      <w:r w:rsidRPr="00290034">
        <w:t xml:space="preserve"> Skoog, 1962). After 10-14 days the seedlings were transferred to 120 ml pots in soil (</w:t>
      </w:r>
      <w:r w:rsidRPr="00290034">
        <w:rPr>
          <w:lang w:val="en-US"/>
        </w:rPr>
        <w:t>Klasmann-Deilmann, Substrat BP3)</w:t>
      </w:r>
      <w:r w:rsidRPr="00290034">
        <w:t xml:space="preserve"> mixed with vermiculite and sand (eight parts </w:t>
      </w:r>
      <w:r w:rsidRPr="00290034">
        <w:lastRenderedPageBreak/>
        <w:t>soil, one part vermiculite and sand, respectively). The plants were grown in climate chambers with 50-60</w:t>
      </w:r>
      <w:r w:rsidR="005A4F3F">
        <w:t xml:space="preserve"> </w:t>
      </w:r>
      <w:r w:rsidRPr="00290034">
        <w:t>% air humidity and a photoperiod of ten hours light at 22</w:t>
      </w:r>
      <w:r w:rsidR="005A4F3F">
        <w:t xml:space="preserve"> </w:t>
      </w:r>
      <w:r w:rsidRPr="00290034">
        <w:t>°C and 14 hours dark at 18</w:t>
      </w:r>
      <w:r w:rsidR="005A4F3F">
        <w:t xml:space="preserve"> </w:t>
      </w:r>
      <w:r w:rsidRPr="00290034">
        <w:t xml:space="preserve">°C, respectively. For the experiments 5-6 week old, unstressed plants with a uniform appearance were used. For experiments with </w:t>
      </w:r>
      <w:r w:rsidR="008C153D">
        <w:rPr>
          <w:i/>
        </w:rPr>
        <w:t>Hpa,</w:t>
      </w:r>
      <w:r w:rsidRPr="00290034">
        <w:t xml:space="preserve"> seeds were sown out directly on soil and seedlings used after two</w:t>
      </w:r>
      <w:r w:rsidR="008C153D">
        <w:t xml:space="preserve"> to three</w:t>
      </w:r>
      <w:r w:rsidRPr="00290034">
        <w:t xml:space="preserve"> weeks.</w:t>
      </w:r>
    </w:p>
    <w:p w:rsidR="00290034" w:rsidRPr="00102B90" w:rsidRDefault="00563EC1" w:rsidP="00102B90">
      <w:pPr>
        <w:pStyle w:val="berschrift2"/>
        <w:spacing w:after="240"/>
        <w:rPr>
          <w:color w:val="auto"/>
        </w:rPr>
      </w:pPr>
      <w:bookmarkStart w:id="45" w:name="_Toc435621217"/>
      <w:r>
        <w:rPr>
          <w:color w:val="auto"/>
        </w:rPr>
        <w:t xml:space="preserve">5.4 </w:t>
      </w:r>
      <w:r w:rsidR="00290034" w:rsidRPr="00102B90">
        <w:rPr>
          <w:color w:val="auto"/>
        </w:rPr>
        <w:t>Cultivation of pathogens and inoculation of plants</w:t>
      </w:r>
      <w:bookmarkEnd w:id="45"/>
    </w:p>
    <w:p w:rsidR="00290034" w:rsidRPr="00102B90" w:rsidRDefault="00563EC1" w:rsidP="00102B90">
      <w:pPr>
        <w:pStyle w:val="berschrift3"/>
        <w:rPr>
          <w:i/>
          <w:color w:val="auto"/>
        </w:rPr>
      </w:pPr>
      <w:bookmarkStart w:id="46" w:name="_Toc435621218"/>
      <w:r>
        <w:rPr>
          <w:color w:val="auto"/>
        </w:rPr>
        <w:t xml:space="preserve">5.4.1 </w:t>
      </w:r>
      <w:r w:rsidR="00290034" w:rsidRPr="00102B90">
        <w:rPr>
          <w:color w:val="auto"/>
        </w:rPr>
        <w:t xml:space="preserve">Cultivation of </w:t>
      </w:r>
      <w:r w:rsidR="00290034" w:rsidRPr="00102B90">
        <w:rPr>
          <w:i/>
          <w:color w:val="auto"/>
        </w:rPr>
        <w:t>Pseudomonas syringae</w:t>
      </w:r>
      <w:r w:rsidR="00290034" w:rsidRPr="00102B90">
        <w:rPr>
          <w:color w:val="auto"/>
        </w:rPr>
        <w:t xml:space="preserve"> </w:t>
      </w:r>
      <w:proofErr w:type="gramStart"/>
      <w:r w:rsidR="00290034" w:rsidRPr="00102B90">
        <w:rPr>
          <w:color w:val="auto"/>
        </w:rPr>
        <w:t>pv</w:t>
      </w:r>
      <w:proofErr w:type="gramEnd"/>
      <w:r w:rsidR="00290034" w:rsidRPr="00102B90">
        <w:rPr>
          <w:color w:val="auto"/>
        </w:rPr>
        <w:t xml:space="preserve">. </w:t>
      </w:r>
      <w:proofErr w:type="gramStart"/>
      <w:r w:rsidR="00290034" w:rsidRPr="00102B90">
        <w:rPr>
          <w:i/>
          <w:color w:val="auto"/>
        </w:rPr>
        <w:t>maculicola</w:t>
      </w:r>
      <w:bookmarkEnd w:id="46"/>
      <w:proofErr w:type="gramEnd"/>
    </w:p>
    <w:p w:rsidR="00290034" w:rsidRPr="00290034" w:rsidRDefault="00290034" w:rsidP="00290034">
      <w:pPr>
        <w:spacing w:line="360" w:lineRule="auto"/>
        <w:jc w:val="both"/>
      </w:pPr>
      <w:r w:rsidRPr="00290034">
        <w:rPr>
          <w:i/>
        </w:rPr>
        <w:t>Pseudomonas syringae</w:t>
      </w:r>
      <w:r w:rsidRPr="00290034">
        <w:t xml:space="preserve"> </w:t>
      </w:r>
      <w:proofErr w:type="gramStart"/>
      <w:r w:rsidRPr="00290034">
        <w:t>pv</w:t>
      </w:r>
      <w:proofErr w:type="gramEnd"/>
      <w:r w:rsidRPr="00290034">
        <w:t xml:space="preserve">. </w:t>
      </w:r>
      <w:r w:rsidRPr="00290034">
        <w:rPr>
          <w:i/>
        </w:rPr>
        <w:t>maculicola</w:t>
      </w:r>
      <w:r w:rsidRPr="00290034">
        <w:t xml:space="preserve"> ES4326 strains were grown on King´s medium B (King </w:t>
      </w:r>
      <w:r w:rsidRPr="00290034">
        <w:rPr>
          <w:i/>
        </w:rPr>
        <w:t>et al</w:t>
      </w:r>
      <w:r w:rsidRPr="00290034">
        <w:t>., 1954) agar plates containing appropriate con</w:t>
      </w:r>
      <w:r w:rsidR="005B31E9">
        <w:t>centrations of antibiotics (50 µ</w:t>
      </w:r>
      <w:r w:rsidRPr="00290034">
        <w:t>g ml</w:t>
      </w:r>
      <w:r w:rsidRPr="00290034">
        <w:rPr>
          <w:vertAlign w:val="superscript"/>
        </w:rPr>
        <w:t>-1</w:t>
      </w:r>
      <w:r w:rsidR="008C153D">
        <w:t xml:space="preserve"> r</w:t>
      </w:r>
      <w:r w:rsidRPr="00290034">
        <w:t xml:space="preserve">ifampicin for the virulent </w:t>
      </w:r>
      <w:r w:rsidRPr="00290034">
        <w:rPr>
          <w:i/>
        </w:rPr>
        <w:t>Psm</w:t>
      </w:r>
      <w:r w:rsidR="005B31E9">
        <w:t xml:space="preserve"> strain; 50 µ</w:t>
      </w:r>
      <w:r w:rsidRPr="00290034">
        <w:t>g ml</w:t>
      </w:r>
      <w:r w:rsidRPr="00290034">
        <w:rPr>
          <w:vertAlign w:val="superscript"/>
        </w:rPr>
        <w:t>-1</w:t>
      </w:r>
      <w:r w:rsidR="008C153D">
        <w:t xml:space="preserve"> r</w:t>
      </w:r>
      <w:r w:rsidR="005B31E9">
        <w:t>ifampicin and 15 µ</w:t>
      </w:r>
      <w:r w:rsidRPr="00290034">
        <w:t>g ml</w:t>
      </w:r>
      <w:r w:rsidRPr="00290034">
        <w:rPr>
          <w:vertAlign w:val="superscript"/>
        </w:rPr>
        <w:t>-1</w:t>
      </w:r>
      <w:r w:rsidR="008C153D">
        <w:t xml:space="preserve"> t</w:t>
      </w:r>
      <w:r w:rsidRPr="00290034">
        <w:t xml:space="preserve">etracycline for the avirulent strain </w:t>
      </w:r>
      <w:r w:rsidRPr="00290034">
        <w:rPr>
          <w:i/>
        </w:rPr>
        <w:t>Psm avrRpm1</w:t>
      </w:r>
      <w:r w:rsidR="005B31E9">
        <w:t>; and 50 µ</w:t>
      </w:r>
      <w:r w:rsidRPr="00290034">
        <w:t>g ml</w:t>
      </w:r>
      <w:r w:rsidRPr="00290034">
        <w:rPr>
          <w:vertAlign w:val="superscript"/>
        </w:rPr>
        <w:t>-1</w:t>
      </w:r>
      <w:r w:rsidR="008C153D">
        <w:t xml:space="preserve"> r</w:t>
      </w:r>
      <w:r w:rsidR="005B31E9">
        <w:t>ifampicin and 25 µ</w:t>
      </w:r>
      <w:r w:rsidRPr="00290034">
        <w:t>g ml</w:t>
      </w:r>
      <w:r w:rsidRPr="00290034">
        <w:rPr>
          <w:vertAlign w:val="superscript"/>
        </w:rPr>
        <w:t>-1</w:t>
      </w:r>
      <w:r w:rsidR="008C153D">
        <w:t xml:space="preserve"> k</w:t>
      </w:r>
      <w:r w:rsidRPr="00290034">
        <w:t xml:space="preserve">anamycin for the </w:t>
      </w:r>
      <w:r w:rsidRPr="00290034">
        <w:rPr>
          <w:i/>
        </w:rPr>
        <w:t>Psm lux</w:t>
      </w:r>
      <w:r w:rsidRPr="00290034">
        <w:t xml:space="preserve"> strain [Fan </w:t>
      </w:r>
      <w:r w:rsidRPr="00290034">
        <w:rPr>
          <w:i/>
        </w:rPr>
        <w:t>et al</w:t>
      </w:r>
      <w:r w:rsidRPr="00290034">
        <w:t>., 2008]) for 2 days at 28</w:t>
      </w:r>
      <w:r w:rsidR="005A4F3F">
        <w:t xml:space="preserve"> </w:t>
      </w:r>
      <w:r w:rsidRPr="00290034">
        <w:t>°C.</w:t>
      </w:r>
    </w:p>
    <w:p w:rsidR="00290034" w:rsidRPr="00102B90" w:rsidRDefault="00563EC1" w:rsidP="00102B90">
      <w:pPr>
        <w:pStyle w:val="berschrift3"/>
        <w:rPr>
          <w:i/>
          <w:color w:val="auto"/>
        </w:rPr>
      </w:pPr>
      <w:bookmarkStart w:id="47" w:name="_Toc435621219"/>
      <w:r>
        <w:rPr>
          <w:color w:val="auto"/>
        </w:rPr>
        <w:t xml:space="preserve">5.4.2 </w:t>
      </w:r>
      <w:r w:rsidR="00290034" w:rsidRPr="00102B90">
        <w:rPr>
          <w:color w:val="auto"/>
        </w:rPr>
        <w:t xml:space="preserve">Inoculation of </w:t>
      </w:r>
      <w:r w:rsidR="00290034" w:rsidRPr="00102B90">
        <w:rPr>
          <w:i/>
          <w:color w:val="auto"/>
        </w:rPr>
        <w:t>A</w:t>
      </w:r>
      <w:r w:rsidR="008C153D">
        <w:rPr>
          <w:i/>
          <w:color w:val="auto"/>
        </w:rPr>
        <w:t>.</w:t>
      </w:r>
      <w:r w:rsidR="00290034" w:rsidRPr="00102B90">
        <w:rPr>
          <w:i/>
          <w:color w:val="auto"/>
        </w:rPr>
        <w:t xml:space="preserve"> thaliana</w:t>
      </w:r>
      <w:r w:rsidR="00290034" w:rsidRPr="00102B90">
        <w:rPr>
          <w:color w:val="auto"/>
        </w:rPr>
        <w:t xml:space="preserve"> plants with </w:t>
      </w:r>
      <w:r w:rsidR="00290034" w:rsidRPr="00102B90">
        <w:rPr>
          <w:i/>
          <w:color w:val="auto"/>
        </w:rPr>
        <w:t>P</w:t>
      </w:r>
      <w:r w:rsidR="008C153D">
        <w:rPr>
          <w:i/>
          <w:color w:val="auto"/>
        </w:rPr>
        <w:t xml:space="preserve">. syringae </w:t>
      </w:r>
      <w:proofErr w:type="gramStart"/>
      <w:r w:rsidR="008C153D" w:rsidRPr="008C153D">
        <w:rPr>
          <w:color w:val="auto"/>
        </w:rPr>
        <w:t>pv</w:t>
      </w:r>
      <w:proofErr w:type="gramEnd"/>
      <w:r w:rsidR="008C153D">
        <w:rPr>
          <w:i/>
          <w:color w:val="auto"/>
        </w:rPr>
        <w:t xml:space="preserve">. </w:t>
      </w:r>
      <w:proofErr w:type="gramStart"/>
      <w:r w:rsidR="008C153D">
        <w:rPr>
          <w:i/>
          <w:color w:val="auto"/>
        </w:rPr>
        <w:t>maculicola</w:t>
      </w:r>
      <w:bookmarkEnd w:id="47"/>
      <w:proofErr w:type="gramEnd"/>
    </w:p>
    <w:p w:rsidR="00290034" w:rsidRPr="00290034" w:rsidRDefault="00290034" w:rsidP="00290034">
      <w:pPr>
        <w:spacing w:line="360" w:lineRule="auto"/>
        <w:jc w:val="both"/>
      </w:pPr>
      <w:r w:rsidRPr="00290034">
        <w:t xml:space="preserve">For inoculation of leaves with </w:t>
      </w:r>
      <w:r w:rsidR="005B31E9">
        <w:rPr>
          <w:i/>
        </w:rPr>
        <w:t>Psm</w:t>
      </w:r>
      <w:r w:rsidRPr="00290034">
        <w:t>, the bacteria were grown over night in 2-3 ml liquid King´s medium B with the appropriate amount of antibiotics at 28</w:t>
      </w:r>
      <w:r w:rsidR="005A4F3F">
        <w:t xml:space="preserve"> </w:t>
      </w:r>
      <w:r w:rsidRPr="00290034">
        <w:t>°C and 240 rpm. The log phase culture was washed three times with 10 mM MgCl</w:t>
      </w:r>
      <w:r w:rsidRPr="00290034">
        <w:rPr>
          <w:vertAlign w:val="subscript"/>
        </w:rPr>
        <w:t xml:space="preserve">2 </w:t>
      </w:r>
      <w:r w:rsidRPr="00290034">
        <w:t>and diluted to the desired OD</w:t>
      </w:r>
      <w:r w:rsidRPr="00290034">
        <w:rPr>
          <w:vertAlign w:val="subscript"/>
        </w:rPr>
        <w:t>600</w:t>
      </w:r>
      <w:r w:rsidRPr="00290034">
        <w:t xml:space="preserve">. The bacterial solution was pressure infiltrated into the abaxial side of </w:t>
      </w:r>
      <w:r w:rsidRPr="00290034">
        <w:rPr>
          <w:i/>
        </w:rPr>
        <w:t>Arabidopsis</w:t>
      </w:r>
      <w:r w:rsidRPr="00290034">
        <w:t xml:space="preserve"> leaves using a 1 ml syringe without a needle; infiltration of 10 mM MgCl</w:t>
      </w:r>
      <w:r w:rsidRPr="00290034">
        <w:rPr>
          <w:vertAlign w:val="subscript"/>
        </w:rPr>
        <w:t>2</w:t>
      </w:r>
      <w:r w:rsidRPr="00290034">
        <w:t xml:space="preserve"> was used as a control treatment.</w:t>
      </w:r>
    </w:p>
    <w:p w:rsidR="00290034" w:rsidRPr="00102B90" w:rsidRDefault="00563EC1" w:rsidP="00102B90">
      <w:pPr>
        <w:pStyle w:val="berschrift3"/>
        <w:rPr>
          <w:color w:val="auto"/>
        </w:rPr>
      </w:pPr>
      <w:bookmarkStart w:id="48" w:name="_Toc435621220"/>
      <w:r>
        <w:rPr>
          <w:color w:val="auto"/>
        </w:rPr>
        <w:t xml:space="preserve">5.4.3 </w:t>
      </w:r>
      <w:r w:rsidR="00290034" w:rsidRPr="00102B90">
        <w:rPr>
          <w:color w:val="auto"/>
        </w:rPr>
        <w:t xml:space="preserve">Cultivation of </w:t>
      </w:r>
      <w:r w:rsidR="00290034" w:rsidRPr="00102B90">
        <w:rPr>
          <w:i/>
          <w:color w:val="auto"/>
        </w:rPr>
        <w:t>Botrytis cinerea</w:t>
      </w:r>
      <w:bookmarkEnd w:id="48"/>
    </w:p>
    <w:p w:rsidR="00290034" w:rsidRPr="00290034" w:rsidRDefault="00290034" w:rsidP="00290034">
      <w:pPr>
        <w:spacing w:line="360" w:lineRule="auto"/>
        <w:jc w:val="both"/>
      </w:pPr>
      <w:r w:rsidRPr="00290034">
        <w:rPr>
          <w:i/>
        </w:rPr>
        <w:t>B</w:t>
      </w:r>
      <w:r w:rsidR="008C153D">
        <w:rPr>
          <w:i/>
        </w:rPr>
        <w:t>.</w:t>
      </w:r>
      <w:r w:rsidRPr="00290034">
        <w:rPr>
          <w:i/>
        </w:rPr>
        <w:t xml:space="preserve"> cinerea</w:t>
      </w:r>
      <w:r w:rsidR="003B4F76">
        <w:t xml:space="preserve"> B05.</w:t>
      </w:r>
      <w:r w:rsidR="00ED781F">
        <w:t>10 (</w:t>
      </w:r>
      <w:r w:rsidRPr="00290034">
        <w:t>provided by Dr P. Tudszynski, University of Münster) was grown on sabour and maltose agar plates (</w:t>
      </w:r>
      <w:r w:rsidR="005B31E9">
        <w:t xml:space="preserve">S &amp; M plates; </w:t>
      </w:r>
      <w:r w:rsidRPr="00290034">
        <w:t>1</w:t>
      </w:r>
      <w:r w:rsidR="005A4F3F">
        <w:t xml:space="preserve"> </w:t>
      </w:r>
      <w:r w:rsidRPr="00290034">
        <w:t>% [w/v] peptone; 4</w:t>
      </w:r>
      <w:r w:rsidR="005A4F3F">
        <w:t xml:space="preserve"> </w:t>
      </w:r>
      <w:r w:rsidRPr="00290034">
        <w:t>% [w/v] maltose; 1.5-2</w:t>
      </w:r>
      <w:r w:rsidR="005A4F3F">
        <w:t xml:space="preserve"> </w:t>
      </w:r>
      <w:r w:rsidRPr="00290034">
        <w:t>% [w/v] agar) for 10-14 days at 22</w:t>
      </w:r>
      <w:r w:rsidR="005A4F3F">
        <w:t xml:space="preserve"> </w:t>
      </w:r>
      <w:r w:rsidRPr="00290034">
        <w:t>°C and a photoperiod of 10 hours light and 14 hours darkness, respectively</w:t>
      </w:r>
      <w:r w:rsidR="004612C8">
        <w:t xml:space="preserve"> (modified from Ferrari </w:t>
      </w:r>
      <w:r w:rsidR="004612C8" w:rsidRPr="004612C8">
        <w:rPr>
          <w:i/>
        </w:rPr>
        <w:t>et al</w:t>
      </w:r>
      <w:r w:rsidR="004612C8">
        <w:t>., 2003)</w:t>
      </w:r>
      <w:r w:rsidRPr="00290034">
        <w:t xml:space="preserve">. The spores were harvested by washing the spores off the plate with 10-20 ml of distilled water and filtering the solution through 1 layer of Miracloth (Calbiochem). </w:t>
      </w:r>
    </w:p>
    <w:p w:rsidR="00290034" w:rsidRPr="00102B90" w:rsidRDefault="00563EC1" w:rsidP="00102B90">
      <w:pPr>
        <w:pStyle w:val="berschrift3"/>
        <w:rPr>
          <w:i/>
          <w:color w:val="auto"/>
        </w:rPr>
      </w:pPr>
      <w:bookmarkStart w:id="49" w:name="_Toc435621221"/>
      <w:r>
        <w:rPr>
          <w:color w:val="auto"/>
        </w:rPr>
        <w:t xml:space="preserve">5.4.4 </w:t>
      </w:r>
      <w:r w:rsidR="00290034" w:rsidRPr="00102B90">
        <w:rPr>
          <w:color w:val="auto"/>
        </w:rPr>
        <w:t xml:space="preserve">Inoculation of </w:t>
      </w:r>
      <w:r w:rsidR="00290034" w:rsidRPr="00102B90">
        <w:rPr>
          <w:i/>
          <w:color w:val="auto"/>
        </w:rPr>
        <w:t>A</w:t>
      </w:r>
      <w:r w:rsidR="008C153D">
        <w:rPr>
          <w:i/>
          <w:color w:val="auto"/>
        </w:rPr>
        <w:t>.</w:t>
      </w:r>
      <w:r w:rsidR="00290034" w:rsidRPr="00102B90">
        <w:rPr>
          <w:i/>
          <w:color w:val="auto"/>
        </w:rPr>
        <w:t xml:space="preserve"> thaliana</w:t>
      </w:r>
      <w:r w:rsidR="00290034" w:rsidRPr="00102B90">
        <w:rPr>
          <w:color w:val="auto"/>
        </w:rPr>
        <w:t xml:space="preserve"> plants with </w:t>
      </w:r>
      <w:r w:rsidR="00290034" w:rsidRPr="00102B90">
        <w:rPr>
          <w:i/>
          <w:color w:val="auto"/>
        </w:rPr>
        <w:t>B</w:t>
      </w:r>
      <w:r w:rsidR="008C153D">
        <w:rPr>
          <w:i/>
          <w:color w:val="auto"/>
        </w:rPr>
        <w:t>.</w:t>
      </w:r>
      <w:r w:rsidR="00290034" w:rsidRPr="00102B90">
        <w:rPr>
          <w:i/>
          <w:color w:val="auto"/>
        </w:rPr>
        <w:t xml:space="preserve"> cinerea</w:t>
      </w:r>
      <w:bookmarkEnd w:id="49"/>
    </w:p>
    <w:p w:rsidR="00290034" w:rsidRPr="00290034" w:rsidRDefault="00290034" w:rsidP="00290034">
      <w:pPr>
        <w:spacing w:line="360" w:lineRule="auto"/>
        <w:jc w:val="both"/>
      </w:pPr>
      <w:r w:rsidRPr="00290034">
        <w:rPr>
          <w:i/>
        </w:rPr>
        <w:t>B.</w:t>
      </w:r>
      <w:r w:rsidR="005B31E9">
        <w:rPr>
          <w:i/>
        </w:rPr>
        <w:t xml:space="preserve"> </w:t>
      </w:r>
      <w:r w:rsidRPr="00290034">
        <w:rPr>
          <w:i/>
        </w:rPr>
        <w:t>cinerea</w:t>
      </w:r>
      <w:r w:rsidRPr="00290034">
        <w:t xml:space="preserve"> spores were germinated in 4 % </w:t>
      </w:r>
      <w:r w:rsidR="005B31E9">
        <w:t>S &amp; M</w:t>
      </w:r>
      <w:r w:rsidRPr="00290034">
        <w:t xml:space="preserve"> medium (1</w:t>
      </w:r>
      <w:r w:rsidR="005A4F3F">
        <w:t xml:space="preserve"> </w:t>
      </w:r>
      <w:r w:rsidRPr="00290034">
        <w:t>% [w/v] peptone; 4</w:t>
      </w:r>
      <w:r w:rsidR="005A4F3F">
        <w:t xml:space="preserve"> </w:t>
      </w:r>
      <w:r w:rsidRPr="00290034">
        <w:t>% [w/v] maltose) for 1.5 hours prior to inoculation. Four to six 3 µl droplets of 5</w:t>
      </w:r>
      <w:r w:rsidR="005B31E9">
        <w:t xml:space="preserve"> </w:t>
      </w:r>
      <w:r w:rsidRPr="00290034">
        <w:t>x</w:t>
      </w:r>
      <w:r w:rsidR="005B31E9">
        <w:t xml:space="preserve"> </w:t>
      </w:r>
      <w:r w:rsidRPr="00290034">
        <w:t>10</w:t>
      </w:r>
      <w:r w:rsidRPr="00290034">
        <w:rPr>
          <w:vertAlign w:val="superscript"/>
        </w:rPr>
        <w:t>4</w:t>
      </w:r>
      <w:r w:rsidRPr="00290034">
        <w:t xml:space="preserve"> </w:t>
      </w:r>
      <w:proofErr w:type="gramStart"/>
      <w:r w:rsidRPr="00290034">
        <w:t>spores</w:t>
      </w:r>
      <w:proofErr w:type="gramEnd"/>
      <w:r w:rsidRPr="00290034">
        <w:t xml:space="preserve"> ml</w:t>
      </w:r>
      <w:r w:rsidRPr="00290034">
        <w:rPr>
          <w:vertAlign w:val="superscript"/>
        </w:rPr>
        <w:t>-1</w:t>
      </w:r>
      <w:r w:rsidRPr="00290034">
        <w:t xml:space="preserve"> were put on both sides of the middle vein on the </w:t>
      </w:r>
      <w:r w:rsidR="005B31E9">
        <w:t>adaxial</w:t>
      </w:r>
      <w:r w:rsidRPr="00290034">
        <w:t xml:space="preserve"> side of </w:t>
      </w:r>
      <w:r w:rsidRPr="00290034">
        <w:rPr>
          <w:i/>
        </w:rPr>
        <w:t>Arabidopsis</w:t>
      </w:r>
      <w:r w:rsidRPr="00290034">
        <w:t xml:space="preserve"> leaves and a transparent lid </w:t>
      </w:r>
      <w:r w:rsidR="008C153D">
        <w:t xml:space="preserve">was </w:t>
      </w:r>
      <w:r w:rsidRPr="00290034">
        <w:t>put on the tray and taped shut to ensure high air humidity. After three days the leaves were harvested for metabolite analysis, me</w:t>
      </w:r>
      <w:r w:rsidR="00907B49">
        <w:t>asurement of lesion size and</w:t>
      </w:r>
      <w:r w:rsidRPr="00290034">
        <w:t xml:space="preserve"> scoring of disease symptoms; for time course experimen</w:t>
      </w:r>
      <w:r w:rsidR="00907B49">
        <w:t>ts, leaves were harvested at</w:t>
      </w:r>
      <w:r w:rsidRPr="00290034">
        <w:t xml:space="preserve"> given time points. </w:t>
      </w:r>
    </w:p>
    <w:p w:rsidR="00290034" w:rsidRPr="00102B90" w:rsidRDefault="00563EC1" w:rsidP="00102B90">
      <w:pPr>
        <w:pStyle w:val="berschrift3"/>
        <w:rPr>
          <w:color w:val="auto"/>
        </w:rPr>
      </w:pPr>
      <w:bookmarkStart w:id="50" w:name="_Toc435621222"/>
      <w:r>
        <w:rPr>
          <w:color w:val="auto"/>
        </w:rPr>
        <w:lastRenderedPageBreak/>
        <w:t xml:space="preserve">5.4.5 </w:t>
      </w:r>
      <w:r w:rsidR="00290034" w:rsidRPr="00102B90">
        <w:rPr>
          <w:color w:val="auto"/>
        </w:rPr>
        <w:t xml:space="preserve">Cultivation of </w:t>
      </w:r>
      <w:r w:rsidR="00290034" w:rsidRPr="00102B90">
        <w:rPr>
          <w:i/>
          <w:color w:val="auto"/>
        </w:rPr>
        <w:t>Hyaloperonospora arabidopsidis</w:t>
      </w:r>
      <w:bookmarkEnd w:id="50"/>
    </w:p>
    <w:p w:rsidR="00290034" w:rsidRPr="00290034" w:rsidRDefault="00290034" w:rsidP="00290034">
      <w:pPr>
        <w:spacing w:line="360" w:lineRule="auto"/>
        <w:jc w:val="both"/>
      </w:pPr>
      <w:r w:rsidRPr="00290034">
        <w:t xml:space="preserve">Spores of </w:t>
      </w:r>
      <w:r w:rsidR="005B31E9">
        <w:rPr>
          <w:i/>
        </w:rPr>
        <w:t>Hpa</w:t>
      </w:r>
      <w:r w:rsidRPr="00290034">
        <w:t xml:space="preserve"> isolates Noco2 </w:t>
      </w:r>
      <w:r w:rsidR="00ED781F">
        <w:t>(provided by Dr B.</w:t>
      </w:r>
      <w:r w:rsidR="005B31E9">
        <w:t xml:space="preserve"> </w:t>
      </w:r>
      <w:r w:rsidR="00ED781F">
        <w:t>Mauch-Mani, Université de Ne</w:t>
      </w:r>
      <w:r w:rsidR="00ED781F">
        <w:rPr>
          <w:rFonts w:cstheme="minorHAnsi"/>
        </w:rPr>
        <w:t xml:space="preserve">uchâtel) </w:t>
      </w:r>
      <w:r w:rsidRPr="00290034">
        <w:t>and Cala2</w:t>
      </w:r>
      <w:r w:rsidR="008F6EBB">
        <w:t xml:space="preserve"> (provided by Dr T. Griebel, Dr J. Parker group, MPIZ Cologne)</w:t>
      </w:r>
      <w:r w:rsidRPr="00290034">
        <w:t xml:space="preserve"> were propagated every week on </w:t>
      </w:r>
      <w:r w:rsidRPr="00290034">
        <w:rPr>
          <w:i/>
        </w:rPr>
        <w:t>A</w:t>
      </w:r>
      <w:r w:rsidR="005B31E9">
        <w:rPr>
          <w:i/>
        </w:rPr>
        <w:t>.</w:t>
      </w:r>
      <w:r w:rsidR="006E4465">
        <w:rPr>
          <w:i/>
        </w:rPr>
        <w:t xml:space="preserve"> thaliana</w:t>
      </w:r>
      <w:r w:rsidRPr="00290034">
        <w:t xml:space="preserve"> ecotype</w:t>
      </w:r>
      <w:r w:rsidR="006E4465">
        <w:t>s</w:t>
      </w:r>
      <w:r w:rsidRPr="00290034">
        <w:t xml:space="preserve"> Col-0 and Ler-0, respectively. Conidiospores of </w:t>
      </w:r>
      <w:r w:rsidR="005B31E9">
        <w:rPr>
          <w:i/>
        </w:rPr>
        <w:t>Hpa</w:t>
      </w:r>
      <w:r w:rsidRPr="00290034">
        <w:t xml:space="preserve"> were harvested from infected leaves by cutting the </w:t>
      </w:r>
      <w:r w:rsidR="008C153D">
        <w:t>plants</w:t>
      </w:r>
      <w:r w:rsidRPr="00290034">
        <w:t xml:space="preserve"> above soil level and placing them into a 50 ml Falcon tube filled with 25-30 ml of distilled water. The spores were loosened</w:t>
      </w:r>
      <w:r w:rsidR="009E28F7">
        <w:t xml:space="preserve"> from the leaves by strongly sh</w:t>
      </w:r>
      <w:r w:rsidRPr="00290034">
        <w:t>akin</w:t>
      </w:r>
      <w:r w:rsidR="006E4465">
        <w:t>g the tube for a short time</w:t>
      </w:r>
      <w:r w:rsidR="005B31E9">
        <w:t>. T</w:t>
      </w:r>
      <w:r w:rsidRPr="00290034">
        <w:t>he spore solution was filtered through Miracloth (Calbiochem) into a clean 50 ml Falcon tube and spores were counted using a Neubauer Improved Haemocytometer. The spore concentration was adjusted to 4 x 10</w:t>
      </w:r>
      <w:r w:rsidRPr="00290034">
        <w:rPr>
          <w:vertAlign w:val="superscript"/>
        </w:rPr>
        <w:t>4</w:t>
      </w:r>
      <w:r w:rsidRPr="00290034">
        <w:t xml:space="preserve"> </w:t>
      </w:r>
      <w:proofErr w:type="gramStart"/>
      <w:r w:rsidRPr="00290034">
        <w:t>spores</w:t>
      </w:r>
      <w:proofErr w:type="gramEnd"/>
      <w:r w:rsidRPr="00290034">
        <w:t xml:space="preserve"> ml</w:t>
      </w:r>
      <w:r w:rsidRPr="00290034">
        <w:rPr>
          <w:vertAlign w:val="superscript"/>
        </w:rPr>
        <w:t>-1</w:t>
      </w:r>
      <w:r w:rsidRPr="00290034">
        <w:t xml:space="preserve"> for optimal sporulation and sprayed onto </w:t>
      </w:r>
      <w:r w:rsidR="006E4465">
        <w:t>2-</w:t>
      </w:r>
      <w:r w:rsidRPr="00290034">
        <w:t xml:space="preserve">3 week old </w:t>
      </w:r>
      <w:r w:rsidRPr="00290034">
        <w:rPr>
          <w:i/>
        </w:rPr>
        <w:t>A</w:t>
      </w:r>
      <w:r w:rsidR="005B31E9">
        <w:rPr>
          <w:i/>
        </w:rPr>
        <w:t>.</w:t>
      </w:r>
      <w:r w:rsidRPr="00290034">
        <w:rPr>
          <w:i/>
        </w:rPr>
        <w:t xml:space="preserve"> thaliana</w:t>
      </w:r>
      <w:r w:rsidRPr="00290034">
        <w:t xml:space="preserve"> seedlings. The seedlings were put under a water-misted transparent lid, which was taped shut to ensure high air humidity. </w:t>
      </w:r>
    </w:p>
    <w:p w:rsidR="00290034" w:rsidRPr="00102B90" w:rsidRDefault="00563EC1" w:rsidP="00102B90">
      <w:pPr>
        <w:pStyle w:val="berschrift3"/>
        <w:rPr>
          <w:color w:val="auto"/>
        </w:rPr>
      </w:pPr>
      <w:bookmarkStart w:id="51" w:name="_Toc435621223"/>
      <w:r>
        <w:rPr>
          <w:color w:val="auto"/>
        </w:rPr>
        <w:t xml:space="preserve">5.4.6 </w:t>
      </w:r>
      <w:r w:rsidR="00290034" w:rsidRPr="00102B90">
        <w:rPr>
          <w:color w:val="auto"/>
        </w:rPr>
        <w:t xml:space="preserve">Inoculation of </w:t>
      </w:r>
      <w:r w:rsidR="00290034" w:rsidRPr="00102B90">
        <w:rPr>
          <w:i/>
          <w:color w:val="auto"/>
        </w:rPr>
        <w:t>A</w:t>
      </w:r>
      <w:r w:rsidR="008C153D">
        <w:rPr>
          <w:i/>
          <w:color w:val="auto"/>
        </w:rPr>
        <w:t>.</w:t>
      </w:r>
      <w:r w:rsidR="00290034" w:rsidRPr="00102B90">
        <w:rPr>
          <w:i/>
          <w:color w:val="auto"/>
        </w:rPr>
        <w:t xml:space="preserve"> thaliana</w:t>
      </w:r>
      <w:r w:rsidR="00290034" w:rsidRPr="00102B90">
        <w:rPr>
          <w:color w:val="auto"/>
        </w:rPr>
        <w:t xml:space="preserve"> plants with </w:t>
      </w:r>
      <w:r w:rsidR="00290034" w:rsidRPr="00102B90">
        <w:rPr>
          <w:i/>
          <w:color w:val="auto"/>
        </w:rPr>
        <w:t>H</w:t>
      </w:r>
      <w:r w:rsidR="008C153D">
        <w:rPr>
          <w:i/>
          <w:color w:val="auto"/>
        </w:rPr>
        <w:t>.</w:t>
      </w:r>
      <w:r w:rsidR="00290034" w:rsidRPr="00102B90">
        <w:rPr>
          <w:i/>
          <w:color w:val="auto"/>
        </w:rPr>
        <w:t xml:space="preserve"> arabidopsidis</w:t>
      </w:r>
      <w:bookmarkEnd w:id="51"/>
    </w:p>
    <w:p w:rsidR="00290034" w:rsidRPr="00290034" w:rsidRDefault="005B31E9" w:rsidP="00290034">
      <w:pPr>
        <w:spacing w:line="360" w:lineRule="auto"/>
        <w:jc w:val="both"/>
      </w:pPr>
      <w:r>
        <w:rPr>
          <w:i/>
        </w:rPr>
        <w:t>Hpa</w:t>
      </w:r>
      <w:r w:rsidR="00290034" w:rsidRPr="00290034">
        <w:t xml:space="preserve"> spores were harvested as described above and sprayed onto either two to three week old or five to six week old plants, respectively. The plants were put under a transparent lid and leaves were harvested after 7 days for metabolite analyses, as well as scoring of disease symptoms; for time course experiments leaves were harvested at the indicated time points.</w:t>
      </w:r>
    </w:p>
    <w:p w:rsidR="00290034" w:rsidRPr="00102B90" w:rsidRDefault="00563EC1" w:rsidP="00102B90">
      <w:pPr>
        <w:pStyle w:val="berschrift3"/>
        <w:rPr>
          <w:color w:val="auto"/>
        </w:rPr>
      </w:pPr>
      <w:bookmarkStart w:id="52" w:name="_Toc435621224"/>
      <w:r>
        <w:rPr>
          <w:color w:val="auto"/>
        </w:rPr>
        <w:t xml:space="preserve">5.4.7 </w:t>
      </w:r>
      <w:r w:rsidR="00290034" w:rsidRPr="00102B90">
        <w:rPr>
          <w:color w:val="auto"/>
        </w:rPr>
        <w:t xml:space="preserve">Cultivation and inoculation of </w:t>
      </w:r>
      <w:r w:rsidR="00290034" w:rsidRPr="00102B90">
        <w:rPr>
          <w:i/>
          <w:color w:val="auto"/>
        </w:rPr>
        <w:t>Golovinomyces orontii</w:t>
      </w:r>
      <w:bookmarkEnd w:id="52"/>
    </w:p>
    <w:p w:rsidR="00290034" w:rsidRPr="00290034" w:rsidRDefault="00290034" w:rsidP="00290034">
      <w:pPr>
        <w:spacing w:line="360" w:lineRule="auto"/>
        <w:jc w:val="both"/>
      </w:pPr>
      <w:r w:rsidRPr="00290034">
        <w:t>The powdery mildew</w:t>
      </w:r>
      <w:r w:rsidR="005F3B6E">
        <w:t xml:space="preserve"> strain</w:t>
      </w:r>
      <w:r w:rsidRPr="00290034">
        <w:t xml:space="preserve"> </w:t>
      </w:r>
      <w:r w:rsidR="006E4465">
        <w:rPr>
          <w:i/>
        </w:rPr>
        <w:t>G</w:t>
      </w:r>
      <w:r w:rsidR="008C153D">
        <w:rPr>
          <w:i/>
        </w:rPr>
        <w:t>.</w:t>
      </w:r>
      <w:r w:rsidR="006E4465">
        <w:rPr>
          <w:i/>
        </w:rPr>
        <w:t xml:space="preserve"> </w:t>
      </w:r>
      <w:r w:rsidRPr="00290034">
        <w:rPr>
          <w:i/>
        </w:rPr>
        <w:t>orontii</w:t>
      </w:r>
      <w:r w:rsidRPr="00290034">
        <w:t xml:space="preserve"> </w:t>
      </w:r>
      <w:r w:rsidR="00DA4D0F">
        <w:t xml:space="preserve">MGH (Spanu </w:t>
      </w:r>
      <w:r w:rsidR="00DA4D0F" w:rsidRPr="00DA4D0F">
        <w:rPr>
          <w:i/>
        </w:rPr>
        <w:t>et al</w:t>
      </w:r>
      <w:r w:rsidR="00DA4D0F">
        <w:t xml:space="preserve">., 2010) </w:t>
      </w:r>
      <w:r w:rsidRPr="00290034">
        <w:t xml:space="preserve">was grown on 5-week old </w:t>
      </w:r>
      <w:r w:rsidRPr="00290034">
        <w:rPr>
          <w:i/>
        </w:rPr>
        <w:t>A</w:t>
      </w:r>
      <w:r w:rsidR="005B31E9">
        <w:rPr>
          <w:i/>
        </w:rPr>
        <w:t>.</w:t>
      </w:r>
      <w:r w:rsidRPr="00290034">
        <w:rPr>
          <w:i/>
        </w:rPr>
        <w:t xml:space="preserve"> thaliana</w:t>
      </w:r>
      <w:r w:rsidRPr="00290034">
        <w:t xml:space="preserve"> plants. For infection of </w:t>
      </w:r>
      <w:r w:rsidR="005B31E9">
        <w:t xml:space="preserve">plants, </w:t>
      </w:r>
      <w:r w:rsidRPr="00290034">
        <w:t xml:space="preserve">spores of </w:t>
      </w:r>
      <w:r w:rsidRPr="00290034">
        <w:rPr>
          <w:i/>
        </w:rPr>
        <w:t>G.</w:t>
      </w:r>
      <w:r w:rsidR="005B31E9">
        <w:rPr>
          <w:i/>
        </w:rPr>
        <w:t xml:space="preserve"> </w:t>
      </w:r>
      <w:r w:rsidRPr="00290034">
        <w:rPr>
          <w:i/>
        </w:rPr>
        <w:t>orontii</w:t>
      </w:r>
      <w:r w:rsidRPr="00290034">
        <w:t xml:space="preserve"> were brushed off the leaves of </w:t>
      </w:r>
      <w:r w:rsidR="005B31E9">
        <w:t>heavily</w:t>
      </w:r>
      <w:r w:rsidR="009E28F7">
        <w:t xml:space="preserve"> infected plants onto</w:t>
      </w:r>
      <w:r w:rsidRPr="00290034">
        <w:t xml:space="preserve"> new plants. The leaves were harvested at given time points for </w:t>
      </w:r>
      <w:r w:rsidR="006E4465">
        <w:t>metabolite analysis</w:t>
      </w:r>
      <w:r w:rsidRPr="00290034">
        <w:t xml:space="preserve"> and scoring of disease symptoms.</w:t>
      </w:r>
    </w:p>
    <w:p w:rsidR="00290034" w:rsidRPr="00102B90" w:rsidRDefault="00563EC1" w:rsidP="00102B90">
      <w:pPr>
        <w:pStyle w:val="berschrift2"/>
        <w:spacing w:after="240"/>
        <w:rPr>
          <w:color w:val="auto"/>
        </w:rPr>
      </w:pPr>
      <w:bookmarkStart w:id="53" w:name="_Toc435621225"/>
      <w:r>
        <w:rPr>
          <w:color w:val="auto"/>
        </w:rPr>
        <w:t xml:space="preserve">5.5 </w:t>
      </w:r>
      <w:r w:rsidR="00290034" w:rsidRPr="00102B90">
        <w:rPr>
          <w:color w:val="auto"/>
        </w:rPr>
        <w:t>Assessment of systemic acquired resistance</w:t>
      </w:r>
      <w:bookmarkEnd w:id="53"/>
    </w:p>
    <w:p w:rsidR="00290034" w:rsidRPr="006E4465" w:rsidRDefault="00290034" w:rsidP="00290034">
      <w:pPr>
        <w:spacing w:line="360" w:lineRule="auto"/>
        <w:jc w:val="both"/>
      </w:pPr>
      <w:r w:rsidRPr="00290034">
        <w:t xml:space="preserve">To assess </w:t>
      </w:r>
      <w:r w:rsidR="008C153D">
        <w:t>SAR</w:t>
      </w:r>
      <w:r w:rsidRPr="00290034">
        <w:t xml:space="preserve"> in </w:t>
      </w:r>
      <w:r w:rsidRPr="00290034">
        <w:rPr>
          <w:i/>
        </w:rPr>
        <w:t>A</w:t>
      </w:r>
      <w:r w:rsidR="005A4F3F">
        <w:rPr>
          <w:i/>
        </w:rPr>
        <w:t>.</w:t>
      </w:r>
      <w:r w:rsidRPr="00290034">
        <w:rPr>
          <w:i/>
        </w:rPr>
        <w:t xml:space="preserve"> thaliana</w:t>
      </w:r>
      <w:r w:rsidRPr="00290034">
        <w:t>, pla</w:t>
      </w:r>
      <w:r w:rsidR="00BE5FEC">
        <w:t>nts were infiltrated with an</w:t>
      </w:r>
      <w:r w:rsidRPr="00290034">
        <w:t xml:space="preserve"> inoculum of </w:t>
      </w:r>
      <w:r w:rsidR="005A4F3F">
        <w:rPr>
          <w:i/>
        </w:rPr>
        <w:t>Psm</w:t>
      </w:r>
      <w:r w:rsidR="008C153D">
        <w:t xml:space="preserve"> ES4326</w:t>
      </w:r>
      <w:r w:rsidR="00BE5FEC">
        <w:t xml:space="preserve"> </w:t>
      </w:r>
      <w:r w:rsidR="008C153D">
        <w:t>(</w:t>
      </w:r>
      <w:r w:rsidRPr="00290034">
        <w:t>OD</w:t>
      </w:r>
      <w:r w:rsidRPr="00290034">
        <w:rPr>
          <w:vertAlign w:val="subscript"/>
        </w:rPr>
        <w:t>600</w:t>
      </w:r>
      <w:r w:rsidR="00BE5FEC">
        <w:t>=0.005</w:t>
      </w:r>
      <w:r w:rsidR="008C153D">
        <w:t>)</w:t>
      </w:r>
      <w:r w:rsidRPr="00290034">
        <w:t xml:space="preserve"> in three leaves with uniform appearance; as a control treatment a solution of 10 mM MgCl</w:t>
      </w:r>
      <w:r w:rsidRPr="00290034">
        <w:rPr>
          <w:vertAlign w:val="subscript"/>
        </w:rPr>
        <w:t>2</w:t>
      </w:r>
      <w:r w:rsidRPr="00290034">
        <w:t xml:space="preserve"> was used. Two days after first infection, upper leaves were infiltrated with a lower inoculum (OD</w:t>
      </w:r>
      <w:r w:rsidRPr="00290034">
        <w:rPr>
          <w:vertAlign w:val="subscript"/>
        </w:rPr>
        <w:t>600</w:t>
      </w:r>
      <w:r w:rsidRPr="00290034">
        <w:t xml:space="preserve">=0.001) of </w:t>
      </w:r>
      <w:r w:rsidR="005A4F3F">
        <w:rPr>
          <w:i/>
        </w:rPr>
        <w:t>Psm</w:t>
      </w:r>
      <w:r w:rsidRPr="00290034">
        <w:t xml:space="preserve"> ES4326 </w:t>
      </w:r>
      <w:r w:rsidRPr="00290034">
        <w:rPr>
          <w:i/>
        </w:rPr>
        <w:t>lux</w:t>
      </w:r>
      <w:r w:rsidRPr="00290034">
        <w:t>,</w:t>
      </w:r>
      <w:r w:rsidR="009E28F7">
        <w:t xml:space="preserve"> carrying a luxCDABE cassette (</w:t>
      </w:r>
      <w:r w:rsidRPr="00290034">
        <w:t xml:space="preserve">Fan </w:t>
      </w:r>
      <w:r w:rsidRPr="00290034">
        <w:rPr>
          <w:i/>
        </w:rPr>
        <w:t>et al</w:t>
      </w:r>
      <w:r w:rsidRPr="00290034">
        <w:t>., 2008). Two and a half days after the second infiltration</w:t>
      </w:r>
      <w:r w:rsidR="008C153D">
        <w:t>,</w:t>
      </w:r>
      <w:r w:rsidRPr="00290034">
        <w:t xml:space="preserve"> leaf discs were cut out </w:t>
      </w:r>
      <w:r w:rsidR="008C153D">
        <w:t>of 2° infiltrated leaves and</w:t>
      </w:r>
      <w:r w:rsidRPr="00290034">
        <w:t xml:space="preserve"> luminescence was measured with a Luminometer (Sirius FB12, Berthold detection systems). In addition to Luminometer measurements, bacteria were also plated in appropriate dilution</w:t>
      </w:r>
      <w:r w:rsidR="009E28F7">
        <w:t>s (40,000</w:t>
      </w:r>
      <w:r w:rsidR="00ED781F">
        <w:t xml:space="preserve"> </w:t>
      </w:r>
      <w:proofErr w:type="gramStart"/>
      <w:r w:rsidR="009E28F7">
        <w:t>x</w:t>
      </w:r>
      <w:proofErr w:type="gramEnd"/>
      <w:r w:rsidR="009E28F7">
        <w:t xml:space="preserve"> and 80,000</w:t>
      </w:r>
      <w:r w:rsidR="00ED781F">
        <w:t xml:space="preserve"> </w:t>
      </w:r>
      <w:r w:rsidRPr="00290034">
        <w:t>x) and colonies counted after incubating the plates for two days at 28</w:t>
      </w:r>
      <w:r w:rsidR="005A4F3F">
        <w:t xml:space="preserve"> </w:t>
      </w:r>
      <w:r w:rsidRPr="00290034">
        <w:t>°C. Samples for the determination of local and systemic responses were harvested at 24 hpi and 48 hpi, respectively.</w:t>
      </w:r>
      <w:r w:rsidR="006E4465">
        <w:t xml:space="preserve"> For SAR experiments with </w:t>
      </w:r>
      <w:r w:rsidR="005A4F3F">
        <w:rPr>
          <w:i/>
        </w:rPr>
        <w:t>Hpa</w:t>
      </w:r>
      <w:r w:rsidR="006E4465">
        <w:t xml:space="preserve"> Noco2 used for challenge infection, plants were first inoculated as described above. Two days after </w:t>
      </w:r>
      <w:r w:rsidR="008C153D">
        <w:t xml:space="preserve">the </w:t>
      </w:r>
      <w:r w:rsidR="006E4465">
        <w:t>first inoculation, plants were sprayed with 5</w:t>
      </w:r>
      <w:r w:rsidR="006E4465" w:rsidRPr="006E4465">
        <w:t xml:space="preserve"> x 10</w:t>
      </w:r>
      <w:r w:rsidR="006E4465" w:rsidRPr="006E4465">
        <w:rPr>
          <w:vertAlign w:val="superscript"/>
        </w:rPr>
        <w:t>4</w:t>
      </w:r>
      <w:r w:rsidR="006E4465" w:rsidRPr="006E4465">
        <w:t xml:space="preserve"> </w:t>
      </w:r>
      <w:proofErr w:type="gramStart"/>
      <w:r w:rsidR="006E4465" w:rsidRPr="006E4465">
        <w:t>spores</w:t>
      </w:r>
      <w:proofErr w:type="gramEnd"/>
      <w:r w:rsidR="006E4465" w:rsidRPr="006E4465">
        <w:t xml:space="preserve"> ml</w:t>
      </w:r>
      <w:r w:rsidR="006E4465" w:rsidRPr="006E4465">
        <w:rPr>
          <w:vertAlign w:val="superscript"/>
        </w:rPr>
        <w:t>-1</w:t>
      </w:r>
      <w:r w:rsidR="006E4465">
        <w:t xml:space="preserve"> of the virulent </w:t>
      </w:r>
      <w:r w:rsidR="005A4F3F">
        <w:rPr>
          <w:i/>
        </w:rPr>
        <w:t>Hpa</w:t>
      </w:r>
      <w:r w:rsidR="006E4465">
        <w:t xml:space="preserve"> isolate </w:t>
      </w:r>
      <w:r w:rsidR="006E4465">
        <w:lastRenderedPageBreak/>
        <w:t>Noco2, placed in high air humidity for seven days, and scored for development of SAR by microscopy ana</w:t>
      </w:r>
      <w:r w:rsidR="003B4F76">
        <w:t>lysis of lactophenol/trypanblue-</w:t>
      </w:r>
      <w:r w:rsidR="006E4465">
        <w:t xml:space="preserve">stained leaves and counting of </w:t>
      </w:r>
      <w:r w:rsidR="004F1FCC">
        <w:t>conidio</w:t>
      </w:r>
      <w:r w:rsidR="006E4465">
        <w:t>spores.</w:t>
      </w:r>
    </w:p>
    <w:p w:rsidR="00290034" w:rsidRPr="00102B90" w:rsidRDefault="00563EC1" w:rsidP="00102B90">
      <w:pPr>
        <w:pStyle w:val="berschrift2"/>
        <w:spacing w:after="240"/>
        <w:rPr>
          <w:color w:val="auto"/>
        </w:rPr>
      </w:pPr>
      <w:bookmarkStart w:id="54" w:name="_Toc435621226"/>
      <w:r>
        <w:rPr>
          <w:color w:val="auto"/>
        </w:rPr>
        <w:t xml:space="preserve">5.6 </w:t>
      </w:r>
      <w:r w:rsidR="00290034" w:rsidRPr="00102B90">
        <w:rPr>
          <w:color w:val="auto"/>
        </w:rPr>
        <w:t>Analysis of def</w:t>
      </w:r>
      <w:r w:rsidR="008C3E10">
        <w:rPr>
          <w:color w:val="auto"/>
        </w:rPr>
        <w:t xml:space="preserve">ence priming and </w:t>
      </w:r>
      <w:r w:rsidR="008C153D">
        <w:rPr>
          <w:color w:val="auto"/>
        </w:rPr>
        <w:t>Pip</w:t>
      </w:r>
      <w:r w:rsidR="008C3E10">
        <w:rPr>
          <w:color w:val="auto"/>
        </w:rPr>
        <w:t>-</w:t>
      </w:r>
      <w:r w:rsidR="00290034" w:rsidRPr="00102B90">
        <w:rPr>
          <w:color w:val="auto"/>
        </w:rPr>
        <w:t>induced priming</w:t>
      </w:r>
      <w:bookmarkEnd w:id="54"/>
    </w:p>
    <w:p w:rsidR="00290034" w:rsidRPr="00290034" w:rsidRDefault="00290034" w:rsidP="00290034">
      <w:pPr>
        <w:spacing w:line="360" w:lineRule="auto"/>
        <w:jc w:val="both"/>
      </w:pPr>
      <w:r w:rsidRPr="00290034">
        <w:t xml:space="preserve">For the analysis of defence priming during SAR, lower leaves of </w:t>
      </w:r>
      <w:r w:rsidRPr="00290034">
        <w:rPr>
          <w:i/>
        </w:rPr>
        <w:t>A</w:t>
      </w:r>
      <w:r w:rsidR="005A4F3F">
        <w:rPr>
          <w:i/>
        </w:rPr>
        <w:t>.</w:t>
      </w:r>
      <w:r w:rsidRPr="00290034">
        <w:rPr>
          <w:i/>
        </w:rPr>
        <w:t xml:space="preserve"> thaliana</w:t>
      </w:r>
      <w:r w:rsidRPr="00290034">
        <w:t xml:space="preserve"> plants were infiltrated with either </w:t>
      </w:r>
      <w:r w:rsidRPr="00290034">
        <w:rPr>
          <w:i/>
        </w:rPr>
        <w:t>Psm</w:t>
      </w:r>
      <w:r w:rsidRPr="00290034">
        <w:t xml:space="preserve"> (OD</w:t>
      </w:r>
      <w:r w:rsidRPr="00290034">
        <w:rPr>
          <w:vertAlign w:val="subscript"/>
        </w:rPr>
        <w:t>600</w:t>
      </w:r>
      <w:r w:rsidRPr="00290034">
        <w:t>=0.005) or a solution of 10 mM MgCl</w:t>
      </w:r>
      <w:r w:rsidRPr="00290034">
        <w:rPr>
          <w:vertAlign w:val="subscript"/>
        </w:rPr>
        <w:t>2</w:t>
      </w:r>
      <w:r w:rsidRPr="00290034">
        <w:t xml:space="preserve">. Two days after treatment of 1° leaves, upper leaves were infiltrated with </w:t>
      </w:r>
      <w:r w:rsidRPr="00290034">
        <w:rPr>
          <w:i/>
        </w:rPr>
        <w:t>Psm</w:t>
      </w:r>
      <w:r w:rsidRPr="00290034">
        <w:t xml:space="preserve"> (OD</w:t>
      </w:r>
      <w:r w:rsidRPr="00290034">
        <w:rPr>
          <w:vertAlign w:val="subscript"/>
        </w:rPr>
        <w:t>600</w:t>
      </w:r>
      <w:r w:rsidRPr="00290034">
        <w:t>=0.005) or a solution of 10 mM MgCl</w:t>
      </w:r>
      <w:r w:rsidRPr="00290034">
        <w:rPr>
          <w:vertAlign w:val="subscript"/>
        </w:rPr>
        <w:t>2</w:t>
      </w:r>
      <w:r w:rsidRPr="00290034">
        <w:t xml:space="preserve">, respectively; samples for analysis of metabolites and gene expression were taken 10 hours after the second infiltration. To test </w:t>
      </w:r>
      <w:r w:rsidR="008C153D">
        <w:t>Pip</w:t>
      </w:r>
      <w:r w:rsidRPr="00290034">
        <w:t>-induced priming, plants were either watered with 10 ml</w:t>
      </w:r>
      <w:r w:rsidR="00215715">
        <w:t xml:space="preserve"> water or with 10 ml 1 mM (10 µmol</w:t>
      </w:r>
      <w:r w:rsidRPr="00290034">
        <w:t>) D,L-</w:t>
      </w:r>
      <w:r w:rsidR="008C153D">
        <w:t xml:space="preserve">Pip </w:t>
      </w:r>
      <w:r w:rsidR="008C153D" w:rsidRPr="00290034">
        <w:t>(</w:t>
      </w:r>
      <w:r w:rsidR="008C153D" w:rsidRPr="00290034">
        <w:rPr>
          <w:lang w:val="en-US"/>
        </w:rPr>
        <w:t>S47167; Sigma-Aldrich)</w:t>
      </w:r>
      <w:r w:rsidRPr="00290034">
        <w:t xml:space="preserve">, respectively, one day prior to infiltration with </w:t>
      </w:r>
      <w:r w:rsidRPr="00290034">
        <w:rPr>
          <w:i/>
        </w:rPr>
        <w:t>Psm</w:t>
      </w:r>
      <w:r w:rsidRPr="00290034">
        <w:t xml:space="preserve"> (OD</w:t>
      </w:r>
      <w:r w:rsidRPr="00290034">
        <w:rPr>
          <w:vertAlign w:val="subscript"/>
        </w:rPr>
        <w:t>600</w:t>
      </w:r>
      <w:r w:rsidRPr="00290034">
        <w:t>=0.005) or a solution of 10 mM MgCl</w:t>
      </w:r>
      <w:r w:rsidRPr="00290034">
        <w:rPr>
          <w:vertAlign w:val="subscript"/>
        </w:rPr>
        <w:t>2</w:t>
      </w:r>
      <w:r w:rsidRPr="00290034">
        <w:t xml:space="preserve"> as a control treatment. Samples for the analysis of metabolites and gene expression were taken ten hours after infiltration.</w:t>
      </w:r>
    </w:p>
    <w:p w:rsidR="00290034" w:rsidRPr="00102B90" w:rsidRDefault="00563EC1" w:rsidP="00102B90">
      <w:pPr>
        <w:pStyle w:val="berschrift2"/>
        <w:spacing w:after="240"/>
        <w:rPr>
          <w:color w:val="auto"/>
        </w:rPr>
      </w:pPr>
      <w:bookmarkStart w:id="55" w:name="_Toc435621227"/>
      <w:r>
        <w:rPr>
          <w:color w:val="auto"/>
        </w:rPr>
        <w:t xml:space="preserve">5.7 </w:t>
      </w:r>
      <w:r w:rsidR="00290034" w:rsidRPr="00102B90">
        <w:rPr>
          <w:color w:val="auto"/>
        </w:rPr>
        <w:t>Pip</w:t>
      </w:r>
      <w:r w:rsidR="008C3E10">
        <w:rPr>
          <w:color w:val="auto"/>
        </w:rPr>
        <w:t>ecolic acid-</w:t>
      </w:r>
      <w:r w:rsidR="00290034" w:rsidRPr="00102B90">
        <w:rPr>
          <w:color w:val="auto"/>
        </w:rPr>
        <w:t>induced resistance</w:t>
      </w:r>
      <w:bookmarkEnd w:id="55"/>
    </w:p>
    <w:p w:rsidR="00290034" w:rsidRDefault="00290034" w:rsidP="00290034">
      <w:pPr>
        <w:spacing w:line="360" w:lineRule="auto"/>
        <w:jc w:val="both"/>
      </w:pPr>
      <w:r w:rsidRPr="00290034">
        <w:t xml:space="preserve">To test </w:t>
      </w:r>
      <w:r w:rsidR="008C153D">
        <w:t>Pip-</w:t>
      </w:r>
      <w:r w:rsidRPr="00290034">
        <w:t>induced resistance against different pathogens, plants were treated</w:t>
      </w:r>
      <w:r w:rsidR="00215715">
        <w:t xml:space="preserve"> with 10 ml water or 1 mM (10 µmol</w:t>
      </w:r>
      <w:r w:rsidRPr="00290034">
        <w:t>) Pip (</w:t>
      </w:r>
      <w:r w:rsidRPr="00290034">
        <w:rPr>
          <w:lang w:val="en-US"/>
        </w:rPr>
        <w:t xml:space="preserve">S47167; Sigma-Aldrich) </w:t>
      </w:r>
      <w:r w:rsidRPr="00290034">
        <w:t xml:space="preserve">in a soil drench one day prior to infection. Symptoms were scored after 2 days in the case of Pip-IR against </w:t>
      </w:r>
      <w:r w:rsidR="005A4F3F">
        <w:rPr>
          <w:i/>
        </w:rPr>
        <w:t>Psm</w:t>
      </w:r>
      <w:r w:rsidRPr="00290034">
        <w:rPr>
          <w:i/>
        </w:rPr>
        <w:t xml:space="preserve"> lux</w:t>
      </w:r>
      <w:r w:rsidRPr="00290034">
        <w:t xml:space="preserve"> by measuring bacte</w:t>
      </w:r>
      <w:r w:rsidR="009E28F7">
        <w:t xml:space="preserve">rial growth in the Luminometer </w:t>
      </w:r>
      <w:r w:rsidRPr="00290034">
        <w:t xml:space="preserve">and plating bacteria, respectively. Plants infected with </w:t>
      </w:r>
      <w:r w:rsidRPr="00290034">
        <w:rPr>
          <w:i/>
        </w:rPr>
        <w:t>B</w:t>
      </w:r>
      <w:r w:rsidR="005A4F3F">
        <w:rPr>
          <w:i/>
        </w:rPr>
        <w:t>.</w:t>
      </w:r>
      <w:r w:rsidRPr="00290034">
        <w:rPr>
          <w:i/>
        </w:rPr>
        <w:t xml:space="preserve"> cinerea</w:t>
      </w:r>
      <w:r w:rsidRPr="00290034">
        <w:t xml:space="preserve"> after Pip-treatment were analysed 3 days after infection b</w:t>
      </w:r>
      <w:r w:rsidR="004F1FCC">
        <w:t>y measuring lesion size</w:t>
      </w:r>
      <w:r w:rsidRPr="00290034">
        <w:t xml:space="preserve">. Pip-IR in plants infected with </w:t>
      </w:r>
      <w:r w:rsidR="005A4F3F">
        <w:rPr>
          <w:i/>
        </w:rPr>
        <w:t>Hpa</w:t>
      </w:r>
      <w:r w:rsidRPr="00290034">
        <w:t xml:space="preserve"> was analysed seven days after infection by counting conidiospores and analysing cell death and hyph</w:t>
      </w:r>
      <w:r w:rsidR="004F1FCC">
        <w:t>al growth by lactophenol/trypan</w:t>
      </w:r>
      <w:r w:rsidR="003B4F76">
        <w:t>blue-</w:t>
      </w:r>
      <w:r w:rsidRPr="00290034">
        <w:t xml:space="preserve">staining of leaves. </w:t>
      </w:r>
      <w:r w:rsidR="004D6DF9">
        <w:t xml:space="preserve">Pip-induced resistance against </w:t>
      </w:r>
      <w:r w:rsidR="004D6DF9" w:rsidRPr="004D6DF9">
        <w:rPr>
          <w:i/>
        </w:rPr>
        <w:t>G. orontii</w:t>
      </w:r>
      <w:r w:rsidR="00892561">
        <w:t xml:space="preserve"> was measured at 7</w:t>
      </w:r>
      <w:r w:rsidR="004D6DF9">
        <w:t xml:space="preserve"> dpi by quantification of conidiophore number per microcolony.</w:t>
      </w:r>
    </w:p>
    <w:p w:rsidR="00290034" w:rsidRPr="00102B90" w:rsidRDefault="0096402E" w:rsidP="00102B90">
      <w:pPr>
        <w:pStyle w:val="berschrift2"/>
        <w:spacing w:after="240"/>
        <w:rPr>
          <w:color w:val="auto"/>
        </w:rPr>
      </w:pPr>
      <w:bookmarkStart w:id="56" w:name="_Toc435621228"/>
      <w:r>
        <w:rPr>
          <w:color w:val="auto"/>
        </w:rPr>
        <w:t>5.8</w:t>
      </w:r>
      <w:r w:rsidR="00563EC1">
        <w:rPr>
          <w:color w:val="auto"/>
        </w:rPr>
        <w:t xml:space="preserve"> </w:t>
      </w:r>
      <w:r w:rsidR="00290034" w:rsidRPr="00102B90">
        <w:rPr>
          <w:color w:val="auto"/>
        </w:rPr>
        <w:t>Analysis of gene expression by quantitative real-time PCR analysis</w:t>
      </w:r>
      <w:bookmarkEnd w:id="56"/>
    </w:p>
    <w:p w:rsidR="00290034" w:rsidRPr="00102B90" w:rsidRDefault="0096402E" w:rsidP="00102B90">
      <w:pPr>
        <w:pStyle w:val="berschrift3"/>
        <w:rPr>
          <w:color w:val="auto"/>
        </w:rPr>
      </w:pPr>
      <w:bookmarkStart w:id="57" w:name="_Toc435621229"/>
      <w:r>
        <w:rPr>
          <w:color w:val="auto"/>
        </w:rPr>
        <w:t>5.8</w:t>
      </w:r>
      <w:r w:rsidR="00563EC1">
        <w:rPr>
          <w:color w:val="auto"/>
        </w:rPr>
        <w:t xml:space="preserve">.1 </w:t>
      </w:r>
      <w:r w:rsidR="00290034" w:rsidRPr="00102B90">
        <w:rPr>
          <w:color w:val="auto"/>
        </w:rPr>
        <w:t>Extraction of plant RNA</w:t>
      </w:r>
      <w:bookmarkEnd w:id="57"/>
    </w:p>
    <w:p w:rsidR="00290034" w:rsidRPr="00290034" w:rsidRDefault="00290034" w:rsidP="00290034">
      <w:pPr>
        <w:spacing w:line="360" w:lineRule="auto"/>
        <w:jc w:val="both"/>
        <w:rPr>
          <w:lang w:val="en-US"/>
        </w:rPr>
      </w:pPr>
      <w:r w:rsidRPr="00290034">
        <w:t>Total plant RNA was isolated from frozen tissue by using the peqGOLD TriFast (PEQLAB) extraction reagent following the manufacturer´s instructions. Briefly, 80-1</w:t>
      </w:r>
      <w:r w:rsidR="003B4F76">
        <w:t>00 mg of frozen plant tissue were</w:t>
      </w:r>
      <w:r w:rsidRPr="00290034">
        <w:t xml:space="preserve"> homogenized in a tissue homogenizer (</w:t>
      </w:r>
      <w:r w:rsidRPr="00290034">
        <w:rPr>
          <w:lang w:val="en-US"/>
        </w:rPr>
        <w:t>TissueLyser II, Qiagen)</w:t>
      </w:r>
      <w:r w:rsidRPr="00290034">
        <w:t>, treated with 1 ml PeqGold TriFast reagent and mixed thoroughly till thawed. Samples were treated with 200 µl chloroform, vortexed strongly to form a homogenous suspension and centrifuged at 12,000 x g for 5 minutes. The upper organic phase was pipetted into a r</w:t>
      </w:r>
      <w:r w:rsidR="005A4F3F">
        <w:t>eaction tube containing 500 µl i</w:t>
      </w:r>
      <w:r w:rsidRPr="00290034">
        <w:t>sopropanol; RNA was precipitated by incubating the samples at -20</w:t>
      </w:r>
      <w:r w:rsidR="005A4F3F">
        <w:t xml:space="preserve"> </w:t>
      </w:r>
      <w:r w:rsidRPr="00290034">
        <w:t>°C for 15-20 minutes. After spinning the samples down (12,000 x g, 10 minutes) the resulting pellet was washed twice with 75</w:t>
      </w:r>
      <w:r w:rsidR="005A4F3F">
        <w:t xml:space="preserve"> </w:t>
      </w:r>
      <w:r w:rsidRPr="00290034">
        <w:t>% ethanol and dried in the SpeedVac (Concentrater plus,</w:t>
      </w:r>
      <w:r w:rsidR="00273A37">
        <w:t xml:space="preserve"> eppendorf). RNA was dissolved</w:t>
      </w:r>
      <w:r w:rsidRPr="00290034">
        <w:t xml:space="preserve"> in 44 µl of RNAse-free water at 65</w:t>
      </w:r>
      <w:r w:rsidR="005A4F3F">
        <w:t xml:space="preserve"> </w:t>
      </w:r>
      <w:r w:rsidRPr="00290034">
        <w:t>°</w:t>
      </w:r>
      <w:proofErr w:type="gramStart"/>
      <w:r w:rsidRPr="00290034">
        <w:t>C,</w:t>
      </w:r>
      <w:proofErr w:type="gramEnd"/>
      <w:r w:rsidRPr="00290034">
        <w:t xml:space="preserve"> RNA purity was </w:t>
      </w:r>
      <w:r w:rsidRPr="00290034">
        <w:lastRenderedPageBreak/>
        <w:t>checked on a 1</w:t>
      </w:r>
      <w:r w:rsidR="005A4F3F">
        <w:t xml:space="preserve"> </w:t>
      </w:r>
      <w:r w:rsidRPr="00290034">
        <w:t>% agarose gel and RNA concentration determined by measuring absorption at 260 nm (BioPhotometer plus, Eppendorf). One microgram of RNA was treated with DNase for 30 minutes at 37</w:t>
      </w:r>
      <w:r w:rsidR="005A4F3F">
        <w:t xml:space="preserve"> </w:t>
      </w:r>
      <w:r w:rsidRPr="00290034">
        <w:t>°C to remove genomic DNA. DNase was inactivated by adding 25 mM EDTA and incubating the samples at 70</w:t>
      </w:r>
      <w:r w:rsidR="005A4F3F">
        <w:t xml:space="preserve"> </w:t>
      </w:r>
      <w:r w:rsidRPr="00290034">
        <w:t>°C for 15 minutes. RNA was transcribed to cDNA by adding 10 µM Oligo dTs, 10 mM dNTPs, 10</w:t>
      </w:r>
      <w:r w:rsidR="005A4F3F">
        <w:t xml:space="preserve"> </w:t>
      </w:r>
      <w:r w:rsidRPr="00290034">
        <w:t xml:space="preserve">x reaction buffer and 3 units reverse transcriptase and incubating </w:t>
      </w:r>
      <w:r w:rsidR="004D6DF9">
        <w:t xml:space="preserve">the samples </w:t>
      </w:r>
      <w:r w:rsidRPr="00290034">
        <w:t>at 42</w:t>
      </w:r>
      <w:r w:rsidR="005A4F3F">
        <w:t xml:space="preserve"> </w:t>
      </w:r>
      <w:r w:rsidRPr="00290034">
        <w:t>°C for 60 minutes. To stop the reaction, samples were incubated at 70</w:t>
      </w:r>
      <w:r w:rsidR="005A4F3F">
        <w:t xml:space="preserve"> </w:t>
      </w:r>
      <w:r w:rsidRPr="00290034">
        <w:t xml:space="preserve">°C for 15 minutes; </w:t>
      </w:r>
      <w:r w:rsidR="004D6DF9">
        <w:t xml:space="preserve">the </w:t>
      </w:r>
      <w:r w:rsidRPr="00290034">
        <w:t>samples were diluted 1:10 with RNAse-free water prior to use in quantitative real-time PCR.</w:t>
      </w:r>
    </w:p>
    <w:p w:rsidR="00290034" w:rsidRPr="00102B90" w:rsidRDefault="0096402E" w:rsidP="00102B90">
      <w:pPr>
        <w:pStyle w:val="berschrift3"/>
        <w:rPr>
          <w:color w:val="auto"/>
        </w:rPr>
      </w:pPr>
      <w:bookmarkStart w:id="58" w:name="_Toc435621230"/>
      <w:r>
        <w:rPr>
          <w:color w:val="auto"/>
        </w:rPr>
        <w:t>5.8</w:t>
      </w:r>
      <w:r w:rsidR="00563EC1">
        <w:rPr>
          <w:color w:val="auto"/>
        </w:rPr>
        <w:t xml:space="preserve">.2 </w:t>
      </w:r>
      <w:r w:rsidR="00290034" w:rsidRPr="00102B90">
        <w:rPr>
          <w:color w:val="auto"/>
        </w:rPr>
        <w:t>Quantitative real-time PCR analysis</w:t>
      </w:r>
      <w:bookmarkEnd w:id="58"/>
    </w:p>
    <w:p w:rsidR="00290034" w:rsidRPr="00290034" w:rsidRDefault="00290034" w:rsidP="00290034">
      <w:pPr>
        <w:spacing w:line="360" w:lineRule="auto"/>
        <w:jc w:val="both"/>
      </w:pPr>
      <w:r w:rsidRPr="00290034">
        <w:t>To analyse gene expression, cDNA was amplified in a 10 µl reaction volume with 0.75 µM gene specific primers and 5 µl of SYBR-Green reaction mix. The qPCR was performed in triplicates with a cycling programme of a two minute activation step at 95</w:t>
      </w:r>
      <w:r w:rsidR="005A4F3F">
        <w:t xml:space="preserve"> </w:t>
      </w:r>
      <w:r w:rsidRPr="00290034">
        <w:t>°C and 35 to 40 cycles of 5 s at 95</w:t>
      </w:r>
      <w:r w:rsidR="005A4F3F">
        <w:t xml:space="preserve"> </w:t>
      </w:r>
      <w:r w:rsidRPr="00290034">
        <w:t>°C to denaturate the DNA strands and 30 s at 60</w:t>
      </w:r>
      <w:r w:rsidR="005A4F3F">
        <w:t xml:space="preserve"> </w:t>
      </w:r>
      <w:r w:rsidRPr="00290034">
        <w:t>°C to amplify the new DNA s</w:t>
      </w:r>
      <w:r w:rsidR="006474A9">
        <w:t>trands. As a housekeeping gene the</w:t>
      </w:r>
      <w:r w:rsidRPr="00290034">
        <w:t xml:space="preserve"> </w:t>
      </w:r>
      <w:r w:rsidR="003B4F76" w:rsidRPr="003B4F76">
        <w:rPr>
          <w:i/>
        </w:rPr>
        <w:t>POLYPYRIMIDINE TRACT-BINDING</w:t>
      </w:r>
      <w:r w:rsidR="003B4F76">
        <w:t xml:space="preserve"> </w:t>
      </w:r>
      <w:r w:rsidRPr="00290034">
        <w:t>(</w:t>
      </w:r>
      <w:r w:rsidRPr="003B4F76">
        <w:rPr>
          <w:i/>
        </w:rPr>
        <w:t>PTB</w:t>
      </w:r>
      <w:r w:rsidRPr="00290034">
        <w:t xml:space="preserve">) </w:t>
      </w:r>
      <w:r w:rsidR="003B4F76" w:rsidRPr="003B4F76">
        <w:rPr>
          <w:i/>
        </w:rPr>
        <w:t>PROTEIN</w:t>
      </w:r>
      <w:r w:rsidRPr="003B4F76">
        <w:rPr>
          <w:i/>
        </w:rPr>
        <w:t>1</w:t>
      </w:r>
      <w:r w:rsidRPr="00290034">
        <w:t xml:space="preserve"> (</w:t>
      </w:r>
      <w:r w:rsidRPr="00273A37">
        <w:rPr>
          <w:i/>
        </w:rPr>
        <w:t>At3g01150</w:t>
      </w:r>
      <w:r w:rsidRPr="00290034">
        <w:t xml:space="preserve">) (Czechowski </w:t>
      </w:r>
      <w:r w:rsidRPr="00290034">
        <w:rPr>
          <w:i/>
        </w:rPr>
        <w:t>et al</w:t>
      </w:r>
      <w:r w:rsidRPr="00290034">
        <w:t>., 2005) was used. The qPCR data was analysed using the Rotorgene Q 2.0.2 software, with a threshold for normalized fluorescence set to 0.05. The resulting Ct and amplification values were used to calculate the relative mRNA abundance; gene expression of genes of interest were normalized to the expression of the housekeeping gene and expressed as fold-change expression relative to the MgCl</w:t>
      </w:r>
      <w:r w:rsidRPr="00290034">
        <w:rPr>
          <w:vertAlign w:val="subscript"/>
        </w:rPr>
        <w:t>2</w:t>
      </w:r>
      <w:r w:rsidRPr="00290034">
        <w:t>-treated WT control sample.</w:t>
      </w:r>
    </w:p>
    <w:p w:rsidR="00290034" w:rsidRPr="00102B90" w:rsidRDefault="0096402E" w:rsidP="00102B90">
      <w:pPr>
        <w:pStyle w:val="berschrift2"/>
        <w:spacing w:after="240"/>
        <w:rPr>
          <w:color w:val="auto"/>
        </w:rPr>
      </w:pPr>
      <w:bookmarkStart w:id="59" w:name="_Toc435621231"/>
      <w:r>
        <w:rPr>
          <w:color w:val="auto"/>
        </w:rPr>
        <w:t>5.9</w:t>
      </w:r>
      <w:r w:rsidR="00563EC1">
        <w:rPr>
          <w:color w:val="auto"/>
        </w:rPr>
        <w:t xml:space="preserve"> </w:t>
      </w:r>
      <w:r w:rsidR="00273A37">
        <w:rPr>
          <w:color w:val="auto"/>
        </w:rPr>
        <w:t>Lactophenol/</w:t>
      </w:r>
      <w:r w:rsidR="00301015">
        <w:rPr>
          <w:color w:val="auto"/>
        </w:rPr>
        <w:t>trypan</w:t>
      </w:r>
      <w:r w:rsidR="008C3E10">
        <w:rPr>
          <w:color w:val="auto"/>
        </w:rPr>
        <w:t>blue-</w:t>
      </w:r>
      <w:r w:rsidR="00290034" w:rsidRPr="00102B90">
        <w:rPr>
          <w:color w:val="auto"/>
        </w:rPr>
        <w:t>staining</w:t>
      </w:r>
      <w:bookmarkEnd w:id="59"/>
    </w:p>
    <w:p w:rsidR="00290034" w:rsidRPr="00290034" w:rsidRDefault="00301015" w:rsidP="00290034">
      <w:pPr>
        <w:spacing w:line="360" w:lineRule="auto"/>
        <w:jc w:val="both"/>
      </w:pPr>
      <w:r>
        <w:t>Lactophenol/trypan</w:t>
      </w:r>
      <w:r w:rsidR="00290034" w:rsidRPr="00290034">
        <w:t xml:space="preserve">blue </w:t>
      </w:r>
      <w:r w:rsidR="005A4F3F">
        <w:t>(TB)-</w:t>
      </w:r>
      <w:r w:rsidR="00290034" w:rsidRPr="00290034">
        <w:t>staining (Keogh</w:t>
      </w:r>
      <w:r w:rsidR="00F62B40">
        <w:t xml:space="preserve"> </w:t>
      </w:r>
      <w:r w:rsidR="00F62B40" w:rsidRPr="00F62B40">
        <w:rPr>
          <w:i/>
        </w:rPr>
        <w:t>et al</w:t>
      </w:r>
      <w:r w:rsidR="00F62B40">
        <w:t>.</w:t>
      </w:r>
      <w:r w:rsidR="00290034" w:rsidRPr="00290034">
        <w:t xml:space="preserve">, 1980) was used to visualize dead plant cells as well as fungal and oomycete hyphae. Leaves were </w:t>
      </w:r>
      <w:r>
        <w:t xml:space="preserve">covered with </w:t>
      </w:r>
      <w:r w:rsidR="005A4F3F">
        <w:t>TB-</w:t>
      </w:r>
      <w:r w:rsidR="00290034" w:rsidRPr="00290034">
        <w:t>staining solution (10 g phenol, 10 ml glycerol, 10 ml lactic acid, 10 ml water, and 0.02 g of trypan blue dye; mix</w:t>
      </w:r>
      <w:r w:rsidR="00273A37">
        <w:t>ed with 96 % ethanol; 1</w:t>
      </w:r>
      <w:r w:rsidR="00290034" w:rsidRPr="00290034">
        <w:t>:2 [v/v]) and boiled for 1-5 minutes. The staining solution was removed and the leaves were destained in chloral hydrate</w:t>
      </w:r>
      <w:r w:rsidR="005A4F3F">
        <w:t xml:space="preserve"> (2 kg chloralhydrate dissolved in 1l water)</w:t>
      </w:r>
      <w:r w:rsidR="00290034" w:rsidRPr="00290034">
        <w:t>; the destaining solution was changed every day until no more blue background was visible on the leaves. The destained leaves were kept in 50 % (v/v) glycerol and mounted onto glass slides for analysis via light microscope.</w:t>
      </w:r>
    </w:p>
    <w:p w:rsidR="00290034" w:rsidRPr="00102B90" w:rsidRDefault="0096402E" w:rsidP="00102B90">
      <w:pPr>
        <w:pStyle w:val="berschrift2"/>
        <w:spacing w:after="240"/>
        <w:rPr>
          <w:color w:val="auto"/>
        </w:rPr>
      </w:pPr>
      <w:bookmarkStart w:id="60" w:name="_Toc435621232"/>
      <w:r>
        <w:rPr>
          <w:color w:val="auto"/>
        </w:rPr>
        <w:t>5.10</w:t>
      </w:r>
      <w:r w:rsidR="00563EC1">
        <w:rPr>
          <w:color w:val="auto"/>
        </w:rPr>
        <w:t xml:space="preserve"> </w:t>
      </w:r>
      <w:r w:rsidR="00215715">
        <w:rPr>
          <w:color w:val="auto"/>
        </w:rPr>
        <w:t>Analyses</w:t>
      </w:r>
      <w:r w:rsidR="00290034" w:rsidRPr="00102B90">
        <w:rPr>
          <w:color w:val="auto"/>
        </w:rPr>
        <w:t xml:space="preserve"> of plant metabolites</w:t>
      </w:r>
      <w:bookmarkEnd w:id="60"/>
    </w:p>
    <w:p w:rsidR="008C11E1" w:rsidRPr="005F3B6E" w:rsidRDefault="00290034" w:rsidP="00290034">
      <w:pPr>
        <w:spacing w:line="360" w:lineRule="auto"/>
        <w:jc w:val="both"/>
      </w:pPr>
      <w:r w:rsidRPr="00290034">
        <w:t xml:space="preserve">To extract and analyse metabolites from </w:t>
      </w:r>
      <w:r w:rsidRPr="00290034">
        <w:rPr>
          <w:i/>
        </w:rPr>
        <w:t>A</w:t>
      </w:r>
      <w:r w:rsidR="004D6DF9">
        <w:rPr>
          <w:i/>
        </w:rPr>
        <w:t>.</w:t>
      </w:r>
      <w:r w:rsidRPr="00290034">
        <w:rPr>
          <w:i/>
        </w:rPr>
        <w:t xml:space="preserve"> thaliana</w:t>
      </w:r>
      <w:r w:rsidRPr="00290034">
        <w:t xml:space="preserve">, a modified Vapour Phase Extraction method (Schmelz </w:t>
      </w:r>
      <w:r w:rsidRPr="00290034">
        <w:rPr>
          <w:i/>
        </w:rPr>
        <w:t>et al</w:t>
      </w:r>
      <w:r w:rsidRPr="00290034">
        <w:t>., 2004) was used. Briefly, 150 to 20</w:t>
      </w:r>
      <w:r w:rsidR="003B4F76">
        <w:t>0 mg of frozen leaf material were</w:t>
      </w:r>
      <w:r w:rsidRPr="00290034">
        <w:t xml:space="preserve"> homogenized and the samples</w:t>
      </w:r>
      <w:r w:rsidR="0033604A">
        <w:t xml:space="preserve"> were</w:t>
      </w:r>
      <w:r w:rsidRPr="00290034">
        <w:t xml:space="preserve"> mixed vigorously after adding 600 µl of extraction buffer (H</w:t>
      </w:r>
      <w:r w:rsidRPr="00290034">
        <w:rPr>
          <w:vertAlign w:val="subscript"/>
        </w:rPr>
        <w:t>2</w:t>
      </w:r>
      <w:r w:rsidR="005A4F3F">
        <w:t>O:1-propanol</w:t>
      </w:r>
      <w:proofErr w:type="gramStart"/>
      <w:r w:rsidR="005A4F3F">
        <w:t>:HCl</w:t>
      </w:r>
      <w:proofErr w:type="gramEnd"/>
      <w:r w:rsidR="005A4F3F">
        <w:t>-</w:t>
      </w:r>
      <w:r w:rsidRPr="00290034">
        <w:t>1:2:0.005</w:t>
      </w:r>
      <w:r w:rsidR="005A4F3F">
        <w:t xml:space="preserve"> [v:v:v]</w:t>
      </w:r>
      <w:r w:rsidRPr="00290034">
        <w:t>). After adding 30 µl of a standar</w:t>
      </w:r>
      <w:r w:rsidR="00E330F1">
        <w:t>d solution (D4-salicylic acid, d</w:t>
      </w:r>
      <w:r w:rsidRPr="00290034">
        <w:t>ihy</w:t>
      </w:r>
      <w:r w:rsidR="00E330F1">
        <w:t>dro-jasmonic acid, i</w:t>
      </w:r>
      <w:r w:rsidRPr="00290034">
        <w:t>ndolepropionic acid</w:t>
      </w:r>
      <w:r w:rsidR="004D6DF9">
        <w:t xml:space="preserve"> [IPA]</w:t>
      </w:r>
      <w:r w:rsidRPr="00290034">
        <w:t xml:space="preserve">; 3.33 ng / μl each) and 1 ml of </w:t>
      </w:r>
      <w:r w:rsidRPr="00290034">
        <w:lastRenderedPageBreak/>
        <w:t>dichloromethane (</w:t>
      </w:r>
      <w:r w:rsidRPr="00290034">
        <w:rPr>
          <w:lang w:val="en-US"/>
        </w:rPr>
        <w:t>GC ultra-grade, Roth)</w:t>
      </w:r>
      <w:r w:rsidRPr="00290034">
        <w:t>, the samples were mixed strongly and centrifugalized for 1 minute at 14,000 rpm. The lower organic phase was dried via water-free Na</w:t>
      </w:r>
      <w:r w:rsidRPr="00290034">
        <w:rPr>
          <w:vertAlign w:val="subscript"/>
        </w:rPr>
        <w:t>2</w:t>
      </w:r>
      <w:r w:rsidRPr="00290034">
        <w:t>SO</w:t>
      </w:r>
      <w:r w:rsidRPr="00290034">
        <w:rPr>
          <w:vertAlign w:val="subscript"/>
        </w:rPr>
        <w:t>4</w:t>
      </w:r>
      <w:r w:rsidRPr="00290034">
        <w:t xml:space="preserve"> and 2 µl</w:t>
      </w:r>
      <w:r w:rsidR="00E330F1">
        <w:t xml:space="preserve"> of 2 M t</w:t>
      </w:r>
      <w:r w:rsidRPr="00290034">
        <w:t>rimethylsilyldiazomethane (</w:t>
      </w:r>
      <w:r w:rsidRPr="00290034">
        <w:rPr>
          <w:lang w:val="en-US"/>
        </w:rPr>
        <w:t>Sigma-Aldrich)</w:t>
      </w:r>
      <w:r w:rsidRPr="00290034">
        <w:t xml:space="preserve"> in hexane was added to the samples to convert carboxylic acid groups into their corresponding methyl esters. The reaction was stopped after 5 minutes by adding 2 µl of 2 M acetic acid in hexane to each sample and  incubating the samples another 5 minutes. The metabolites were evaporated at 70</w:t>
      </w:r>
      <w:r w:rsidR="005A4F3F">
        <w:t xml:space="preserve"> </w:t>
      </w:r>
      <w:r w:rsidRPr="00290034">
        <w:t>°C and collected in a volatile collector trap packed with Porapak-Q absorbent (</w:t>
      </w:r>
      <w:r w:rsidRPr="00290034">
        <w:rPr>
          <w:lang w:val="en-US"/>
        </w:rPr>
        <w:t>VCT-1/4X3-POR-Q, Analytical Research Systems)</w:t>
      </w:r>
      <w:r w:rsidRPr="00290034">
        <w:t>, with a final evaporation step at 200</w:t>
      </w:r>
      <w:r w:rsidR="005A4F3F">
        <w:t xml:space="preserve"> </w:t>
      </w:r>
      <w:r w:rsidRPr="00290034">
        <w:t>°C for 2 minutes. The samples were eluted from the collector trap with 1 ml of dichloromethane, reduced to 30 µl in a stream of gaseous nitrogen and</w:t>
      </w:r>
      <w:r w:rsidR="0033604A">
        <w:t xml:space="preserve"> subjected to GC/MS-analysis. For</w:t>
      </w:r>
      <w:r w:rsidRPr="00290034">
        <w:t xml:space="preserve"> extract</w:t>
      </w:r>
      <w:r w:rsidR="0033604A">
        <w:t>ion of</w:t>
      </w:r>
      <w:r w:rsidRPr="00290034">
        <w:t xml:space="preserve"> glycosidic bound forms of </w:t>
      </w:r>
      <w:r w:rsidR="004D6DF9">
        <w:t>SA</w:t>
      </w:r>
      <w:r w:rsidRPr="00290034">
        <w:t>, 30 µl of standard soluti</w:t>
      </w:r>
      <w:r w:rsidR="00E330F1">
        <w:t>on (D4-salicylic acid, dihydro-jasmonic acid, i</w:t>
      </w:r>
      <w:r w:rsidRPr="00290034">
        <w:t>ndolepropionic acid; 3.33 ng / μl each) and 1 ml of 0.1 N HCl were added to the upper hydrous phase and the pellet resulting after the centrifugation step and heated at 100</w:t>
      </w:r>
      <w:r w:rsidR="00A20D33">
        <w:t xml:space="preserve"> </w:t>
      </w:r>
      <w:r w:rsidRPr="00290034">
        <w:t>°C for 30 minutes. After cooling down, the samples were subjected to solvent extraction by adding 2 ml of dichloromethane and shaking vigorously; the organic layer was transferre</w:t>
      </w:r>
      <w:r w:rsidR="004D6DF9">
        <w:t>d into a new glass vial and the</w:t>
      </w:r>
      <w:r w:rsidRPr="00290034">
        <w:t xml:space="preserve"> step </w:t>
      </w:r>
      <w:r w:rsidR="004D6DF9">
        <w:t xml:space="preserve">was </w:t>
      </w:r>
      <w:r w:rsidRPr="00290034">
        <w:t>repeated two times. The samples were dried via water-free sodium sulfate and the solvent completely removed in a gentle gaseous nitrogen flow. After adding 300 µl of dichloromethane and 60 µl of methanol, the samples were mixed briefly and subjected to vapour phase extraction as described above. Four microliters of sample mixture were separated in a gas chromatograph (</w:t>
      </w:r>
      <w:r w:rsidRPr="00290034">
        <w:rPr>
          <w:lang w:val="en-US"/>
        </w:rPr>
        <w:t>GC 7890 A, Agilent Technologies)</w:t>
      </w:r>
      <w:r w:rsidRPr="00290034">
        <w:t xml:space="preserve"> equipped with a fused silica capillary column (</w:t>
      </w:r>
      <w:r w:rsidRPr="00290034">
        <w:rPr>
          <w:lang w:val="en-US"/>
        </w:rPr>
        <w:t>ZB-5MS 30</w:t>
      </w:r>
      <w:r w:rsidR="00ED781F">
        <w:rPr>
          <w:lang w:val="en-US"/>
        </w:rPr>
        <w:t xml:space="preserve"> </w:t>
      </w:r>
      <w:r w:rsidRPr="00290034">
        <w:rPr>
          <w:lang w:val="en-US"/>
        </w:rPr>
        <w:t>m x 0.25</w:t>
      </w:r>
      <w:r w:rsidR="00ED781F">
        <w:rPr>
          <w:lang w:val="en-US"/>
        </w:rPr>
        <w:t xml:space="preserve"> </w:t>
      </w:r>
      <w:r w:rsidRPr="00290034">
        <w:rPr>
          <w:lang w:val="en-US"/>
        </w:rPr>
        <w:t>mm, Zebron, Phenomenex)</w:t>
      </w:r>
      <w:r w:rsidRPr="00290034">
        <w:t>, combined with a 5975C (EI) mass spectrometric detector (Agilent). Initiation injection was at 250</w:t>
      </w:r>
      <w:r w:rsidR="00A20D33">
        <w:t xml:space="preserve"> </w:t>
      </w:r>
      <w:r w:rsidRPr="00290034">
        <w:t>°C and afterwards the metabolites were separated according to the following temperature program</w:t>
      </w:r>
      <w:r w:rsidR="0033604A">
        <w:t>me</w:t>
      </w:r>
      <w:r w:rsidRPr="00290034">
        <w:t xml:space="preserve"> and under a constant flow of helium with 1.2 ml/min: 3 minutes at 50</w:t>
      </w:r>
      <w:r w:rsidR="00A20D33">
        <w:t xml:space="preserve"> </w:t>
      </w:r>
      <w:r w:rsidRPr="00290034">
        <w:t>°C followed by an increase to 240</w:t>
      </w:r>
      <w:r w:rsidR="00A20D33">
        <w:t xml:space="preserve"> </w:t>
      </w:r>
      <w:r w:rsidRPr="00290034">
        <w:t>°C in 8</w:t>
      </w:r>
      <w:r w:rsidR="00A20D33">
        <w:t xml:space="preserve"> </w:t>
      </w:r>
      <w:r w:rsidRPr="00290034">
        <w:t>°C per minute steps and a further increase in temperature to 320</w:t>
      </w:r>
      <w:r w:rsidR="00A20D33">
        <w:t xml:space="preserve"> </w:t>
      </w:r>
      <w:r w:rsidRPr="00290034">
        <w:t>°C in 20</w:t>
      </w:r>
      <w:r w:rsidR="00A20D33">
        <w:t xml:space="preserve"> </w:t>
      </w:r>
      <w:r w:rsidRPr="00290034">
        <w:t>°C per minute steps; the final temperature of 320</w:t>
      </w:r>
      <w:r w:rsidR="00A20D33">
        <w:t xml:space="preserve"> </w:t>
      </w:r>
      <w:r w:rsidRPr="00290034">
        <w:t xml:space="preserve">°C was maintained for 3 minutes. For the quantitative analysis of metabolites, peaks originating from selected ion chromatograms were integrated. The peak area of a substance was related to the peak area of the corresponding internal standard and experimentally determined correction factors for each substance and standard pair were used in the calculation of the substance amount: </w:t>
      </w:r>
      <w:r w:rsidRPr="00290034">
        <w:rPr>
          <w:lang w:val="en-US"/>
        </w:rPr>
        <w:t>SA (m/z 120) –D4-salicylic acid (m/z 124); jasmonic acid (m/z 224)</w:t>
      </w:r>
      <w:r w:rsidR="0033604A">
        <w:rPr>
          <w:lang w:val="en-US"/>
        </w:rPr>
        <w:t xml:space="preserve"> </w:t>
      </w:r>
      <w:r w:rsidRPr="00290034">
        <w:rPr>
          <w:lang w:val="en-US"/>
        </w:rPr>
        <w:t>–dihydrojasmonic acid (m/z 156), camalexin (m/z 200)</w:t>
      </w:r>
      <w:r w:rsidR="0033604A">
        <w:rPr>
          <w:lang w:val="en-US"/>
        </w:rPr>
        <w:t xml:space="preserve"> </w:t>
      </w:r>
      <w:r w:rsidRPr="00290034">
        <w:rPr>
          <w:lang w:val="en-US"/>
        </w:rPr>
        <w:t>–indolepropionic acid (m/z 130)</w:t>
      </w:r>
      <w:r w:rsidR="00E330F1">
        <w:rPr>
          <w:lang w:val="en-US"/>
        </w:rPr>
        <w:t>, indole-3-carboxylic acid (m/z 144) –indolepropionic acid (m/z 130)</w:t>
      </w:r>
      <w:r w:rsidRPr="00290034">
        <w:t xml:space="preserve">. In cases with no available correction factor, for example for unknown substances, a correction factor of 1 was used and the internal standard chosen according to retention time. </w:t>
      </w:r>
    </w:p>
    <w:p w:rsidR="00A20D33" w:rsidRDefault="00A20D33" w:rsidP="00290034">
      <w:pPr>
        <w:spacing w:line="360" w:lineRule="auto"/>
        <w:jc w:val="both"/>
      </w:pPr>
    </w:p>
    <w:p w:rsidR="00290034" w:rsidRPr="00290034" w:rsidRDefault="00290034" w:rsidP="00290034">
      <w:pPr>
        <w:spacing w:line="360" w:lineRule="auto"/>
        <w:jc w:val="both"/>
      </w:pPr>
      <w:r w:rsidRPr="00290034">
        <w:lastRenderedPageBreak/>
        <w:t xml:space="preserve">Calculation: </w:t>
      </w:r>
      <w:r w:rsidRPr="00290034">
        <w:tab/>
      </w:r>
    </w:p>
    <w:p w:rsidR="00290034" w:rsidRPr="0033604A" w:rsidRDefault="00290034" w:rsidP="00290034">
      <w:pPr>
        <w:spacing w:line="360" w:lineRule="auto"/>
        <w:jc w:val="both"/>
      </w:pPr>
      <w:r w:rsidRPr="0033604A">
        <w:t>Area</w:t>
      </w:r>
      <w:r w:rsidRPr="0033604A">
        <w:rPr>
          <w:vertAlign w:val="subscript"/>
        </w:rPr>
        <w:t>m/z</w:t>
      </w:r>
      <w:r w:rsidR="000A5660">
        <w:t xml:space="preserve"> (substance) * 100</w:t>
      </w:r>
      <w:r w:rsidRPr="0033604A">
        <w:t xml:space="preserve"> * correction factor/ Area</w:t>
      </w:r>
      <w:r w:rsidRPr="0033604A">
        <w:rPr>
          <w:vertAlign w:val="subscript"/>
        </w:rPr>
        <w:t>m/z</w:t>
      </w:r>
      <w:r w:rsidRPr="0033604A">
        <w:t xml:space="preserve"> (internal standard) * FW</w:t>
      </w:r>
    </w:p>
    <w:p w:rsidR="00290034" w:rsidRPr="00102B90" w:rsidRDefault="0096402E" w:rsidP="00102B90">
      <w:pPr>
        <w:pStyle w:val="berschrift2"/>
        <w:spacing w:after="240"/>
        <w:rPr>
          <w:color w:val="auto"/>
        </w:rPr>
      </w:pPr>
      <w:bookmarkStart w:id="61" w:name="_Toc435621233"/>
      <w:r>
        <w:rPr>
          <w:color w:val="auto"/>
        </w:rPr>
        <w:t>5.11</w:t>
      </w:r>
      <w:r w:rsidR="00563EC1">
        <w:rPr>
          <w:color w:val="auto"/>
        </w:rPr>
        <w:t xml:space="preserve"> </w:t>
      </w:r>
      <w:r w:rsidR="00290034" w:rsidRPr="00102B90">
        <w:rPr>
          <w:color w:val="auto"/>
        </w:rPr>
        <w:t>Extraction of free amino acids</w:t>
      </w:r>
      <w:bookmarkEnd w:id="61"/>
      <w:r w:rsidR="00290034" w:rsidRPr="00102B90">
        <w:rPr>
          <w:color w:val="auto"/>
        </w:rPr>
        <w:t xml:space="preserve"> </w:t>
      </w:r>
    </w:p>
    <w:p w:rsidR="00290034" w:rsidRPr="00290034" w:rsidRDefault="00290034" w:rsidP="00290034">
      <w:pPr>
        <w:spacing w:line="360" w:lineRule="auto"/>
        <w:jc w:val="both"/>
        <w:rPr>
          <w:lang w:val="en-US"/>
        </w:rPr>
      </w:pPr>
      <w:r w:rsidRPr="00290034">
        <w:t>For the extraction and analysis of free physiological amino acids from plants, the EZ</w:t>
      </w:r>
      <w:proofErr w:type="gramStart"/>
      <w:r w:rsidRPr="00290034">
        <w:t>:faast</w:t>
      </w:r>
      <w:proofErr w:type="gramEnd"/>
      <w:r w:rsidRPr="00290034">
        <w:t xml:space="preserve"> free amino acid analysis kit for GC/M</w:t>
      </w:r>
      <w:r w:rsidR="00150C83">
        <w:t>S (Phenomenex) was used. In short</w:t>
      </w:r>
      <w:r w:rsidR="003B4F76">
        <w:t xml:space="preserve">, 50-100 mg of leaf material </w:t>
      </w:r>
      <w:proofErr w:type="gramStart"/>
      <w:r w:rsidR="003B4F76">
        <w:t>were</w:t>
      </w:r>
      <w:proofErr w:type="gramEnd"/>
      <w:r w:rsidRPr="00290034">
        <w:t xml:space="preserve"> homogenized and 500</w:t>
      </w:r>
      <w:r w:rsidR="00150C83">
        <w:t xml:space="preserve"> µl of extraction buffer (25 % a</w:t>
      </w:r>
      <w:r w:rsidR="003B4F76">
        <w:t>cetonitrile in 0.01 N HCl) were</w:t>
      </w:r>
      <w:r w:rsidRPr="00290034">
        <w:t xml:space="preserve"> added to each sample. After shaking the samples thoroughly for 15 minutes, fr</w:t>
      </w:r>
      <w:r w:rsidR="000A5660">
        <w:t>ee amino acids were extracted</w:t>
      </w:r>
      <w:r w:rsidRPr="00290034">
        <w:t xml:space="preserve"> following the manufacturer´s instructions. In this method, fr</w:t>
      </w:r>
      <w:r w:rsidR="00D6208A">
        <w:t>ee physiological amino acids were</w:t>
      </w:r>
      <w:r w:rsidRPr="00290034">
        <w:t xml:space="preserve"> adsorbed to a SPE sorbent tip, eluted after a washing step, and treated with propyl chloroformate (Kugler </w:t>
      </w:r>
      <w:r w:rsidRPr="00290034">
        <w:rPr>
          <w:i/>
        </w:rPr>
        <w:t>et al</w:t>
      </w:r>
      <w:r w:rsidRPr="00290034">
        <w:t xml:space="preserve">., 2006) which </w:t>
      </w:r>
      <w:r w:rsidR="00D6208A">
        <w:t>lead to highly stable derivatis</w:t>
      </w:r>
      <w:r w:rsidRPr="00290034">
        <w:t>ation of both the amine and carboxyl groups of amino acids. The dry residue after evaporating the solv</w:t>
      </w:r>
      <w:r w:rsidR="007F3DFC">
        <w:t>ent was re-dissolved in 30 µl</w:t>
      </w:r>
      <w:r w:rsidRPr="00290034">
        <w:t xml:space="preserve"> dichloromethane and subjected to GC/MS analysis. Three microliters of each sample mixture were separated on a silica capillary column (</w:t>
      </w:r>
      <w:r w:rsidRPr="00290034">
        <w:rPr>
          <w:lang w:val="en-US"/>
        </w:rPr>
        <w:t>ZB-AAA 10</w:t>
      </w:r>
      <w:r w:rsidR="00ED781F">
        <w:rPr>
          <w:lang w:val="en-US"/>
        </w:rPr>
        <w:t xml:space="preserve"> </w:t>
      </w:r>
      <w:r w:rsidRPr="00290034">
        <w:rPr>
          <w:lang w:val="en-US"/>
        </w:rPr>
        <w:t>m x 0.25</w:t>
      </w:r>
      <w:r w:rsidR="00ED781F">
        <w:rPr>
          <w:lang w:val="en-US"/>
        </w:rPr>
        <w:t xml:space="preserve"> </w:t>
      </w:r>
      <w:r w:rsidRPr="00290034">
        <w:rPr>
          <w:lang w:val="en-US"/>
        </w:rPr>
        <w:t xml:space="preserve">mm, Zebron, Phenomenex) </w:t>
      </w:r>
      <w:r w:rsidRPr="00290034">
        <w:t>with an initiation injection at 250</w:t>
      </w:r>
      <w:r w:rsidR="00A20D33">
        <w:t xml:space="preserve"> </w:t>
      </w:r>
      <w:r w:rsidRPr="00290034">
        <w:t>°C and a separation of amino acids according to the following program</w:t>
      </w:r>
      <w:r w:rsidR="007F3DFC">
        <w:t>me</w:t>
      </w:r>
      <w:r w:rsidRPr="00290034">
        <w:t xml:space="preserve"> and under a constant flow of helium with 1.2 ml/min: 3 minutes at 70</w:t>
      </w:r>
      <w:r w:rsidR="00A20D33">
        <w:t xml:space="preserve"> </w:t>
      </w:r>
      <w:r w:rsidRPr="00290034">
        <w:t>°C followed by an increase to 240</w:t>
      </w:r>
      <w:r w:rsidR="00A20D33">
        <w:t xml:space="preserve"> </w:t>
      </w:r>
      <w:r w:rsidRPr="00290034">
        <w:t>°C in 8</w:t>
      </w:r>
      <w:r w:rsidR="00A20D33">
        <w:t xml:space="preserve"> </w:t>
      </w:r>
      <w:r w:rsidRPr="00290034">
        <w:t>°C per minute steps and a further increase in temperature to 320</w:t>
      </w:r>
      <w:r w:rsidR="00A20D33">
        <w:t xml:space="preserve"> </w:t>
      </w:r>
      <w:r w:rsidRPr="00290034">
        <w:t>°C in 20</w:t>
      </w:r>
      <w:r w:rsidR="00A20D33">
        <w:t xml:space="preserve"> </w:t>
      </w:r>
      <w:r w:rsidRPr="00290034">
        <w:t>°C per two minutes steps; the final temperature of 320</w:t>
      </w:r>
      <w:r w:rsidR="00A20D33">
        <w:t xml:space="preserve"> </w:t>
      </w:r>
      <w:r w:rsidRPr="00290034">
        <w:t>°C was maintained for 2 minutes. To quantify amino acid levels, peaks originating from selected ion chromatograms were integrated:</w:t>
      </w:r>
      <w:r w:rsidRPr="00290034">
        <w:rPr>
          <w:lang w:val="en-US"/>
        </w:rPr>
        <w:t xml:space="preserve"> Gly (m/z 116), Ala (m/z 130), Val (m/z 158), </w:t>
      </w:r>
      <w:r w:rsidRPr="00290034">
        <w:rPr>
          <w:rFonts w:hint="eastAsia"/>
          <w:lang w:val="de-DE"/>
        </w:rPr>
        <w:t>β</w:t>
      </w:r>
      <w:r w:rsidRPr="00290034">
        <w:rPr>
          <w:lang w:val="en-US"/>
        </w:rPr>
        <w:t xml:space="preserve">-Ala (m/z 116), Leu (m/z 172), Ile (m/z 172), GABA (m/z 130), Ser (m/z 146), Thr (m/z 101), Pro (m/z 156), Pip (m/z </w:t>
      </w:r>
      <w:r w:rsidRPr="00290034">
        <w:t>170), Aad (m/z 244), Asp (m/z 216), Glu (m/z 84), Asn (m/z 69), Gln (m/z 84), Cys (m/z</w:t>
      </w:r>
      <w:r w:rsidRPr="00290034">
        <w:rPr>
          <w:lang w:val="en-US"/>
        </w:rPr>
        <w:t xml:space="preserve"> 248), Orn (m/z 156), Lys (m/z 170), His (m/z 282), Phe (m/z 148), Tyr (m/z 107), and Trp </w:t>
      </w:r>
      <w:r w:rsidRPr="00290034">
        <w:t>(m/z 130). The peak area of a substance was related to the peak</w:t>
      </w:r>
      <w:r w:rsidR="007F3DFC">
        <w:t xml:space="preserve"> area of the internal standard n</w:t>
      </w:r>
      <w:r w:rsidRPr="00290034">
        <w:t>orvalin (</w:t>
      </w:r>
      <w:r w:rsidR="003B4F76">
        <w:t xml:space="preserve">m/z 158; </w:t>
      </w:r>
      <w:r w:rsidRPr="00290034">
        <w:t>included in reagent 1) and experimentally determined correct</w:t>
      </w:r>
      <w:r w:rsidR="00D6208A">
        <w:t xml:space="preserve">ion factors for each substance </w:t>
      </w:r>
      <w:r w:rsidRPr="00290034">
        <w:t>were used in the calculation of the substance amount. In cases with no available correction factor, for example for unknown substances, a correction factor of 1 was used</w:t>
      </w:r>
      <w:r w:rsidR="00A20D33">
        <w:t xml:space="preserve"> and the relative amount per gram fresh weight calculated</w:t>
      </w:r>
      <w:r w:rsidRPr="00290034">
        <w:t>.</w:t>
      </w:r>
    </w:p>
    <w:p w:rsidR="00290034" w:rsidRPr="00290034" w:rsidRDefault="00290034" w:rsidP="00290034">
      <w:pPr>
        <w:spacing w:line="360" w:lineRule="auto"/>
        <w:jc w:val="both"/>
      </w:pPr>
      <w:r w:rsidRPr="00290034">
        <w:t>Calculation:</w:t>
      </w:r>
    </w:p>
    <w:p w:rsidR="00290034" w:rsidRPr="00D6208A" w:rsidRDefault="00290034" w:rsidP="00290034">
      <w:pPr>
        <w:spacing w:line="360" w:lineRule="auto"/>
        <w:jc w:val="both"/>
      </w:pPr>
      <w:r w:rsidRPr="00D6208A">
        <w:t>Area</w:t>
      </w:r>
      <w:r w:rsidRPr="00D6208A">
        <w:rPr>
          <w:vertAlign w:val="subscript"/>
        </w:rPr>
        <w:t>m/z</w:t>
      </w:r>
      <w:r w:rsidRPr="00D6208A">
        <w:t xml:space="preserve"> (substance) * 11.7 * correction factor/ Area</w:t>
      </w:r>
      <w:r w:rsidRPr="00D6208A">
        <w:rPr>
          <w:vertAlign w:val="subscript"/>
        </w:rPr>
        <w:t>m/z</w:t>
      </w:r>
      <w:r w:rsidRPr="00D6208A">
        <w:t xml:space="preserve"> (internal standard) * FW</w:t>
      </w:r>
    </w:p>
    <w:p w:rsidR="00290034" w:rsidRPr="00102B90" w:rsidRDefault="0096402E" w:rsidP="00102B90">
      <w:pPr>
        <w:pStyle w:val="berschrift2"/>
        <w:spacing w:after="240"/>
        <w:rPr>
          <w:color w:val="auto"/>
        </w:rPr>
      </w:pPr>
      <w:bookmarkStart w:id="62" w:name="_Toc435621234"/>
      <w:r>
        <w:rPr>
          <w:color w:val="auto"/>
        </w:rPr>
        <w:t>5.12</w:t>
      </w:r>
      <w:r w:rsidR="00563EC1">
        <w:rPr>
          <w:color w:val="auto"/>
        </w:rPr>
        <w:t xml:space="preserve"> </w:t>
      </w:r>
      <w:r w:rsidR="00290034" w:rsidRPr="00102B90">
        <w:rPr>
          <w:color w:val="auto"/>
        </w:rPr>
        <w:t>MAP kinase activity assay</w:t>
      </w:r>
      <w:bookmarkEnd w:id="62"/>
    </w:p>
    <w:p w:rsidR="00290034" w:rsidRPr="00290034" w:rsidRDefault="00D6208A" w:rsidP="00290034">
      <w:pPr>
        <w:spacing w:line="360" w:lineRule="auto"/>
        <w:jc w:val="both"/>
      </w:pPr>
      <w:r>
        <w:t xml:space="preserve">In order to analyse </w:t>
      </w:r>
      <w:r w:rsidR="004D6DF9">
        <w:t>MAPK</w:t>
      </w:r>
      <w:r w:rsidR="00290034" w:rsidRPr="00290034">
        <w:t xml:space="preserve"> activity, samples were homogenized and 150 µl extraction buffer (50 mM Tris-Cl, ph</w:t>
      </w:r>
      <w:r w:rsidR="00FE5F72">
        <w:t xml:space="preserve"> </w:t>
      </w:r>
      <w:r w:rsidR="00290034" w:rsidRPr="00290034">
        <w:t xml:space="preserve">7.6; 5 mM EDTA; 5 mM EGTA; 2 mM DTT; 1 tablet of protein </w:t>
      </w:r>
      <w:r w:rsidR="00290034" w:rsidRPr="00290034">
        <w:lastRenderedPageBreak/>
        <w:t>phosphatase inhibitor for 10 ml buffer; 1 tablet of protease inhibito</w:t>
      </w:r>
      <w:r w:rsidR="003B4F76">
        <w:t>r cocktail for 10 ml buffer) were</w:t>
      </w:r>
      <w:r w:rsidR="00290034" w:rsidRPr="00290034">
        <w:t xml:space="preserve"> added to each sample. After shaking for 10 minutes at RT, the samples were spun </w:t>
      </w:r>
      <w:r>
        <w:t xml:space="preserve">down (6000 rpm, 10-15 minutes, </w:t>
      </w:r>
      <w:proofErr w:type="gramStart"/>
      <w:r w:rsidR="00290034" w:rsidRPr="00290034">
        <w:t>4</w:t>
      </w:r>
      <w:proofErr w:type="gramEnd"/>
      <w:r w:rsidR="00A20D33">
        <w:t xml:space="preserve"> </w:t>
      </w:r>
      <w:r w:rsidR="00290034" w:rsidRPr="00290034">
        <w:t xml:space="preserve">°C) and the supernatant </w:t>
      </w:r>
      <w:r w:rsidR="003B4F76">
        <w:t xml:space="preserve">was </w:t>
      </w:r>
      <w:r w:rsidR="00290034" w:rsidRPr="00290034">
        <w:t xml:space="preserve">transferred to a new reaction tube. Protein concentrations were determined in </w:t>
      </w:r>
      <w:r w:rsidR="00F62B40">
        <w:t>a Bradford assay (Bradford, 1976</w:t>
      </w:r>
      <w:r w:rsidR="00290034" w:rsidRPr="00290034">
        <w:t xml:space="preserve">) using a BSA protein calibration curve. For separation of proteins on a SDS-PAGE, equal </w:t>
      </w:r>
      <w:r w:rsidR="00BF535F">
        <w:t>amounts of protein were loaded o</w:t>
      </w:r>
      <w:r w:rsidR="00290034" w:rsidRPr="00290034">
        <w:t>nto the PAGE and blotted onto a PVDF membrane after electrophoresis. The blot was washed with TBST for 45 min, before the first antibody (anti-P42, 44</w:t>
      </w:r>
      <w:r w:rsidR="00A20D33">
        <w:t xml:space="preserve">; Tsuda </w:t>
      </w:r>
      <w:r w:rsidR="00A20D33" w:rsidRPr="00A20D33">
        <w:rPr>
          <w:i/>
        </w:rPr>
        <w:t>et al.</w:t>
      </w:r>
      <w:r w:rsidR="00A20D33">
        <w:t>, 2013</w:t>
      </w:r>
      <w:r w:rsidR="00290034" w:rsidRPr="00290034">
        <w:t>) was added and the blot incubated at 4</w:t>
      </w:r>
      <w:r w:rsidR="00A20D33">
        <w:t xml:space="preserve"> </w:t>
      </w:r>
      <w:r w:rsidR="00290034" w:rsidRPr="00290034">
        <w:t>°C overnight. After washing the blot three times for 5 minutes each, the second antibody was added and the blot incubated for two to three hours. The signal w</w:t>
      </w:r>
      <w:r w:rsidR="00FE5F72">
        <w:t>as</w:t>
      </w:r>
      <w:r w:rsidR="00290034" w:rsidRPr="00290034">
        <w:t xml:space="preserve"> detected by ECL after washing the blot again three times for 5 minutes each.</w:t>
      </w:r>
    </w:p>
    <w:p w:rsidR="00290034" w:rsidRPr="00102B90" w:rsidRDefault="0096402E" w:rsidP="00102B90">
      <w:pPr>
        <w:pStyle w:val="berschrift2"/>
        <w:spacing w:after="240"/>
        <w:rPr>
          <w:color w:val="auto"/>
        </w:rPr>
      </w:pPr>
      <w:bookmarkStart w:id="63" w:name="_Toc435621235"/>
      <w:r>
        <w:rPr>
          <w:color w:val="auto"/>
        </w:rPr>
        <w:t>5.13</w:t>
      </w:r>
      <w:r w:rsidR="00563EC1">
        <w:rPr>
          <w:color w:val="auto"/>
        </w:rPr>
        <w:t xml:space="preserve"> </w:t>
      </w:r>
      <w:r w:rsidR="00290034" w:rsidRPr="00102B90">
        <w:rPr>
          <w:color w:val="auto"/>
        </w:rPr>
        <w:t>Reproducibility of experiments and statistical analyses</w:t>
      </w:r>
      <w:bookmarkEnd w:id="63"/>
    </w:p>
    <w:p w:rsidR="00476CE8" w:rsidRPr="00476CE8" w:rsidRDefault="00290034" w:rsidP="00876C8F">
      <w:pPr>
        <w:spacing w:line="360" w:lineRule="auto"/>
        <w:jc w:val="both"/>
      </w:pPr>
      <w:r w:rsidRPr="00290034">
        <w:t xml:space="preserve">The presented data shown in figures resulted from a single biological experiment. Unless otherwise stated, the results were similar in at least two biologically independent experiments. Statistical analyses were performed using Student´s two-tailed </w:t>
      </w:r>
      <w:r w:rsidRPr="00290034">
        <w:rPr>
          <w:i/>
        </w:rPr>
        <w:t>t</w:t>
      </w:r>
      <w:r w:rsidRPr="00290034">
        <w:t xml:space="preserve"> test.</w:t>
      </w:r>
    </w:p>
    <w:p w:rsidR="00ED781F" w:rsidRDefault="00ED781F" w:rsidP="00ED781F"/>
    <w:p w:rsidR="00ED781F" w:rsidRDefault="00ED781F" w:rsidP="00ED781F"/>
    <w:p w:rsidR="00ED781F" w:rsidRDefault="00ED781F" w:rsidP="00ED781F"/>
    <w:p w:rsidR="00ED781F" w:rsidRDefault="00ED781F" w:rsidP="00ED781F"/>
    <w:p w:rsidR="00FE5F72" w:rsidRDefault="00FE5F72" w:rsidP="00ED781F"/>
    <w:p w:rsidR="00FE5F72" w:rsidRDefault="00FE5F72" w:rsidP="00ED781F"/>
    <w:p w:rsidR="00FE5F72" w:rsidRDefault="00FE5F72" w:rsidP="00ED781F"/>
    <w:p w:rsidR="00FE5F72" w:rsidRDefault="00FE5F72" w:rsidP="00ED781F"/>
    <w:p w:rsidR="00FE5F72" w:rsidRDefault="00FE5F72" w:rsidP="00ED781F"/>
    <w:p w:rsidR="00FE5F72" w:rsidRDefault="00FE5F72" w:rsidP="00ED781F"/>
    <w:p w:rsidR="00FE5F72" w:rsidRDefault="00FE5F72" w:rsidP="00ED781F"/>
    <w:p w:rsidR="00FE5F72" w:rsidRDefault="00FE5F72" w:rsidP="00ED781F"/>
    <w:p w:rsidR="00FE5F72" w:rsidRDefault="00FE5F72" w:rsidP="00ED781F"/>
    <w:p w:rsidR="00FE5F72" w:rsidRDefault="00FE5F72" w:rsidP="00ED781F"/>
    <w:p w:rsidR="00FE5F72" w:rsidRDefault="00FE5F72" w:rsidP="00ED781F"/>
    <w:p w:rsidR="00B517AA" w:rsidRDefault="00B517AA" w:rsidP="00CE0C49">
      <w:pPr>
        <w:pStyle w:val="berschrift1"/>
        <w:spacing w:after="240"/>
        <w:rPr>
          <w:color w:val="auto"/>
        </w:rPr>
        <w:sectPr w:rsidR="00B517AA" w:rsidSect="009608E1">
          <w:headerReference w:type="default" r:id="rId46"/>
          <w:headerReference w:type="first" r:id="rId47"/>
          <w:type w:val="continuous"/>
          <w:pgSz w:w="11906" w:h="16838"/>
          <w:pgMar w:top="1417" w:right="1417" w:bottom="1134" w:left="1417" w:header="708" w:footer="708" w:gutter="0"/>
          <w:cols w:space="708"/>
          <w:titlePg/>
          <w:docGrid w:linePitch="360"/>
        </w:sectPr>
      </w:pPr>
    </w:p>
    <w:bookmarkStart w:id="64" w:name="_Toc435621236"/>
    <w:p w:rsidR="00FD65FA" w:rsidRPr="00CE0C49" w:rsidRDefault="008C11E1" w:rsidP="00CE0C49">
      <w:pPr>
        <w:pStyle w:val="berschrift1"/>
        <w:spacing w:after="240"/>
        <w:rPr>
          <w:color w:val="auto"/>
        </w:rPr>
      </w:pPr>
      <w:r>
        <w:rPr>
          <w:noProof/>
          <w:color w:val="auto"/>
          <w:lang w:val="de-DE" w:eastAsia="de-DE"/>
        </w:rPr>
        <w:lastRenderedPageBreak/>
        <mc:AlternateContent>
          <mc:Choice Requires="wps">
            <w:drawing>
              <wp:anchor distT="0" distB="0" distL="114300" distR="114300" simplePos="0" relativeHeight="251714560" behindDoc="0" locked="0" layoutInCell="1" allowOverlap="1" wp14:anchorId="51994949" wp14:editId="009D4D91">
                <wp:simplePos x="0" y="0"/>
                <wp:positionH relativeFrom="column">
                  <wp:posOffset>-207068</wp:posOffset>
                </wp:positionH>
                <wp:positionV relativeFrom="paragraph">
                  <wp:posOffset>-525722</wp:posOffset>
                </wp:positionV>
                <wp:extent cx="5334000" cy="361950"/>
                <wp:effectExtent l="0" t="0" r="19050" b="19050"/>
                <wp:wrapNone/>
                <wp:docPr id="48" name="Rechteck 48"/>
                <wp:cNvGraphicFramePr/>
                <a:graphic xmlns:a="http://schemas.openxmlformats.org/drawingml/2006/main">
                  <a:graphicData uri="http://schemas.microsoft.com/office/word/2010/wordprocessingShape">
                    <wps:wsp>
                      <wps:cNvSpPr/>
                      <wps:spPr>
                        <a:xfrm>
                          <a:off x="0" y="0"/>
                          <a:ext cx="5334000" cy="36195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hteck 48" o:spid="_x0000_s1026" style="position:absolute;margin-left:-16.3pt;margin-top:-41.4pt;width:420pt;height:28.5pt;z-index:2517145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" fillcolor="white [3212]" strokecolor="white [3212]" strokeweight="2pt"/>
            </w:pict>
          </mc:Fallback>
        </mc:AlternateContent>
      </w:r>
      <w:r w:rsidR="00563EC1">
        <w:rPr>
          <w:color w:val="auto"/>
        </w:rPr>
        <w:t xml:space="preserve">6 </w:t>
      </w:r>
      <w:r w:rsidR="00FD65FA" w:rsidRPr="00CE0C49">
        <w:rPr>
          <w:color w:val="auto"/>
        </w:rPr>
        <w:t>Results</w:t>
      </w:r>
      <w:bookmarkEnd w:id="64"/>
    </w:p>
    <w:p w:rsidR="00FD65FA" w:rsidRPr="00A1047C" w:rsidRDefault="00563EC1" w:rsidP="00A1047C">
      <w:pPr>
        <w:pStyle w:val="berschrift2"/>
        <w:spacing w:after="240"/>
        <w:jc w:val="both"/>
        <w:rPr>
          <w:i/>
          <w:color w:val="auto"/>
        </w:rPr>
      </w:pPr>
      <w:bookmarkStart w:id="65" w:name="_Toc435621237"/>
      <w:r>
        <w:rPr>
          <w:color w:val="auto"/>
        </w:rPr>
        <w:t xml:space="preserve">6.1 </w:t>
      </w:r>
      <w:r w:rsidR="00FD65FA" w:rsidRPr="00A1047C">
        <w:rPr>
          <w:i/>
          <w:color w:val="auto"/>
        </w:rPr>
        <w:t>ALD1</w:t>
      </w:r>
      <w:r w:rsidR="00FD65FA" w:rsidRPr="00A1047C">
        <w:rPr>
          <w:color w:val="auto"/>
        </w:rPr>
        <w:t xml:space="preserve"> and </w:t>
      </w:r>
      <w:r w:rsidR="00FD65FA" w:rsidRPr="00A1047C">
        <w:rPr>
          <w:i/>
          <w:color w:val="auto"/>
        </w:rPr>
        <w:t>FMO1</w:t>
      </w:r>
      <w:r w:rsidR="00FD65FA" w:rsidRPr="00A1047C">
        <w:rPr>
          <w:color w:val="auto"/>
        </w:rPr>
        <w:t xml:space="preserve"> are necessary regulators of defence priming in </w:t>
      </w:r>
      <w:r w:rsidR="00FD65FA" w:rsidRPr="00A1047C">
        <w:rPr>
          <w:i/>
          <w:color w:val="auto"/>
        </w:rPr>
        <w:t>Arabidopsis thaliana</w:t>
      </w:r>
      <w:bookmarkEnd w:id="65"/>
    </w:p>
    <w:p w:rsidR="00E0398C" w:rsidRDefault="00837D39" w:rsidP="005177A2">
      <w:pPr>
        <w:spacing w:line="360" w:lineRule="auto"/>
        <w:jc w:val="both"/>
      </w:pPr>
      <w:r>
        <w:t>In previous experiments strong evidence was revealed of an essential role for defence primi</w:t>
      </w:r>
      <w:r w:rsidR="00E51105">
        <w:t xml:space="preserve">ng in </w:t>
      </w:r>
      <w:r w:rsidR="007669F8">
        <w:t>SAR</w:t>
      </w:r>
      <w:r>
        <w:t xml:space="preserve"> (Návarová </w:t>
      </w:r>
      <w:r w:rsidRPr="00837D39">
        <w:rPr>
          <w:i/>
        </w:rPr>
        <w:t>et al</w:t>
      </w:r>
      <w:r w:rsidR="00E51105">
        <w:t>., 2012). These data</w:t>
      </w:r>
      <w:r>
        <w:t xml:space="preserve"> not only demonstrated that priming is a necessary mechanism for </w:t>
      </w:r>
      <w:r w:rsidR="00C8227F">
        <w:t>SAR-</w:t>
      </w:r>
      <w:r>
        <w:t>development</w:t>
      </w:r>
      <w:r w:rsidR="00C8227F">
        <w:t>, but also that Pip-</w:t>
      </w:r>
      <w:r>
        <w:t xml:space="preserve">accumulation is necessary as well as sufficient for the induction of SAR priming. </w:t>
      </w:r>
      <w:r w:rsidR="00EC2084">
        <w:t xml:space="preserve">As only a small selection of defence responses was analysed in previous experiments (primed accumulation of Pip and camalexin, primed expression of defence-related genes </w:t>
      </w:r>
      <w:r w:rsidR="00EC2084" w:rsidRPr="00EC2084">
        <w:rPr>
          <w:i/>
        </w:rPr>
        <w:t>ALD1</w:t>
      </w:r>
      <w:r w:rsidR="00EC2084">
        <w:t xml:space="preserve"> and </w:t>
      </w:r>
      <w:r w:rsidR="00EC2084" w:rsidRPr="00EC2084">
        <w:rPr>
          <w:i/>
        </w:rPr>
        <w:t>FMO1</w:t>
      </w:r>
      <w:r w:rsidR="00EC2084">
        <w:t xml:space="preserve">; Návarová </w:t>
      </w:r>
      <w:r w:rsidR="00EC2084" w:rsidRPr="00EC2084">
        <w:rPr>
          <w:i/>
        </w:rPr>
        <w:t>et al.</w:t>
      </w:r>
      <w:r w:rsidR="00EC2084">
        <w:t xml:space="preserve">, 2012) </w:t>
      </w:r>
      <w:r w:rsidR="00C1432E">
        <w:t xml:space="preserve">an expansion of this study was necessary to gain better insight into the principles of SAR priming. </w:t>
      </w:r>
      <w:r w:rsidR="00187883">
        <w:t>The crucial question for this stu</w:t>
      </w:r>
      <w:r w:rsidR="00E51105">
        <w:t>dy was</w:t>
      </w:r>
      <w:r w:rsidR="00187883">
        <w:t xml:space="preserve"> if expression of all defence-related genes is primed during SAR or only a certain subset of these genes.</w:t>
      </w:r>
      <w:r w:rsidR="00EC2084">
        <w:t xml:space="preserve"> </w:t>
      </w:r>
      <w:r w:rsidR="00FD65FA" w:rsidRPr="00FD65FA">
        <w:t xml:space="preserve">In order to </w:t>
      </w:r>
      <w:r w:rsidR="00EC0D83">
        <w:t xml:space="preserve">answer this question and </w:t>
      </w:r>
      <w:r w:rsidR="00FD65FA" w:rsidRPr="00FD65FA">
        <w:t xml:space="preserve">get a more detailed understanding of </w:t>
      </w:r>
      <w:r>
        <w:t>defence</w:t>
      </w:r>
      <w:r w:rsidR="00BF535F">
        <w:t>-related</w:t>
      </w:r>
      <w:r w:rsidR="00FD65FA" w:rsidRPr="00FD65FA">
        <w:t xml:space="preserve"> </w:t>
      </w:r>
      <w:r w:rsidR="001F5EB3">
        <w:t>gene</w:t>
      </w:r>
      <w:r w:rsidR="00FD65FA" w:rsidRPr="00FD65FA">
        <w:t xml:space="preserve"> priming, genome-wide microarray analyses were carried out (Gruner </w:t>
      </w:r>
      <w:r w:rsidR="00FD65FA" w:rsidRPr="00FD65FA">
        <w:rPr>
          <w:i/>
        </w:rPr>
        <w:t>et al</w:t>
      </w:r>
      <w:r w:rsidR="00FD65FA" w:rsidRPr="00FD65FA">
        <w:t xml:space="preserve">., 2013) and genes </w:t>
      </w:r>
      <w:r w:rsidR="007669F8">
        <w:t>grouped</w:t>
      </w:r>
      <w:r w:rsidR="00FD65FA" w:rsidRPr="00FD65FA">
        <w:t xml:space="preserve"> in functional ca</w:t>
      </w:r>
      <w:r w:rsidR="001F5EB3">
        <w:t>tegories (SA-independent, partially</w:t>
      </w:r>
      <w:r w:rsidR="00FD65FA" w:rsidRPr="00FD65FA">
        <w:t xml:space="preserve"> SA-dependent, and SA-dependent). From these categories, a number of 67 genes were chosen </w:t>
      </w:r>
      <w:r w:rsidR="007669F8">
        <w:t>for deeper analysis regarding</w:t>
      </w:r>
      <w:r w:rsidR="00FD65FA" w:rsidRPr="00FD65FA">
        <w:t xml:space="preserve"> their role in defence priming in Col-0, </w:t>
      </w:r>
      <w:r w:rsidR="00FD65FA" w:rsidRPr="00FD65FA">
        <w:rPr>
          <w:i/>
        </w:rPr>
        <w:t>ald1</w:t>
      </w:r>
      <w:r w:rsidR="00FD65FA" w:rsidRPr="00FD65FA">
        <w:t xml:space="preserve">, and </w:t>
      </w:r>
      <w:r w:rsidR="00FD65FA" w:rsidRPr="00FD65FA">
        <w:rPr>
          <w:i/>
        </w:rPr>
        <w:t>fmo1</w:t>
      </w:r>
      <w:r w:rsidR="00FD65FA" w:rsidRPr="00FD65FA">
        <w:t xml:space="preserve"> (for full list o</w:t>
      </w:r>
      <w:r w:rsidR="00EC0D83">
        <w:t>f chosen genes, see</w:t>
      </w:r>
      <w:r w:rsidR="00FD65FA" w:rsidRPr="00FD65FA">
        <w:t xml:space="preserve"> table 1). </w:t>
      </w:r>
      <w:r w:rsidR="00EC0D83">
        <w:t>Besides SA-dependency, other criteria for analysis of this set of genes were their induction in local and/or systemic leaves and their inducibility by exogenous</w:t>
      </w:r>
      <w:r w:rsidR="00C8227F">
        <w:t>ly</w:t>
      </w:r>
      <w:r w:rsidR="00EC0D83">
        <w:t xml:space="preserve"> applied </w:t>
      </w:r>
      <w:r w:rsidR="007669F8">
        <w:t>Pip</w:t>
      </w:r>
      <w:r w:rsidR="00EC0D83">
        <w:t>. Furthermore, a</w:t>
      </w:r>
      <w:r w:rsidR="00FD65FA" w:rsidRPr="00FD65FA">
        <w:t xml:space="preserve">mong the studied genes </w:t>
      </w:r>
      <w:r w:rsidR="007669F8">
        <w:t>were</w:t>
      </w:r>
      <w:r w:rsidR="00FD65FA" w:rsidRPr="00FD65FA">
        <w:t xml:space="preserve"> not only known defence-related genes, but also genes involved in metabolic processes (e.g. </w:t>
      </w:r>
      <w:r w:rsidR="00FD65FA" w:rsidRPr="00FD65FA">
        <w:rPr>
          <w:i/>
        </w:rPr>
        <w:t xml:space="preserve">TPPD, </w:t>
      </w:r>
      <w:r w:rsidR="00FD65FA" w:rsidRPr="00FD65FA">
        <w:t xml:space="preserve">involved in trehalose metabolism), signalling (e.g. </w:t>
      </w:r>
      <w:r w:rsidR="00FD65FA" w:rsidRPr="00FD65FA">
        <w:rPr>
          <w:i/>
        </w:rPr>
        <w:t>LHY</w:t>
      </w:r>
      <w:r w:rsidR="00FD65FA" w:rsidRPr="00FD65FA">
        <w:t xml:space="preserve">, a core regulator of the circadian clock), or transport (e.g. </w:t>
      </w:r>
      <w:r w:rsidR="00FD65FA" w:rsidRPr="00FD65FA">
        <w:rPr>
          <w:i/>
        </w:rPr>
        <w:t>ATPase1</w:t>
      </w:r>
      <w:r w:rsidR="00025E1C">
        <w:t>). In this study</w:t>
      </w:r>
      <w:r w:rsidR="00E51105">
        <w:t>,</w:t>
      </w:r>
      <w:r w:rsidR="00025E1C">
        <w:t xml:space="preserve"> p</w:t>
      </w:r>
      <w:r w:rsidR="00FD65FA" w:rsidRPr="00FD65FA">
        <w:t xml:space="preserve">lants were treated as follows: lower leaves </w:t>
      </w:r>
      <w:r w:rsidR="007669F8">
        <w:t xml:space="preserve">(1°) </w:t>
      </w:r>
      <w:r w:rsidR="00FD65FA" w:rsidRPr="00FD65FA">
        <w:t>were infiltrated with either 10 mM MgCl</w:t>
      </w:r>
      <w:r w:rsidR="00FD65FA" w:rsidRPr="00FD65FA">
        <w:rPr>
          <w:vertAlign w:val="subscript"/>
        </w:rPr>
        <w:t>2</w:t>
      </w:r>
      <w:r w:rsidR="00FD65FA" w:rsidRPr="00FD65FA">
        <w:t xml:space="preserve"> or </w:t>
      </w:r>
      <w:r w:rsidR="007669F8">
        <w:rPr>
          <w:i/>
        </w:rPr>
        <w:t>Psm</w:t>
      </w:r>
      <w:r w:rsidR="00FD65FA" w:rsidRPr="00FD65FA">
        <w:t xml:space="preserve"> (OD</w:t>
      </w:r>
      <w:r w:rsidR="00FD65FA" w:rsidRPr="00FD65FA">
        <w:rPr>
          <w:vertAlign w:val="subscript"/>
        </w:rPr>
        <w:t>600</w:t>
      </w:r>
      <w:r w:rsidR="00FD65FA" w:rsidRPr="00FD65FA">
        <w:t>=0.005), two days after 1° infiltration upper, distal leaves</w:t>
      </w:r>
      <w:r w:rsidR="007669F8">
        <w:t xml:space="preserve"> (2°)</w:t>
      </w:r>
      <w:r w:rsidR="00FD65FA" w:rsidRPr="00FD65FA">
        <w:t xml:space="preserve"> were infiltrated with either 10 mM MgCl</w:t>
      </w:r>
      <w:r w:rsidR="00FD65FA" w:rsidRPr="00FD65FA">
        <w:rPr>
          <w:vertAlign w:val="subscript"/>
        </w:rPr>
        <w:t>2</w:t>
      </w:r>
      <w:r w:rsidR="00FD65FA" w:rsidRPr="00FD65FA">
        <w:t xml:space="preserve"> or </w:t>
      </w:r>
      <w:r w:rsidR="00FD65FA" w:rsidRPr="00FD65FA">
        <w:rPr>
          <w:i/>
        </w:rPr>
        <w:t>Psm</w:t>
      </w:r>
      <w:r w:rsidR="00FD65FA" w:rsidRPr="00FD65FA">
        <w:t xml:space="preserve"> (OD</w:t>
      </w:r>
      <w:r w:rsidR="00FD65FA" w:rsidRPr="00FD65FA">
        <w:rPr>
          <w:vertAlign w:val="subscript"/>
        </w:rPr>
        <w:t>600</w:t>
      </w:r>
      <w:r w:rsidR="00FD65FA" w:rsidRPr="00FD65FA">
        <w:t xml:space="preserve">=0.005) and scored for gene expression 10 hours post inoculation. </w:t>
      </w:r>
      <w:r w:rsidR="00025E1C">
        <w:t xml:space="preserve">We found in </w:t>
      </w:r>
      <w:r w:rsidR="007669F8">
        <w:t xml:space="preserve">previous </w:t>
      </w:r>
      <w:r w:rsidR="00025E1C">
        <w:t>expe</w:t>
      </w:r>
      <w:r w:rsidR="00E51105">
        <w:t xml:space="preserve">riments </w:t>
      </w:r>
      <w:r w:rsidR="00025E1C">
        <w:t>that</w:t>
      </w:r>
      <w:r w:rsidR="00A322C9">
        <w:t xml:space="preserve"> at</w:t>
      </w:r>
      <w:r w:rsidR="00025E1C">
        <w:t xml:space="preserve"> 10 hpi</w:t>
      </w:r>
      <w:r w:rsidR="0001417D">
        <w:t>,</w:t>
      </w:r>
      <w:r w:rsidR="00A322C9">
        <w:t xml:space="preserve"> plants already show a clear</w:t>
      </w:r>
      <w:r w:rsidR="0001417D">
        <w:t xml:space="preserve"> priming response for</w:t>
      </w:r>
      <w:r w:rsidR="00025E1C">
        <w:t xml:space="preserve"> both gene expression and metabolite accumulation</w:t>
      </w:r>
      <w:r w:rsidR="00A53951">
        <w:t xml:space="preserve"> (Návarová </w:t>
      </w:r>
      <w:r w:rsidR="00A53951" w:rsidRPr="00A53951">
        <w:rPr>
          <w:i/>
        </w:rPr>
        <w:t>et al</w:t>
      </w:r>
      <w:r w:rsidR="00A53951">
        <w:t>., 2012)</w:t>
      </w:r>
      <w:r w:rsidR="00025E1C">
        <w:t xml:space="preserve">. </w:t>
      </w:r>
      <w:r w:rsidR="007669F8">
        <w:t>Using</w:t>
      </w:r>
      <w:r w:rsidR="00025E1C">
        <w:t xml:space="preserve"> the described</w:t>
      </w:r>
      <w:r w:rsidR="00FD65FA" w:rsidRPr="00FD65FA">
        <w:t xml:space="preserve"> mode of infil</w:t>
      </w:r>
      <w:r w:rsidR="0025710B">
        <w:t>tration</w:t>
      </w:r>
      <w:r w:rsidR="00C8227F">
        <w:t>,</w:t>
      </w:r>
      <w:r w:rsidR="0025710B">
        <w:t xml:space="preserve"> four different cases </w:t>
      </w:r>
      <w:r w:rsidR="007669F8">
        <w:t>could be distinguished</w:t>
      </w:r>
      <w:r w:rsidR="00FD65FA" w:rsidRPr="00FD65FA">
        <w:t>: a control situation (1° MgCl</w:t>
      </w:r>
      <w:r w:rsidR="00FD65FA" w:rsidRPr="00FD65FA">
        <w:rPr>
          <w:vertAlign w:val="subscript"/>
        </w:rPr>
        <w:t>2</w:t>
      </w:r>
      <w:r w:rsidR="00FD65FA" w:rsidRPr="00FD65FA">
        <w:t>/2° MgCl</w:t>
      </w:r>
      <w:r w:rsidR="00FD65FA" w:rsidRPr="00FD65FA">
        <w:rPr>
          <w:vertAlign w:val="subscript"/>
        </w:rPr>
        <w:t>2</w:t>
      </w:r>
      <w:r w:rsidR="0001417D">
        <w:t>), a systemic response to the pathogen stimulus</w:t>
      </w:r>
      <w:r w:rsidR="00FD65FA" w:rsidRPr="00FD65FA">
        <w:t xml:space="preserve"> (1° </w:t>
      </w:r>
      <w:r w:rsidR="00FD65FA" w:rsidRPr="00FD65FA">
        <w:rPr>
          <w:i/>
        </w:rPr>
        <w:t>Psm</w:t>
      </w:r>
      <w:r w:rsidR="00FD65FA" w:rsidRPr="00FD65FA">
        <w:t>/2° MgCl</w:t>
      </w:r>
      <w:r w:rsidR="00FD65FA" w:rsidRPr="00FD65FA">
        <w:rPr>
          <w:vertAlign w:val="subscript"/>
        </w:rPr>
        <w:t>2</w:t>
      </w:r>
      <w:r w:rsidR="00FD65FA" w:rsidRPr="00FD65FA">
        <w:t xml:space="preserve">), a local </w:t>
      </w:r>
      <w:r w:rsidR="0001417D">
        <w:t xml:space="preserve">response to the </w:t>
      </w:r>
      <w:r w:rsidR="00FD65FA" w:rsidRPr="00FD65FA">
        <w:t>pathogen stimulus (1° MgCl</w:t>
      </w:r>
      <w:r w:rsidR="00FD65FA" w:rsidRPr="00FD65FA">
        <w:rPr>
          <w:vertAlign w:val="subscript"/>
        </w:rPr>
        <w:t>2</w:t>
      </w:r>
      <w:r w:rsidR="00FD65FA" w:rsidRPr="00FD65FA">
        <w:t xml:space="preserve">/2° </w:t>
      </w:r>
      <w:r w:rsidR="00FD65FA" w:rsidRPr="00FD65FA">
        <w:rPr>
          <w:i/>
        </w:rPr>
        <w:t>Psm</w:t>
      </w:r>
      <w:r w:rsidR="00FD65FA" w:rsidRPr="00FD65FA">
        <w:t xml:space="preserve">), and a combination of </w:t>
      </w:r>
      <w:r w:rsidR="007669F8">
        <w:t xml:space="preserve">both </w:t>
      </w:r>
      <w:r w:rsidR="00FD65FA" w:rsidRPr="00FD65FA">
        <w:t>loc</w:t>
      </w:r>
      <w:r w:rsidR="0001417D">
        <w:t>al and systemic responses</w:t>
      </w:r>
      <w:r w:rsidR="00FD65FA" w:rsidRPr="00FD65FA">
        <w:t xml:space="preserve"> (1° </w:t>
      </w:r>
      <w:r w:rsidR="00FD65FA" w:rsidRPr="00FD65FA">
        <w:rPr>
          <w:i/>
        </w:rPr>
        <w:t>Psm</w:t>
      </w:r>
      <w:r w:rsidR="00FD65FA" w:rsidRPr="00FD65FA">
        <w:t xml:space="preserve">/2° </w:t>
      </w:r>
      <w:r w:rsidR="00FD65FA" w:rsidRPr="00FD65FA">
        <w:rPr>
          <w:i/>
        </w:rPr>
        <w:t>Psm</w:t>
      </w:r>
      <w:r w:rsidR="00C8227F">
        <w:t>; SAR state</w:t>
      </w:r>
      <w:r w:rsidR="00FD65FA" w:rsidRPr="00FD65FA">
        <w:t xml:space="preserve">). </w:t>
      </w:r>
      <w:r w:rsidR="00A85FAD">
        <w:t xml:space="preserve">As </w:t>
      </w:r>
      <w:r w:rsidR="00C8227F">
        <w:t>mentioned</w:t>
      </w:r>
      <w:r w:rsidR="00A85FAD">
        <w:t xml:space="preserve"> earlier, </w:t>
      </w:r>
      <w:r w:rsidR="007669F8">
        <w:t>SAR</w:t>
      </w:r>
      <w:r w:rsidR="005177A2">
        <w:t xml:space="preserve"> can be described as a combination of preactivated defence signalling pathways and enhanced alertness in the plant. Defence priming contributes in a major way to both by preactivation of defence metabolite biosynthesis pathways and marking defence</w:t>
      </w:r>
      <w:r w:rsidR="00C8227F">
        <w:t>-related</w:t>
      </w:r>
      <w:r w:rsidR="005177A2">
        <w:t xml:space="preserve"> genes for fast expression.</w:t>
      </w:r>
      <w:r w:rsidR="00E3567D">
        <w:t xml:space="preserve"> </w:t>
      </w:r>
      <w:r w:rsidR="00025E1C">
        <w:t>We defined priming of a p</w:t>
      </w:r>
      <w:r w:rsidR="001F5EB3">
        <w:t>lant response as the response to</w:t>
      </w:r>
      <w:r w:rsidR="00025E1C">
        <w:t xml:space="preserve"> </w:t>
      </w:r>
      <w:r w:rsidR="00025E1C">
        <w:lastRenderedPageBreak/>
        <w:t xml:space="preserve">the </w:t>
      </w:r>
      <w:r w:rsidR="00C329E8">
        <w:t>combined local and systemic pathogen stimuli</w:t>
      </w:r>
      <w:r w:rsidR="00025E1C">
        <w:t xml:space="preserve"> being significantly stronger than the sum of the individual local and systemic response</w:t>
      </w:r>
      <w:r w:rsidR="00EB4BB6">
        <w:t>s</w:t>
      </w:r>
      <w:r w:rsidR="00025E1C">
        <w:t xml:space="preserve"> (Figure 23). </w:t>
      </w:r>
    </w:p>
    <w:p w:rsidR="00827FC1" w:rsidRDefault="00827FC1" w:rsidP="00827FC1">
      <w:pPr>
        <w:keepNext/>
        <w:spacing w:after="0" w:line="360" w:lineRule="auto"/>
        <w:jc w:val="both"/>
      </w:pPr>
      <w:r>
        <w:rPr>
          <w:noProof/>
          <w:lang w:val="de-DE" w:eastAsia="de-DE"/>
        </w:rPr>
        <w:drawing>
          <wp:anchor distT="0" distB="0" distL="114300" distR="114300" simplePos="0" relativeHeight="251682816" behindDoc="0" locked="0" layoutInCell="1" allowOverlap="1" wp14:anchorId="2DB55133" wp14:editId="1FF8DABC">
            <wp:simplePos x="895350" y="5486400"/>
            <wp:positionH relativeFrom="page">
              <wp:align>center</wp:align>
            </wp:positionH>
            <wp:positionV relativeFrom="paragraph">
              <wp:posOffset>0</wp:posOffset>
            </wp:positionV>
            <wp:extent cx="2880000" cy="2181600"/>
            <wp:effectExtent l="19050" t="19050" r="15875" b="28575"/>
            <wp:wrapTopAndBottom/>
            <wp:docPr id="58" name="Grafik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finition priming.png"/>
                    <pic:cNvPicPr/>
                  </pic:nvPicPr>
                  <pic:blipFill>
                    <a:blip r:embed="rId48" cstate="print">
                      <a:extLst>
                        <a:ext uri="{28A0092B-C50C-407E-A947-70E740481C1C}">
                          <a14:useLocalDpi xmlns:a14="http://schemas.microsoft.com/office/drawing/2010/main" val="0"/>
                        </a:ext>
                      </a:extLst>
                    </a:blip>
                    <a:stretch>
                      <a:fillRect/>
                    </a:stretch>
                  </pic:blipFill>
                  <pic:spPr>
                    <a:xfrm>
                      <a:off x="0" y="0"/>
                      <a:ext cx="2880000" cy="2181600"/>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p>
    <w:p w:rsidR="00B4720C" w:rsidRPr="00343090" w:rsidRDefault="00827FC1" w:rsidP="007669F8">
      <w:pPr>
        <w:pStyle w:val="Beschriftung"/>
        <w:spacing w:after="0" w:line="360" w:lineRule="auto"/>
        <w:jc w:val="both"/>
        <w:rPr>
          <w:color w:val="auto"/>
          <w:lang w:val="en-US"/>
        </w:rPr>
      </w:pPr>
      <w:bookmarkStart w:id="66" w:name="_Toc435621141"/>
      <w:proofErr w:type="gramStart"/>
      <w:r w:rsidRPr="00343090">
        <w:rPr>
          <w:color w:val="auto"/>
        </w:rPr>
        <w:t xml:space="preserve">Figure </w:t>
      </w:r>
      <w:r w:rsidRPr="00343090">
        <w:rPr>
          <w:color w:val="auto"/>
        </w:rPr>
        <w:fldChar w:fldCharType="begin"/>
      </w:r>
      <w:r w:rsidRPr="00343090">
        <w:rPr>
          <w:color w:val="auto"/>
        </w:rPr>
        <w:instrText xml:space="preserve"> SEQ Figure \* ARABIC </w:instrText>
      </w:r>
      <w:r w:rsidRPr="00343090">
        <w:rPr>
          <w:color w:val="auto"/>
        </w:rPr>
        <w:fldChar w:fldCharType="separate"/>
      </w:r>
      <w:r w:rsidR="00CB17FE">
        <w:rPr>
          <w:noProof/>
          <w:color w:val="auto"/>
        </w:rPr>
        <w:t>23</w:t>
      </w:r>
      <w:r w:rsidRPr="00343090">
        <w:rPr>
          <w:color w:val="auto"/>
        </w:rPr>
        <w:fldChar w:fldCharType="end"/>
      </w:r>
      <w:r w:rsidR="0096402E">
        <w:rPr>
          <w:color w:val="auto"/>
        </w:rPr>
        <w:t>.</w:t>
      </w:r>
      <w:proofErr w:type="gramEnd"/>
      <w:r w:rsidRPr="00343090">
        <w:rPr>
          <w:color w:val="auto"/>
        </w:rPr>
        <w:t xml:space="preserve"> </w:t>
      </w:r>
      <w:proofErr w:type="gramStart"/>
      <w:r w:rsidRPr="00343090">
        <w:rPr>
          <w:color w:val="auto"/>
        </w:rPr>
        <w:t>Priming of gene expression</w:t>
      </w:r>
      <w:r w:rsidR="00214FB9" w:rsidRPr="00343090">
        <w:rPr>
          <w:color w:val="auto"/>
        </w:rPr>
        <w:t>.</w:t>
      </w:r>
      <w:bookmarkEnd w:id="66"/>
      <w:proofErr w:type="gramEnd"/>
      <w:r w:rsidR="00214FB9" w:rsidRPr="00343090">
        <w:rPr>
          <w:color w:val="auto"/>
          <w:lang w:val="en-US"/>
        </w:rPr>
        <w:t xml:space="preserve"> </w:t>
      </w:r>
    </w:p>
    <w:p w:rsidR="00214FB9" w:rsidRPr="00343090" w:rsidRDefault="00214FB9" w:rsidP="00111B74">
      <w:pPr>
        <w:pStyle w:val="Beschriftung"/>
        <w:jc w:val="both"/>
        <w:rPr>
          <w:b w:val="0"/>
          <w:color w:val="auto"/>
          <w:lang w:val="en-US"/>
        </w:rPr>
      </w:pPr>
      <w:r w:rsidRPr="00343090">
        <w:rPr>
          <w:b w:val="0"/>
          <w:color w:val="auto"/>
          <w:lang w:val="en-US"/>
        </w:rPr>
        <w:t xml:space="preserve">Plants were double inoculated to analyse defence priming </w:t>
      </w:r>
      <w:r w:rsidR="006368BC" w:rsidRPr="00343090">
        <w:rPr>
          <w:b w:val="0"/>
          <w:color w:val="auto"/>
          <w:lang w:val="en-US"/>
        </w:rPr>
        <w:t xml:space="preserve">of gene expression </w:t>
      </w:r>
      <w:r w:rsidRPr="00343090">
        <w:rPr>
          <w:b w:val="0"/>
          <w:color w:val="auto"/>
          <w:lang w:val="en-US"/>
        </w:rPr>
        <w:t>during SAR. Plants were treated in lower (1°) leaves with either 10 mM MgCl</w:t>
      </w:r>
      <w:r w:rsidRPr="00343090">
        <w:rPr>
          <w:b w:val="0"/>
          <w:color w:val="auto"/>
          <w:vertAlign w:val="subscript"/>
          <w:lang w:val="en-US"/>
        </w:rPr>
        <w:t xml:space="preserve">2 </w:t>
      </w:r>
      <w:r w:rsidRPr="00343090">
        <w:rPr>
          <w:b w:val="0"/>
          <w:color w:val="auto"/>
          <w:lang w:val="en-US"/>
        </w:rPr>
        <w:t xml:space="preserve">or </w:t>
      </w:r>
      <w:r w:rsidRPr="00343090">
        <w:rPr>
          <w:b w:val="0"/>
          <w:i/>
          <w:color w:val="auto"/>
          <w:lang w:val="en-US"/>
        </w:rPr>
        <w:t>Psm</w:t>
      </w:r>
      <w:r w:rsidRPr="00343090">
        <w:rPr>
          <w:b w:val="0"/>
          <w:color w:val="auto"/>
          <w:lang w:val="en-US"/>
        </w:rPr>
        <w:t xml:space="preserve"> (OD</w:t>
      </w:r>
      <w:r w:rsidRPr="00343090">
        <w:rPr>
          <w:b w:val="0"/>
          <w:color w:val="auto"/>
          <w:vertAlign w:val="subscript"/>
          <w:lang w:val="en-US"/>
        </w:rPr>
        <w:t>600</w:t>
      </w:r>
      <w:r w:rsidRPr="00343090">
        <w:rPr>
          <w:b w:val="0"/>
          <w:color w:val="auto"/>
          <w:lang w:val="en-US"/>
        </w:rPr>
        <w:t xml:space="preserve">=0.005); 2 days later, upper leaves </w:t>
      </w:r>
      <w:r w:rsidR="007669F8">
        <w:rPr>
          <w:b w:val="0"/>
          <w:color w:val="auto"/>
          <w:lang w:val="en-US"/>
        </w:rPr>
        <w:t xml:space="preserve">(2°) </w:t>
      </w:r>
      <w:r w:rsidRPr="00343090">
        <w:rPr>
          <w:b w:val="0"/>
          <w:color w:val="auto"/>
          <w:lang w:val="en-US"/>
        </w:rPr>
        <w:t>were infiltrated with either 10 mM MgCl</w:t>
      </w:r>
      <w:r w:rsidRPr="007669F8">
        <w:rPr>
          <w:b w:val="0"/>
          <w:color w:val="auto"/>
          <w:vertAlign w:val="subscript"/>
          <w:lang w:val="en-US"/>
        </w:rPr>
        <w:t>2</w:t>
      </w:r>
      <w:r w:rsidRPr="00343090">
        <w:rPr>
          <w:b w:val="0"/>
          <w:color w:val="auto"/>
          <w:lang w:val="en-US"/>
        </w:rPr>
        <w:t xml:space="preserve"> or </w:t>
      </w:r>
      <w:r w:rsidRPr="00343090">
        <w:rPr>
          <w:b w:val="0"/>
          <w:i/>
          <w:color w:val="auto"/>
          <w:lang w:val="en-US"/>
        </w:rPr>
        <w:t>Psm</w:t>
      </w:r>
      <w:r w:rsidRPr="00343090">
        <w:rPr>
          <w:b w:val="0"/>
          <w:color w:val="auto"/>
          <w:lang w:val="en-US"/>
        </w:rPr>
        <w:t xml:space="preserve"> and scored for gene expression analysis </w:t>
      </w:r>
      <w:r w:rsidR="00C8227F">
        <w:rPr>
          <w:b w:val="0"/>
          <w:color w:val="auto"/>
          <w:lang w:val="en-US"/>
        </w:rPr>
        <w:t xml:space="preserve">at </w:t>
      </w:r>
      <w:r w:rsidRPr="00343090">
        <w:rPr>
          <w:b w:val="0"/>
          <w:color w:val="auto"/>
          <w:lang w:val="en-US"/>
        </w:rPr>
        <w:t xml:space="preserve">10 </w:t>
      </w:r>
      <w:r w:rsidR="00C8227F">
        <w:rPr>
          <w:b w:val="0"/>
          <w:color w:val="auto"/>
          <w:lang w:val="en-US"/>
        </w:rPr>
        <w:t>hpi</w:t>
      </w:r>
      <w:r w:rsidRPr="00343090">
        <w:rPr>
          <w:b w:val="0"/>
          <w:color w:val="auto"/>
          <w:lang w:val="en-US"/>
        </w:rPr>
        <w:t>. Four different cases, a control situation (1° MgCl</w:t>
      </w:r>
      <w:r w:rsidRPr="00343090">
        <w:rPr>
          <w:b w:val="0"/>
          <w:color w:val="auto"/>
          <w:vertAlign w:val="subscript"/>
          <w:lang w:val="en-US"/>
        </w:rPr>
        <w:t>2</w:t>
      </w:r>
      <w:r w:rsidRPr="00343090">
        <w:rPr>
          <w:b w:val="0"/>
          <w:color w:val="auto"/>
          <w:lang w:val="en-US"/>
        </w:rPr>
        <w:t>/2° MgCl</w:t>
      </w:r>
      <w:r w:rsidRPr="00343090">
        <w:rPr>
          <w:b w:val="0"/>
          <w:color w:val="auto"/>
          <w:vertAlign w:val="subscript"/>
          <w:lang w:val="en-US"/>
        </w:rPr>
        <w:t>2</w:t>
      </w:r>
      <w:r w:rsidR="00111B74" w:rsidRPr="00343090">
        <w:rPr>
          <w:b w:val="0"/>
          <w:color w:val="auto"/>
          <w:lang w:val="en-US"/>
        </w:rPr>
        <w:t>), a systemic response</w:t>
      </w:r>
      <w:r w:rsidRPr="00343090">
        <w:rPr>
          <w:b w:val="0"/>
          <w:color w:val="auto"/>
          <w:lang w:val="en-US"/>
        </w:rPr>
        <w:t xml:space="preserve"> (</w:t>
      </w:r>
      <w:r w:rsidR="006368BC" w:rsidRPr="00343090">
        <w:rPr>
          <w:b w:val="0"/>
          <w:color w:val="auto"/>
          <w:lang w:val="en-US"/>
        </w:rPr>
        <w:t xml:space="preserve">a; </w:t>
      </w:r>
      <w:r w:rsidRPr="00343090">
        <w:rPr>
          <w:b w:val="0"/>
          <w:color w:val="auto"/>
          <w:lang w:val="en-US"/>
        </w:rPr>
        <w:t xml:space="preserve">1° </w:t>
      </w:r>
      <w:r w:rsidRPr="00343090">
        <w:rPr>
          <w:b w:val="0"/>
          <w:i/>
          <w:color w:val="auto"/>
          <w:lang w:val="en-US"/>
        </w:rPr>
        <w:t>Psm</w:t>
      </w:r>
      <w:r w:rsidRPr="00343090">
        <w:rPr>
          <w:b w:val="0"/>
          <w:color w:val="auto"/>
          <w:lang w:val="en-US"/>
        </w:rPr>
        <w:t>/2°MgCl</w:t>
      </w:r>
      <w:r w:rsidRPr="00343090">
        <w:rPr>
          <w:b w:val="0"/>
          <w:color w:val="auto"/>
          <w:vertAlign w:val="subscript"/>
          <w:lang w:val="en-US"/>
        </w:rPr>
        <w:t>2</w:t>
      </w:r>
      <w:r w:rsidR="00111B74" w:rsidRPr="00343090">
        <w:rPr>
          <w:b w:val="0"/>
          <w:color w:val="auto"/>
          <w:lang w:val="en-US"/>
        </w:rPr>
        <w:t>), a local response</w:t>
      </w:r>
      <w:r w:rsidRPr="00343090">
        <w:rPr>
          <w:b w:val="0"/>
          <w:color w:val="auto"/>
          <w:lang w:val="en-US"/>
        </w:rPr>
        <w:t xml:space="preserve"> (</w:t>
      </w:r>
      <w:r w:rsidR="006368BC" w:rsidRPr="00343090">
        <w:rPr>
          <w:b w:val="0"/>
          <w:color w:val="auto"/>
          <w:lang w:val="en-US"/>
        </w:rPr>
        <w:t xml:space="preserve">b; </w:t>
      </w:r>
      <w:r w:rsidRPr="00343090">
        <w:rPr>
          <w:b w:val="0"/>
          <w:color w:val="auto"/>
          <w:lang w:val="en-US"/>
        </w:rPr>
        <w:t>1° MgCl</w:t>
      </w:r>
      <w:r w:rsidRPr="00343090">
        <w:rPr>
          <w:b w:val="0"/>
          <w:color w:val="auto"/>
          <w:vertAlign w:val="subscript"/>
          <w:lang w:val="en-US"/>
        </w:rPr>
        <w:t>2</w:t>
      </w:r>
      <w:r w:rsidRPr="00343090">
        <w:rPr>
          <w:b w:val="0"/>
          <w:color w:val="auto"/>
          <w:lang w:val="en-US"/>
        </w:rPr>
        <w:t xml:space="preserve">/2° </w:t>
      </w:r>
      <w:r w:rsidRPr="00343090">
        <w:rPr>
          <w:b w:val="0"/>
          <w:i/>
          <w:color w:val="auto"/>
          <w:lang w:val="en-US"/>
        </w:rPr>
        <w:t>Psm</w:t>
      </w:r>
      <w:r w:rsidRPr="00343090">
        <w:rPr>
          <w:b w:val="0"/>
          <w:color w:val="auto"/>
          <w:lang w:val="en-US"/>
        </w:rPr>
        <w:t>), and a combination of systemic and</w:t>
      </w:r>
      <w:r w:rsidR="00111B74" w:rsidRPr="00343090">
        <w:rPr>
          <w:b w:val="0"/>
          <w:color w:val="auto"/>
          <w:lang w:val="en-US"/>
        </w:rPr>
        <w:t xml:space="preserve"> local responses</w:t>
      </w:r>
      <w:r w:rsidR="00C8227F">
        <w:rPr>
          <w:b w:val="0"/>
          <w:color w:val="auto"/>
          <w:lang w:val="en-US"/>
        </w:rPr>
        <w:t xml:space="preserve"> (SAR state)</w:t>
      </w:r>
      <w:r w:rsidR="00111B74" w:rsidRPr="00343090">
        <w:rPr>
          <w:b w:val="0"/>
          <w:color w:val="auto"/>
          <w:lang w:val="en-US"/>
        </w:rPr>
        <w:t xml:space="preserve"> to the pathogen</w:t>
      </w:r>
      <w:r w:rsidR="006368BC" w:rsidRPr="00343090">
        <w:rPr>
          <w:b w:val="0"/>
          <w:color w:val="auto"/>
          <w:lang w:val="en-US"/>
        </w:rPr>
        <w:t xml:space="preserve"> (c)</w:t>
      </w:r>
      <w:r w:rsidRPr="00343090">
        <w:rPr>
          <w:b w:val="0"/>
          <w:color w:val="auto"/>
          <w:lang w:val="en-US"/>
        </w:rPr>
        <w:t xml:space="preserve">, can be discerned with this experimental setup. </w:t>
      </w:r>
      <w:r w:rsidR="006368BC" w:rsidRPr="00343090">
        <w:rPr>
          <w:b w:val="0"/>
          <w:color w:val="auto"/>
          <w:lang w:val="en-US"/>
        </w:rPr>
        <w:t>If the response in the SAR state of the plant (c) is significantly higher than the sum of local and systemic responses, expression of the analysed gene is considered as primed.</w:t>
      </w:r>
    </w:p>
    <w:p w:rsidR="00235AD0" w:rsidRDefault="00EB4603" w:rsidP="00235AD0">
      <w:pPr>
        <w:spacing w:after="0" w:line="360" w:lineRule="auto"/>
        <w:jc w:val="both"/>
      </w:pPr>
      <w:r w:rsidRPr="00EB4603">
        <w:t xml:space="preserve">Analysis of gene expression in Col-0, </w:t>
      </w:r>
      <w:r w:rsidRPr="00CE338C">
        <w:rPr>
          <w:i/>
        </w:rPr>
        <w:t>ald1</w:t>
      </w:r>
      <w:r w:rsidRPr="00EB4603">
        <w:t xml:space="preserve"> and </w:t>
      </w:r>
      <w:r w:rsidRPr="00CE338C">
        <w:rPr>
          <w:i/>
        </w:rPr>
        <w:t>fmo1</w:t>
      </w:r>
      <w:r w:rsidRPr="00EB4603">
        <w:t xml:space="preserve"> showed a vast array of g</w:t>
      </w:r>
      <w:r w:rsidR="00E0398C">
        <w:t xml:space="preserve">enes </w:t>
      </w:r>
      <w:r w:rsidR="00BF535F">
        <w:t>whose expression was primed upon biological SAR induction</w:t>
      </w:r>
      <w:r w:rsidR="007A5504">
        <w:t xml:space="preserve"> (T</w:t>
      </w:r>
      <w:r w:rsidRPr="00EB4603">
        <w:t xml:space="preserve">able 1). A very </w:t>
      </w:r>
      <w:r w:rsidR="00310B0C">
        <w:t>clear</w:t>
      </w:r>
      <w:r w:rsidRPr="00EB4603">
        <w:t xml:space="preserve"> priming response </w:t>
      </w:r>
      <w:r w:rsidR="0025710B">
        <w:t>was</w:t>
      </w:r>
      <w:r w:rsidRPr="00EB4603">
        <w:t xml:space="preserve"> seen for the defence-related genes </w:t>
      </w:r>
      <w:r w:rsidRPr="00E0398C">
        <w:rPr>
          <w:i/>
        </w:rPr>
        <w:t>ALD1</w:t>
      </w:r>
      <w:r w:rsidR="007A5504">
        <w:t xml:space="preserve"> (Figure 24</w:t>
      </w:r>
      <w:r w:rsidR="00E0398C">
        <w:t xml:space="preserve"> </w:t>
      </w:r>
      <w:r w:rsidRPr="00EB4603">
        <w:t xml:space="preserve">A), and </w:t>
      </w:r>
      <w:r w:rsidRPr="00E0398C">
        <w:rPr>
          <w:i/>
        </w:rPr>
        <w:t>FMO1</w:t>
      </w:r>
      <w:r w:rsidR="007A5504">
        <w:t xml:space="preserve"> (Figure 24</w:t>
      </w:r>
      <w:r w:rsidR="00E0398C">
        <w:t xml:space="preserve"> </w:t>
      </w:r>
      <w:r w:rsidRPr="00EB4603">
        <w:t>B)</w:t>
      </w:r>
      <w:r w:rsidR="00AC3CF0">
        <w:t xml:space="preserve"> in Col-0</w:t>
      </w:r>
      <w:r w:rsidRPr="00EB4603">
        <w:t xml:space="preserve">, </w:t>
      </w:r>
      <w:r w:rsidR="007A5504">
        <w:t xml:space="preserve">which both belong to the group of SA-independent genes. </w:t>
      </w:r>
      <w:r w:rsidR="00AC3CF0">
        <w:t xml:space="preserve">The </w:t>
      </w:r>
      <w:r w:rsidR="00AC3CF0" w:rsidRPr="00AC3CF0">
        <w:rPr>
          <w:i/>
        </w:rPr>
        <w:t>ALD1</w:t>
      </w:r>
      <w:r w:rsidR="00AC3CF0">
        <w:t xml:space="preserve"> gene was not expressed in the </w:t>
      </w:r>
      <w:r w:rsidR="00AC3CF0" w:rsidRPr="00AC3CF0">
        <w:rPr>
          <w:i/>
        </w:rPr>
        <w:t>ald1</w:t>
      </w:r>
      <w:r w:rsidR="00AC3CF0">
        <w:t xml:space="preserve"> mutant and showed no priming of expression in </w:t>
      </w:r>
      <w:r w:rsidR="00AC3CF0" w:rsidRPr="00AC3CF0">
        <w:rPr>
          <w:i/>
        </w:rPr>
        <w:t>fmo1</w:t>
      </w:r>
      <w:r w:rsidR="00AC3CF0">
        <w:t xml:space="preserve"> plants. Similarly, the </w:t>
      </w:r>
      <w:r w:rsidR="00AC3CF0" w:rsidRPr="00AC3CF0">
        <w:rPr>
          <w:i/>
        </w:rPr>
        <w:t>FMO1</w:t>
      </w:r>
      <w:r w:rsidR="00AC3CF0">
        <w:t xml:space="preserve"> gene was not expressed in </w:t>
      </w:r>
      <w:r w:rsidR="00AC3CF0" w:rsidRPr="00AC3CF0">
        <w:rPr>
          <w:i/>
        </w:rPr>
        <w:t>fmo1</w:t>
      </w:r>
      <w:r w:rsidR="00AC3CF0">
        <w:t xml:space="preserve"> plants and showed no priming of expression in </w:t>
      </w:r>
      <w:r w:rsidR="00AC3CF0" w:rsidRPr="00AC3CF0">
        <w:rPr>
          <w:i/>
        </w:rPr>
        <w:t>ald1</w:t>
      </w:r>
      <w:r w:rsidR="00AC3CF0">
        <w:t xml:space="preserve"> plants (Figure 24 A, Figure 24 B). </w:t>
      </w:r>
      <w:r w:rsidR="007A5504">
        <w:t xml:space="preserve">Moderate priming of gene expression demonstrated the likewise </w:t>
      </w:r>
      <w:r w:rsidR="00937508">
        <w:t>SA</w:t>
      </w:r>
      <w:r w:rsidR="007A5504">
        <w:t xml:space="preserve">-independent genes </w:t>
      </w:r>
      <w:r w:rsidR="007A5504" w:rsidRPr="00C329E8">
        <w:rPr>
          <w:i/>
        </w:rPr>
        <w:t>CHI1</w:t>
      </w:r>
      <w:r w:rsidR="007A5504">
        <w:t xml:space="preserve">, encoding a cell wall-located chitinase (Figure 24 C), and </w:t>
      </w:r>
      <w:r w:rsidR="007A5504" w:rsidRPr="00C329E8">
        <w:rPr>
          <w:i/>
        </w:rPr>
        <w:t>TPPD,</w:t>
      </w:r>
      <w:r w:rsidR="007A5504">
        <w:t xml:space="preserve"> which is involved in trehalose metabolism (Figure 24 D).</w:t>
      </w:r>
      <w:r w:rsidRPr="00EB4603">
        <w:t xml:space="preserve"> </w:t>
      </w:r>
      <w:r w:rsidR="00ED69D2">
        <w:t xml:space="preserve">These two genes exhibited very low expression in </w:t>
      </w:r>
      <w:r w:rsidR="00ED69D2" w:rsidRPr="00ED69D2">
        <w:rPr>
          <w:i/>
        </w:rPr>
        <w:t>ald1</w:t>
      </w:r>
      <w:r w:rsidR="00ED69D2">
        <w:t xml:space="preserve"> plants and lower than WT expression in </w:t>
      </w:r>
      <w:r w:rsidR="00ED69D2" w:rsidRPr="00ED69D2">
        <w:rPr>
          <w:i/>
        </w:rPr>
        <w:t>fmo1</w:t>
      </w:r>
      <w:r w:rsidR="00ED69D2">
        <w:t xml:space="preserve"> (Figure 24 C, Figure 24 D), but in the case of </w:t>
      </w:r>
      <w:r w:rsidR="00ED69D2" w:rsidRPr="00ED69D2">
        <w:rPr>
          <w:i/>
        </w:rPr>
        <w:t>TPPD</w:t>
      </w:r>
      <w:r w:rsidR="00ED69D2">
        <w:t xml:space="preserve">, a weak priming response was observable in </w:t>
      </w:r>
      <w:r w:rsidR="00ED69D2" w:rsidRPr="00ED69D2">
        <w:rPr>
          <w:i/>
        </w:rPr>
        <w:t>fmo1</w:t>
      </w:r>
      <w:r w:rsidR="00ED69D2">
        <w:t xml:space="preserve"> (Figure 24 D). </w:t>
      </w:r>
      <w:r w:rsidR="007A5504">
        <w:t>Among SA-independent genes were als</w:t>
      </w:r>
      <w:r w:rsidR="00ED69D2">
        <w:t xml:space="preserve">o </w:t>
      </w:r>
      <w:r w:rsidR="007A5504">
        <w:t xml:space="preserve">several genes not showing primed expression during SAR, for instance the glutathione S-transferase gene </w:t>
      </w:r>
      <w:r w:rsidR="007A5504" w:rsidRPr="00C329E8">
        <w:rPr>
          <w:i/>
        </w:rPr>
        <w:t>GSTU1</w:t>
      </w:r>
      <w:r w:rsidR="007A5504">
        <w:t xml:space="preserve"> (Figure 24 E) and </w:t>
      </w:r>
      <w:r w:rsidR="009A5658" w:rsidRPr="00C329E8">
        <w:rPr>
          <w:i/>
        </w:rPr>
        <w:t>At1g26420</w:t>
      </w:r>
      <w:r w:rsidR="009A5658">
        <w:t xml:space="preserve">, whose </w:t>
      </w:r>
      <w:r w:rsidR="00E34960">
        <w:t xml:space="preserve">gene </w:t>
      </w:r>
      <w:r w:rsidR="009A5658">
        <w:t>product is involved in ROS generation (Figure 24 F).</w:t>
      </w:r>
      <w:r w:rsidR="007A5504">
        <w:t xml:space="preserve"> </w:t>
      </w:r>
      <w:r w:rsidR="00ED69D2" w:rsidRPr="00AB234B">
        <w:rPr>
          <w:i/>
        </w:rPr>
        <w:t>GSTU1</w:t>
      </w:r>
      <w:r w:rsidR="00ED69D2">
        <w:t xml:space="preserve"> expression was slightly lower in </w:t>
      </w:r>
      <w:r w:rsidR="00ED69D2" w:rsidRPr="00AB234B">
        <w:rPr>
          <w:i/>
        </w:rPr>
        <w:t>ald1</w:t>
      </w:r>
      <w:r w:rsidR="00ED69D2">
        <w:t xml:space="preserve"> than in Col-0 plants, especially </w:t>
      </w:r>
      <w:r w:rsidR="00AB234B">
        <w:t>after the local pathogen stimulus (</w:t>
      </w:r>
      <w:r w:rsidR="00AB234B" w:rsidRPr="00AB234B">
        <w:t>1° MgCl</w:t>
      </w:r>
      <w:r w:rsidR="00AB234B" w:rsidRPr="00AB234B">
        <w:rPr>
          <w:vertAlign w:val="subscript"/>
        </w:rPr>
        <w:t>2</w:t>
      </w:r>
      <w:r w:rsidR="00AB234B" w:rsidRPr="00AB234B">
        <w:t xml:space="preserve">/2° </w:t>
      </w:r>
      <w:r w:rsidR="00AB234B" w:rsidRPr="00AB234B">
        <w:rPr>
          <w:i/>
        </w:rPr>
        <w:t>Psm</w:t>
      </w:r>
      <w:r w:rsidR="00AB234B" w:rsidRPr="00AB234B">
        <w:t>),</w:t>
      </w:r>
      <w:r w:rsidR="00AB234B">
        <w:t xml:space="preserve"> but surp</w:t>
      </w:r>
      <w:r w:rsidR="00F875EB">
        <w:t>r</w:t>
      </w:r>
      <w:r w:rsidR="00AB234B">
        <w:t xml:space="preserve">isingly this gene demonstrated primed expression in </w:t>
      </w:r>
      <w:r w:rsidR="00AB234B" w:rsidRPr="00AB234B">
        <w:rPr>
          <w:i/>
        </w:rPr>
        <w:t>fmo1</w:t>
      </w:r>
      <w:r w:rsidR="00AB234B">
        <w:t xml:space="preserve"> (Figure 24 E).</w:t>
      </w:r>
      <w:r w:rsidR="00ED69D2">
        <w:t xml:space="preserve"> </w:t>
      </w:r>
      <w:r w:rsidR="00AB234B">
        <w:t xml:space="preserve">Expression of </w:t>
      </w:r>
      <w:r w:rsidR="00AB234B" w:rsidRPr="00AB234B">
        <w:rPr>
          <w:i/>
        </w:rPr>
        <w:t>At1g26420</w:t>
      </w:r>
      <w:r w:rsidR="00AB234B">
        <w:t xml:space="preserve"> in </w:t>
      </w:r>
      <w:r w:rsidR="00AB234B" w:rsidRPr="00AB234B">
        <w:rPr>
          <w:i/>
        </w:rPr>
        <w:t>ald1</w:t>
      </w:r>
      <w:r w:rsidR="00AB234B">
        <w:t xml:space="preserve"> and </w:t>
      </w:r>
      <w:r w:rsidR="00AB234B" w:rsidRPr="00AB234B">
        <w:rPr>
          <w:i/>
        </w:rPr>
        <w:t>fmo1</w:t>
      </w:r>
      <w:r w:rsidR="00AB234B">
        <w:t xml:space="preserve"> was comparable to Col-0, with the exception of expression after a systemic pathogen stimulus (</w:t>
      </w:r>
      <w:r w:rsidR="00AB234B" w:rsidRPr="00AB234B">
        <w:t xml:space="preserve">1° </w:t>
      </w:r>
      <w:r w:rsidR="00AB234B" w:rsidRPr="00AB234B">
        <w:rPr>
          <w:i/>
        </w:rPr>
        <w:t>Psm</w:t>
      </w:r>
      <w:r w:rsidR="00AB234B" w:rsidRPr="00AB234B">
        <w:t>/2° MgCl</w:t>
      </w:r>
      <w:r w:rsidR="00AB234B" w:rsidRPr="00AB234B">
        <w:rPr>
          <w:vertAlign w:val="subscript"/>
        </w:rPr>
        <w:t>2</w:t>
      </w:r>
      <w:r w:rsidR="00AB234B">
        <w:t xml:space="preserve">). </w:t>
      </w:r>
    </w:p>
    <w:p w:rsidR="00FD65FA" w:rsidRDefault="00EB1834" w:rsidP="00235AD0">
      <w:pPr>
        <w:spacing w:after="0" w:line="360" w:lineRule="auto"/>
        <w:jc w:val="both"/>
      </w:pPr>
      <w:r>
        <w:rPr>
          <w:noProof/>
          <w:lang w:val="de-DE" w:eastAsia="de-DE"/>
        </w:rPr>
        <w:lastRenderedPageBreak/>
        <w:drawing>
          <wp:anchor distT="0" distB="0" distL="114300" distR="114300" simplePos="0" relativeHeight="251683840" behindDoc="0" locked="0" layoutInCell="1" allowOverlap="1" wp14:anchorId="28EC2F09" wp14:editId="07D5281B">
            <wp:simplePos x="895350" y="895350"/>
            <wp:positionH relativeFrom="page">
              <wp:align>center</wp:align>
            </wp:positionH>
            <wp:positionV relativeFrom="paragraph">
              <wp:posOffset>-3810</wp:posOffset>
            </wp:positionV>
            <wp:extent cx="5760000" cy="6433470"/>
            <wp:effectExtent l="19050" t="19050" r="12700" b="24765"/>
            <wp:wrapTopAndBottom/>
            <wp:docPr id="28"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o priming SA-independent.png"/>
                    <pic:cNvPicPr/>
                  </pic:nvPicPr>
                  <pic:blipFill>
                    <a:blip r:embed="rId49">
                      <a:extLst>
                        <a:ext uri="{28A0092B-C50C-407E-A947-70E740481C1C}">
                          <a14:useLocalDpi xmlns:a14="http://schemas.microsoft.com/office/drawing/2010/main" val="0"/>
                        </a:ext>
                      </a:extLst>
                    </a:blip>
                    <a:stretch>
                      <a:fillRect/>
                    </a:stretch>
                  </pic:blipFill>
                  <pic:spPr>
                    <a:xfrm>
                      <a:off x="0" y="0"/>
                      <a:ext cx="5760000" cy="6433470"/>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p>
    <w:p w:rsidR="00702398" w:rsidRPr="00343090" w:rsidRDefault="00FD65FA" w:rsidP="00937508">
      <w:pPr>
        <w:pStyle w:val="Beschriftung"/>
        <w:spacing w:after="0" w:line="360" w:lineRule="auto"/>
        <w:jc w:val="both"/>
        <w:rPr>
          <w:color w:val="auto"/>
          <w:lang w:val="en-US"/>
        </w:rPr>
      </w:pPr>
      <w:bookmarkStart w:id="67" w:name="_Toc435621142"/>
      <w:proofErr w:type="gramStart"/>
      <w:r w:rsidRPr="00343090">
        <w:rPr>
          <w:color w:val="auto"/>
        </w:rPr>
        <w:t xml:space="preserve">Figure </w:t>
      </w:r>
      <w:r w:rsidRPr="00343090">
        <w:rPr>
          <w:color w:val="auto"/>
        </w:rPr>
        <w:fldChar w:fldCharType="begin"/>
      </w:r>
      <w:r w:rsidRPr="00343090">
        <w:rPr>
          <w:color w:val="auto"/>
        </w:rPr>
        <w:instrText xml:space="preserve"> SEQ Figure \* ARABIC </w:instrText>
      </w:r>
      <w:r w:rsidRPr="00343090">
        <w:rPr>
          <w:color w:val="auto"/>
        </w:rPr>
        <w:fldChar w:fldCharType="separate"/>
      </w:r>
      <w:r w:rsidR="00CB17FE">
        <w:rPr>
          <w:noProof/>
          <w:color w:val="auto"/>
        </w:rPr>
        <w:t>24</w:t>
      </w:r>
      <w:r w:rsidRPr="00343090">
        <w:rPr>
          <w:color w:val="auto"/>
        </w:rPr>
        <w:fldChar w:fldCharType="end"/>
      </w:r>
      <w:r w:rsidR="0096402E">
        <w:rPr>
          <w:color w:val="auto"/>
        </w:rPr>
        <w:t>.</w:t>
      </w:r>
      <w:proofErr w:type="gramEnd"/>
      <w:r w:rsidR="00702398" w:rsidRPr="00343090">
        <w:rPr>
          <w:color w:val="auto"/>
        </w:rPr>
        <w:t xml:space="preserve"> </w:t>
      </w:r>
      <w:r w:rsidR="00702398" w:rsidRPr="00343090">
        <w:rPr>
          <w:color w:val="auto"/>
          <w:lang w:val="en-US"/>
        </w:rPr>
        <w:t xml:space="preserve">Defence priming </w:t>
      </w:r>
      <w:r w:rsidR="003B510C" w:rsidRPr="00343090">
        <w:rPr>
          <w:color w:val="auto"/>
          <w:lang w:val="en-US"/>
        </w:rPr>
        <w:t xml:space="preserve">of </w:t>
      </w:r>
      <w:r w:rsidR="006638F1">
        <w:rPr>
          <w:color w:val="auto"/>
          <w:lang w:val="en-US"/>
        </w:rPr>
        <w:t>SA</w:t>
      </w:r>
      <w:r w:rsidR="00EB1834" w:rsidRPr="00343090">
        <w:rPr>
          <w:color w:val="auto"/>
          <w:lang w:val="en-US"/>
        </w:rPr>
        <w:t>-independent genes</w:t>
      </w:r>
      <w:r w:rsidR="00B4720C" w:rsidRPr="00343090">
        <w:rPr>
          <w:color w:val="auto"/>
          <w:lang w:val="en-US"/>
        </w:rPr>
        <w:t>.</w:t>
      </w:r>
      <w:bookmarkEnd w:id="67"/>
      <w:r w:rsidR="00702398" w:rsidRPr="00343090">
        <w:rPr>
          <w:color w:val="auto"/>
          <w:lang w:val="en-US"/>
        </w:rPr>
        <w:t xml:space="preserve"> </w:t>
      </w:r>
    </w:p>
    <w:p w:rsidR="00FD65FA" w:rsidRPr="00343090" w:rsidRDefault="00702398" w:rsidP="00C91517">
      <w:pPr>
        <w:pStyle w:val="Beschriftung"/>
        <w:jc w:val="both"/>
        <w:rPr>
          <w:b w:val="0"/>
          <w:color w:val="auto"/>
          <w:lang w:val="en-US"/>
        </w:rPr>
      </w:pPr>
      <w:r w:rsidRPr="00343090">
        <w:rPr>
          <w:b w:val="0"/>
          <w:color w:val="auto"/>
          <w:lang w:val="en-US"/>
        </w:rPr>
        <w:t xml:space="preserve">Plants were double inoculated to analyse defence priming during SAR in Col-0, </w:t>
      </w:r>
      <w:r w:rsidRPr="00343090">
        <w:rPr>
          <w:b w:val="0"/>
          <w:i/>
          <w:color w:val="auto"/>
          <w:lang w:val="en-US"/>
        </w:rPr>
        <w:t>ald1</w:t>
      </w:r>
      <w:r w:rsidRPr="00343090">
        <w:rPr>
          <w:b w:val="0"/>
          <w:color w:val="auto"/>
          <w:lang w:val="en-US"/>
        </w:rPr>
        <w:t xml:space="preserve"> and </w:t>
      </w:r>
      <w:r w:rsidRPr="00343090">
        <w:rPr>
          <w:b w:val="0"/>
          <w:i/>
          <w:color w:val="auto"/>
          <w:lang w:val="en-US"/>
        </w:rPr>
        <w:t>fmo1</w:t>
      </w:r>
      <w:r w:rsidRPr="00343090">
        <w:rPr>
          <w:b w:val="0"/>
          <w:color w:val="auto"/>
          <w:lang w:val="en-US"/>
        </w:rPr>
        <w:t>. Plants were treated in lower (1°) leaves with either 10 mM MgCl</w:t>
      </w:r>
      <w:r w:rsidRPr="00343090">
        <w:rPr>
          <w:b w:val="0"/>
          <w:color w:val="auto"/>
          <w:vertAlign w:val="subscript"/>
          <w:lang w:val="en-US"/>
        </w:rPr>
        <w:t xml:space="preserve">2 </w:t>
      </w:r>
      <w:r w:rsidRPr="00343090">
        <w:rPr>
          <w:b w:val="0"/>
          <w:color w:val="auto"/>
          <w:lang w:val="en-US"/>
        </w:rPr>
        <w:t xml:space="preserve">or </w:t>
      </w:r>
      <w:r w:rsidRPr="00343090">
        <w:rPr>
          <w:b w:val="0"/>
          <w:i/>
          <w:color w:val="auto"/>
          <w:lang w:val="en-US"/>
        </w:rPr>
        <w:t>Psm</w:t>
      </w:r>
      <w:r w:rsidRPr="00343090">
        <w:rPr>
          <w:b w:val="0"/>
          <w:color w:val="auto"/>
          <w:lang w:val="en-US"/>
        </w:rPr>
        <w:t xml:space="preserve"> (OD</w:t>
      </w:r>
      <w:r w:rsidRPr="00343090">
        <w:rPr>
          <w:b w:val="0"/>
          <w:color w:val="auto"/>
          <w:vertAlign w:val="subscript"/>
          <w:lang w:val="en-US"/>
        </w:rPr>
        <w:t>600</w:t>
      </w:r>
      <w:r w:rsidRPr="00343090">
        <w:rPr>
          <w:b w:val="0"/>
          <w:color w:val="auto"/>
          <w:lang w:val="en-US"/>
        </w:rPr>
        <w:t xml:space="preserve">=0.005); 2 days later, upper leaves </w:t>
      </w:r>
      <w:r w:rsidR="00937508">
        <w:rPr>
          <w:b w:val="0"/>
          <w:color w:val="auto"/>
          <w:lang w:val="en-US"/>
        </w:rPr>
        <w:t xml:space="preserve">(2°) </w:t>
      </w:r>
      <w:r w:rsidRPr="00343090">
        <w:rPr>
          <w:b w:val="0"/>
          <w:color w:val="auto"/>
          <w:lang w:val="en-US"/>
        </w:rPr>
        <w:t>were infiltrated with either 10 mM MgCl</w:t>
      </w:r>
      <w:r w:rsidRPr="00343090">
        <w:rPr>
          <w:b w:val="0"/>
          <w:color w:val="auto"/>
          <w:vertAlign w:val="subscript"/>
          <w:lang w:val="en-US"/>
        </w:rPr>
        <w:t>2</w:t>
      </w:r>
      <w:r w:rsidRPr="00343090">
        <w:rPr>
          <w:b w:val="0"/>
          <w:color w:val="auto"/>
          <w:lang w:val="en-US"/>
        </w:rPr>
        <w:t xml:space="preserve"> or </w:t>
      </w:r>
      <w:r w:rsidRPr="00343090">
        <w:rPr>
          <w:b w:val="0"/>
          <w:i/>
          <w:color w:val="auto"/>
          <w:lang w:val="en-US"/>
        </w:rPr>
        <w:t>Psm</w:t>
      </w:r>
      <w:r w:rsidRPr="00343090">
        <w:rPr>
          <w:b w:val="0"/>
          <w:color w:val="auto"/>
          <w:lang w:val="en-US"/>
        </w:rPr>
        <w:t xml:space="preserve"> </w:t>
      </w:r>
      <w:r w:rsidR="00C91517" w:rsidRPr="00343090">
        <w:rPr>
          <w:b w:val="0"/>
          <w:color w:val="auto"/>
          <w:lang w:val="en-US"/>
        </w:rPr>
        <w:t>(OD</w:t>
      </w:r>
      <w:r w:rsidR="00C91517" w:rsidRPr="00343090">
        <w:rPr>
          <w:b w:val="0"/>
          <w:color w:val="auto"/>
          <w:vertAlign w:val="subscript"/>
          <w:lang w:val="en-US"/>
        </w:rPr>
        <w:t>600</w:t>
      </w:r>
      <w:r w:rsidR="00C91517" w:rsidRPr="00343090">
        <w:rPr>
          <w:b w:val="0"/>
          <w:color w:val="auto"/>
          <w:lang w:val="en-US"/>
        </w:rPr>
        <w:t xml:space="preserve">=0.005) </w:t>
      </w:r>
      <w:r w:rsidRPr="00343090">
        <w:rPr>
          <w:b w:val="0"/>
          <w:color w:val="auto"/>
          <w:lang w:val="en-US"/>
        </w:rPr>
        <w:t xml:space="preserve">and scored for gene expression analysis </w:t>
      </w:r>
      <w:r w:rsidR="00F875EB">
        <w:rPr>
          <w:b w:val="0"/>
          <w:color w:val="auto"/>
          <w:lang w:val="en-US"/>
        </w:rPr>
        <w:t>at 10 hpi</w:t>
      </w:r>
      <w:r w:rsidRPr="00343090">
        <w:rPr>
          <w:b w:val="0"/>
          <w:color w:val="auto"/>
          <w:lang w:val="en-US"/>
        </w:rPr>
        <w:t>. Four different cases, a control situation (1° MgCl</w:t>
      </w:r>
      <w:r w:rsidRPr="00343090">
        <w:rPr>
          <w:b w:val="0"/>
          <w:color w:val="auto"/>
          <w:vertAlign w:val="subscript"/>
          <w:lang w:val="en-US"/>
        </w:rPr>
        <w:t>2</w:t>
      </w:r>
      <w:r w:rsidRPr="00343090">
        <w:rPr>
          <w:b w:val="0"/>
          <w:color w:val="auto"/>
          <w:lang w:val="en-US"/>
        </w:rPr>
        <w:t>/2° MgCl</w:t>
      </w:r>
      <w:r w:rsidRPr="00343090">
        <w:rPr>
          <w:b w:val="0"/>
          <w:color w:val="auto"/>
          <w:vertAlign w:val="subscript"/>
          <w:lang w:val="en-US"/>
        </w:rPr>
        <w:t>2</w:t>
      </w:r>
      <w:r w:rsidRPr="00343090">
        <w:rPr>
          <w:b w:val="0"/>
          <w:color w:val="auto"/>
          <w:lang w:val="en-US"/>
        </w:rPr>
        <w:t xml:space="preserve">), a systemic </w:t>
      </w:r>
      <w:r w:rsidR="00C91517" w:rsidRPr="00343090">
        <w:rPr>
          <w:b w:val="0"/>
          <w:color w:val="auto"/>
          <w:lang w:val="en-US"/>
        </w:rPr>
        <w:t>response</w:t>
      </w:r>
      <w:r w:rsidRPr="00343090">
        <w:rPr>
          <w:b w:val="0"/>
          <w:color w:val="auto"/>
          <w:lang w:val="en-US"/>
        </w:rPr>
        <w:t xml:space="preserve"> (1° </w:t>
      </w:r>
      <w:r w:rsidRPr="00343090">
        <w:rPr>
          <w:b w:val="0"/>
          <w:i/>
          <w:color w:val="auto"/>
          <w:lang w:val="en-US"/>
        </w:rPr>
        <w:t>Psm</w:t>
      </w:r>
      <w:r w:rsidRPr="00343090">
        <w:rPr>
          <w:b w:val="0"/>
          <w:color w:val="auto"/>
          <w:lang w:val="en-US"/>
        </w:rPr>
        <w:t>/2°MgCl</w:t>
      </w:r>
      <w:r w:rsidRPr="00343090">
        <w:rPr>
          <w:b w:val="0"/>
          <w:color w:val="auto"/>
          <w:vertAlign w:val="subscript"/>
          <w:lang w:val="en-US"/>
        </w:rPr>
        <w:t>2</w:t>
      </w:r>
      <w:r w:rsidR="00C91517" w:rsidRPr="00343090">
        <w:rPr>
          <w:b w:val="0"/>
          <w:color w:val="auto"/>
          <w:lang w:val="en-US"/>
        </w:rPr>
        <w:t>), a local response</w:t>
      </w:r>
      <w:r w:rsidRPr="00343090">
        <w:rPr>
          <w:b w:val="0"/>
          <w:color w:val="auto"/>
          <w:lang w:val="en-US"/>
        </w:rPr>
        <w:t xml:space="preserve"> (1° MgCl</w:t>
      </w:r>
      <w:r w:rsidRPr="00343090">
        <w:rPr>
          <w:b w:val="0"/>
          <w:color w:val="auto"/>
          <w:vertAlign w:val="subscript"/>
          <w:lang w:val="en-US"/>
        </w:rPr>
        <w:t>2</w:t>
      </w:r>
      <w:r w:rsidRPr="00343090">
        <w:rPr>
          <w:b w:val="0"/>
          <w:color w:val="auto"/>
          <w:lang w:val="en-US"/>
        </w:rPr>
        <w:t xml:space="preserve">/2° </w:t>
      </w:r>
      <w:r w:rsidRPr="00343090">
        <w:rPr>
          <w:b w:val="0"/>
          <w:i/>
          <w:color w:val="auto"/>
          <w:lang w:val="en-US"/>
        </w:rPr>
        <w:t>Psm</w:t>
      </w:r>
      <w:r w:rsidRPr="00343090">
        <w:rPr>
          <w:b w:val="0"/>
          <w:color w:val="auto"/>
          <w:lang w:val="en-US"/>
        </w:rPr>
        <w:t>), and a combination of sys</w:t>
      </w:r>
      <w:r w:rsidR="00C91517" w:rsidRPr="00343090">
        <w:rPr>
          <w:b w:val="0"/>
          <w:color w:val="auto"/>
          <w:lang w:val="en-US"/>
        </w:rPr>
        <w:t>temic and local responses to the pathogen</w:t>
      </w:r>
      <w:r w:rsidR="00F875EB">
        <w:rPr>
          <w:b w:val="0"/>
          <w:color w:val="auto"/>
          <w:lang w:val="en-US"/>
        </w:rPr>
        <w:t xml:space="preserve"> (SAR)</w:t>
      </w:r>
      <w:r w:rsidRPr="00343090">
        <w:rPr>
          <w:b w:val="0"/>
          <w:color w:val="auto"/>
          <w:lang w:val="en-US"/>
        </w:rPr>
        <w:t>, can be discerned</w:t>
      </w:r>
      <w:r w:rsidR="00937508">
        <w:rPr>
          <w:b w:val="0"/>
          <w:color w:val="auto"/>
          <w:lang w:val="en-US"/>
        </w:rPr>
        <w:t xml:space="preserve"> with this experimental setup.</w:t>
      </w:r>
      <w:r w:rsidR="00C91517" w:rsidRPr="00343090">
        <w:rPr>
          <w:b w:val="0"/>
          <w:color w:val="auto"/>
          <w:lang w:val="en-US"/>
        </w:rPr>
        <w:t xml:space="preserve"> </w:t>
      </w:r>
      <w:r w:rsidRPr="00343090">
        <w:rPr>
          <w:b w:val="0"/>
          <w:color w:val="auto"/>
          <w:lang w:val="en-US"/>
        </w:rPr>
        <w:t xml:space="preserve">Relative expression of </w:t>
      </w:r>
      <w:r w:rsidRPr="00343090">
        <w:rPr>
          <w:b w:val="0"/>
          <w:i/>
          <w:color w:val="auto"/>
          <w:lang w:val="en-US"/>
        </w:rPr>
        <w:t>ALD1</w:t>
      </w:r>
      <w:r w:rsidRPr="00343090">
        <w:rPr>
          <w:b w:val="0"/>
          <w:color w:val="auto"/>
          <w:lang w:val="en-US"/>
        </w:rPr>
        <w:t xml:space="preserve"> (A), </w:t>
      </w:r>
      <w:r w:rsidRPr="00343090">
        <w:rPr>
          <w:b w:val="0"/>
          <w:i/>
          <w:color w:val="auto"/>
          <w:lang w:val="en-US"/>
        </w:rPr>
        <w:t>FMO1</w:t>
      </w:r>
      <w:r w:rsidRPr="00343090">
        <w:rPr>
          <w:b w:val="0"/>
          <w:color w:val="auto"/>
          <w:lang w:val="en-US"/>
        </w:rPr>
        <w:t xml:space="preserve"> (B), </w:t>
      </w:r>
      <w:r w:rsidR="00B95DFB" w:rsidRPr="00343090">
        <w:rPr>
          <w:b w:val="0"/>
          <w:i/>
          <w:color w:val="auto"/>
          <w:lang w:val="en-US"/>
        </w:rPr>
        <w:t>CHI1</w:t>
      </w:r>
      <w:r w:rsidRPr="00343090">
        <w:rPr>
          <w:b w:val="0"/>
          <w:color w:val="auto"/>
          <w:lang w:val="en-US"/>
        </w:rPr>
        <w:t xml:space="preserve"> (C), </w:t>
      </w:r>
      <w:r w:rsidR="00B95DFB" w:rsidRPr="00343090">
        <w:rPr>
          <w:b w:val="0"/>
          <w:i/>
          <w:color w:val="auto"/>
          <w:lang w:val="en-US"/>
        </w:rPr>
        <w:t>TPPD</w:t>
      </w:r>
      <w:r w:rsidRPr="00343090">
        <w:rPr>
          <w:b w:val="0"/>
          <w:color w:val="auto"/>
          <w:lang w:val="en-US"/>
        </w:rPr>
        <w:t xml:space="preserve"> (D), </w:t>
      </w:r>
      <w:r w:rsidR="00B95DFB" w:rsidRPr="00343090">
        <w:rPr>
          <w:b w:val="0"/>
          <w:i/>
          <w:color w:val="auto"/>
          <w:lang w:val="en-US"/>
        </w:rPr>
        <w:t>GSTU1</w:t>
      </w:r>
      <w:r w:rsidRPr="00343090">
        <w:rPr>
          <w:b w:val="0"/>
          <w:color w:val="auto"/>
          <w:lang w:val="en-US"/>
        </w:rPr>
        <w:t xml:space="preserve"> (E), </w:t>
      </w:r>
      <w:r w:rsidR="00B95DFB" w:rsidRPr="00343090">
        <w:rPr>
          <w:b w:val="0"/>
          <w:color w:val="auto"/>
          <w:lang w:val="en-US"/>
        </w:rPr>
        <w:t xml:space="preserve">and </w:t>
      </w:r>
      <w:r w:rsidR="00B95DFB" w:rsidRPr="00343090">
        <w:rPr>
          <w:b w:val="0"/>
          <w:i/>
          <w:color w:val="auto"/>
          <w:lang w:val="en-US"/>
        </w:rPr>
        <w:t>At1g26420</w:t>
      </w:r>
      <w:r w:rsidR="00B95DFB" w:rsidRPr="00343090">
        <w:rPr>
          <w:b w:val="0"/>
          <w:color w:val="auto"/>
          <w:lang w:val="en-US"/>
        </w:rPr>
        <w:t xml:space="preserve"> (F)</w:t>
      </w:r>
      <w:r w:rsidRPr="00343090">
        <w:rPr>
          <w:b w:val="0"/>
          <w:color w:val="auto"/>
          <w:lang w:val="en-US"/>
        </w:rPr>
        <w:t xml:space="preserve"> at 10 hours after 2° treatment. Transcript levels were determined by quantitative real-time PCR analysis, are given as means ±SD of three replicate samples, and are expressed relative to the respective mock control value. Statistical differences in transcript abundance upon 2° </w:t>
      </w:r>
      <w:r w:rsidRPr="00343090">
        <w:rPr>
          <w:b w:val="0"/>
          <w:i/>
          <w:color w:val="auto"/>
          <w:lang w:val="en-US"/>
        </w:rPr>
        <w:t>Psm</w:t>
      </w:r>
      <w:r w:rsidRPr="00343090">
        <w:rPr>
          <w:b w:val="0"/>
          <w:color w:val="auto"/>
          <w:lang w:val="en-US"/>
        </w:rPr>
        <w:t xml:space="preserve"> infection between SAR-noninduced and SAR-induced plants were analysed using two-tailed </w:t>
      </w:r>
      <w:r w:rsidRPr="00343090">
        <w:rPr>
          <w:b w:val="0"/>
          <w:i/>
          <w:color w:val="auto"/>
          <w:lang w:val="en-US"/>
        </w:rPr>
        <w:t>t</w:t>
      </w:r>
      <w:r w:rsidRPr="00343090">
        <w:rPr>
          <w:b w:val="0"/>
          <w:color w:val="auto"/>
          <w:lang w:val="en-US"/>
        </w:rPr>
        <w:t xml:space="preserve"> test (P, primed gene). Due to the large number of genes analysed, th</w:t>
      </w:r>
      <w:r w:rsidR="00EB4603" w:rsidRPr="00343090">
        <w:rPr>
          <w:b w:val="0"/>
          <w:color w:val="auto"/>
          <w:lang w:val="en-US"/>
        </w:rPr>
        <w:t>e experiment was done one time.</w:t>
      </w:r>
    </w:p>
    <w:p w:rsidR="00AB234B" w:rsidRPr="00AB234B" w:rsidRDefault="00AB234B" w:rsidP="00AB234B">
      <w:pPr>
        <w:spacing w:line="360" w:lineRule="auto"/>
        <w:jc w:val="both"/>
      </w:pPr>
    </w:p>
    <w:p w:rsidR="00EB1834" w:rsidRDefault="00EB1834" w:rsidP="00FC7225">
      <w:pPr>
        <w:keepNext/>
        <w:spacing w:after="0" w:line="360" w:lineRule="auto"/>
        <w:jc w:val="both"/>
      </w:pPr>
      <w:r>
        <w:rPr>
          <w:noProof/>
          <w:lang w:val="de-DE" w:eastAsia="de-DE"/>
        </w:rPr>
        <w:lastRenderedPageBreak/>
        <w:drawing>
          <wp:anchor distT="0" distB="0" distL="114300" distR="114300" simplePos="0" relativeHeight="251684864" behindDoc="0" locked="0" layoutInCell="1" allowOverlap="1" wp14:anchorId="177035A4" wp14:editId="46C69BA6">
            <wp:simplePos x="895350" y="895350"/>
            <wp:positionH relativeFrom="page">
              <wp:align>center</wp:align>
            </wp:positionH>
            <wp:positionV relativeFrom="paragraph">
              <wp:posOffset>-3810</wp:posOffset>
            </wp:positionV>
            <wp:extent cx="5760000" cy="6358140"/>
            <wp:effectExtent l="19050" t="19050" r="12700" b="24130"/>
            <wp:wrapTopAndBottom/>
            <wp:docPr id="56" name="Grafik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o priming SA-dependent.png"/>
                    <pic:cNvPicPr/>
                  </pic:nvPicPr>
                  <pic:blipFill>
                    <a:blip r:embed="rId50">
                      <a:extLst>
                        <a:ext uri="{28A0092B-C50C-407E-A947-70E740481C1C}">
                          <a14:useLocalDpi xmlns:a14="http://schemas.microsoft.com/office/drawing/2010/main" val="0"/>
                        </a:ext>
                      </a:extLst>
                    </a:blip>
                    <a:stretch>
                      <a:fillRect/>
                    </a:stretch>
                  </pic:blipFill>
                  <pic:spPr>
                    <a:xfrm>
                      <a:off x="0" y="0"/>
                      <a:ext cx="5760000" cy="6358140"/>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p>
    <w:p w:rsidR="00CA78E9" w:rsidRPr="00343090" w:rsidRDefault="00EB1834" w:rsidP="00937508">
      <w:pPr>
        <w:pStyle w:val="Beschriftung"/>
        <w:spacing w:after="0" w:line="360" w:lineRule="auto"/>
        <w:jc w:val="both"/>
        <w:rPr>
          <w:color w:val="auto"/>
        </w:rPr>
      </w:pPr>
      <w:bookmarkStart w:id="68" w:name="_Toc435621143"/>
      <w:proofErr w:type="gramStart"/>
      <w:r w:rsidRPr="00343090">
        <w:rPr>
          <w:color w:val="auto"/>
        </w:rPr>
        <w:t xml:space="preserve">Figure </w:t>
      </w:r>
      <w:r w:rsidRPr="00343090">
        <w:rPr>
          <w:color w:val="auto"/>
        </w:rPr>
        <w:fldChar w:fldCharType="begin"/>
      </w:r>
      <w:r w:rsidRPr="00343090">
        <w:rPr>
          <w:color w:val="auto"/>
        </w:rPr>
        <w:instrText xml:space="preserve"> SEQ Figure \* ARABIC </w:instrText>
      </w:r>
      <w:r w:rsidRPr="00343090">
        <w:rPr>
          <w:color w:val="auto"/>
        </w:rPr>
        <w:fldChar w:fldCharType="separate"/>
      </w:r>
      <w:r w:rsidR="00CB17FE">
        <w:rPr>
          <w:noProof/>
          <w:color w:val="auto"/>
        </w:rPr>
        <w:t>25</w:t>
      </w:r>
      <w:r w:rsidRPr="00343090">
        <w:rPr>
          <w:color w:val="auto"/>
        </w:rPr>
        <w:fldChar w:fldCharType="end"/>
      </w:r>
      <w:r w:rsidR="0096402E">
        <w:rPr>
          <w:color w:val="auto"/>
        </w:rPr>
        <w:t>.</w:t>
      </w:r>
      <w:proofErr w:type="gramEnd"/>
      <w:r w:rsidR="003B510C" w:rsidRPr="00343090">
        <w:rPr>
          <w:color w:val="auto"/>
        </w:rPr>
        <w:t xml:space="preserve"> Defence priming of </w:t>
      </w:r>
      <w:r w:rsidR="006638F1">
        <w:rPr>
          <w:color w:val="auto"/>
        </w:rPr>
        <w:t>SA</w:t>
      </w:r>
      <w:r w:rsidRPr="00343090">
        <w:rPr>
          <w:color w:val="auto"/>
        </w:rPr>
        <w:t>-dependent genes</w:t>
      </w:r>
      <w:r w:rsidR="00322078" w:rsidRPr="00343090">
        <w:rPr>
          <w:color w:val="auto"/>
        </w:rPr>
        <w:t>.</w:t>
      </w:r>
      <w:bookmarkEnd w:id="68"/>
      <w:r w:rsidR="00322078" w:rsidRPr="00343090">
        <w:rPr>
          <w:color w:val="auto"/>
        </w:rPr>
        <w:t xml:space="preserve"> </w:t>
      </w:r>
    </w:p>
    <w:p w:rsidR="00322078" w:rsidRPr="00343090" w:rsidRDefault="00322078" w:rsidP="00421E4C">
      <w:pPr>
        <w:pStyle w:val="Beschriftung"/>
        <w:jc w:val="both"/>
        <w:rPr>
          <w:b w:val="0"/>
          <w:color w:val="auto"/>
        </w:rPr>
      </w:pPr>
      <w:r w:rsidRPr="00343090">
        <w:rPr>
          <w:b w:val="0"/>
          <w:color w:val="auto"/>
        </w:rPr>
        <w:t>Plants were inoculated and samples analysed as desc</w:t>
      </w:r>
      <w:r w:rsidR="00DF7A1C" w:rsidRPr="00343090">
        <w:rPr>
          <w:b w:val="0"/>
          <w:color w:val="auto"/>
        </w:rPr>
        <w:t>ribed in figure 24</w:t>
      </w:r>
      <w:r w:rsidRPr="00343090">
        <w:rPr>
          <w:b w:val="0"/>
          <w:color w:val="auto"/>
        </w:rPr>
        <w:t xml:space="preserve">. </w:t>
      </w:r>
      <w:r w:rsidRPr="00343090">
        <w:rPr>
          <w:b w:val="0"/>
          <w:color w:val="auto"/>
          <w:lang w:val="en-US"/>
        </w:rPr>
        <w:t xml:space="preserve">Relative expression of </w:t>
      </w:r>
      <w:r w:rsidRPr="00343090">
        <w:rPr>
          <w:b w:val="0"/>
          <w:i/>
          <w:color w:val="auto"/>
          <w:lang w:val="en-US"/>
        </w:rPr>
        <w:t>ARD3</w:t>
      </w:r>
      <w:r w:rsidRPr="00343090">
        <w:rPr>
          <w:b w:val="0"/>
          <w:color w:val="auto"/>
          <w:lang w:val="en-US"/>
        </w:rPr>
        <w:t xml:space="preserve"> (A), </w:t>
      </w:r>
      <w:r w:rsidRPr="00343090">
        <w:rPr>
          <w:b w:val="0"/>
          <w:i/>
          <w:color w:val="auto"/>
          <w:lang w:val="en-US"/>
        </w:rPr>
        <w:t>ATPase1</w:t>
      </w:r>
      <w:r w:rsidRPr="00343090">
        <w:rPr>
          <w:b w:val="0"/>
          <w:color w:val="auto"/>
          <w:lang w:val="en-US"/>
        </w:rPr>
        <w:t xml:space="preserve"> (B), </w:t>
      </w:r>
      <w:r w:rsidRPr="00343090">
        <w:rPr>
          <w:b w:val="0"/>
          <w:i/>
          <w:color w:val="auto"/>
          <w:lang w:val="en-US"/>
        </w:rPr>
        <w:t>PR-1</w:t>
      </w:r>
      <w:r w:rsidRPr="00343090">
        <w:rPr>
          <w:b w:val="0"/>
          <w:color w:val="auto"/>
          <w:lang w:val="en-US"/>
        </w:rPr>
        <w:t xml:space="preserve"> (C), </w:t>
      </w:r>
      <w:r w:rsidRPr="00343090">
        <w:rPr>
          <w:b w:val="0"/>
          <w:i/>
          <w:color w:val="auto"/>
          <w:lang w:val="en-US"/>
        </w:rPr>
        <w:t>RKL1-12</w:t>
      </w:r>
      <w:r w:rsidRPr="00343090">
        <w:rPr>
          <w:b w:val="0"/>
          <w:color w:val="auto"/>
          <w:lang w:val="en-US"/>
        </w:rPr>
        <w:t xml:space="preserve"> (D), </w:t>
      </w:r>
      <w:r w:rsidR="00CA78E9" w:rsidRPr="00343090">
        <w:rPr>
          <w:b w:val="0"/>
          <w:i/>
          <w:color w:val="auto"/>
          <w:lang w:val="en-US"/>
        </w:rPr>
        <w:t>BAHD1</w:t>
      </w:r>
      <w:r w:rsidRPr="00343090">
        <w:rPr>
          <w:b w:val="0"/>
          <w:color w:val="auto"/>
          <w:lang w:val="en-US"/>
        </w:rPr>
        <w:t xml:space="preserve"> (E), and </w:t>
      </w:r>
      <w:r w:rsidR="00CA78E9" w:rsidRPr="00343090">
        <w:rPr>
          <w:b w:val="0"/>
          <w:i/>
          <w:color w:val="auto"/>
          <w:lang w:val="en-US"/>
        </w:rPr>
        <w:t>NPR1</w:t>
      </w:r>
      <w:r w:rsidRPr="00343090">
        <w:rPr>
          <w:b w:val="0"/>
          <w:color w:val="auto"/>
          <w:lang w:val="en-US"/>
        </w:rPr>
        <w:t xml:space="preserve"> (F) at 10 hours after 2° treatment.</w:t>
      </w:r>
      <w:r w:rsidR="00326B05" w:rsidRPr="00343090">
        <w:rPr>
          <w:b w:val="0"/>
          <w:color w:val="auto"/>
          <w:lang w:val="en-US"/>
        </w:rPr>
        <w:t xml:space="preserve"> This experiment was done once due to the large number of genes analysed.</w:t>
      </w:r>
    </w:p>
    <w:p w:rsidR="00937508" w:rsidRDefault="00937508" w:rsidP="00937508">
      <w:pPr>
        <w:spacing w:line="360" w:lineRule="auto"/>
        <w:jc w:val="both"/>
      </w:pPr>
    </w:p>
    <w:p w:rsidR="00937508" w:rsidRDefault="00937508" w:rsidP="00937508">
      <w:pPr>
        <w:spacing w:line="360" w:lineRule="auto"/>
        <w:jc w:val="both"/>
      </w:pPr>
    </w:p>
    <w:p w:rsidR="00937508" w:rsidRDefault="00937508" w:rsidP="00937508">
      <w:pPr>
        <w:spacing w:line="360" w:lineRule="auto"/>
        <w:jc w:val="both"/>
      </w:pPr>
    </w:p>
    <w:p w:rsidR="00937508" w:rsidRDefault="00937508" w:rsidP="00937508">
      <w:pPr>
        <w:spacing w:line="360" w:lineRule="auto"/>
        <w:jc w:val="both"/>
      </w:pPr>
    </w:p>
    <w:p w:rsidR="00E73298" w:rsidRDefault="00937508" w:rsidP="00E73298">
      <w:pPr>
        <w:spacing w:after="0" w:line="360" w:lineRule="auto"/>
        <w:jc w:val="both"/>
      </w:pPr>
      <w:r w:rsidRPr="00AB234B">
        <w:lastRenderedPageBreak/>
        <w:t>Among</w:t>
      </w:r>
      <w:r>
        <w:t xml:space="preserve"> the group of SA-dependent genes, primed expression in Col-0 demonstrated</w:t>
      </w:r>
      <w:r w:rsidR="00F875EB">
        <w:t>,</w:t>
      </w:r>
      <w:r>
        <w:t xml:space="preserve"> amongst others</w:t>
      </w:r>
      <w:r w:rsidR="00F875EB">
        <w:t>,</w:t>
      </w:r>
      <w:r>
        <w:t xml:space="preserve"> </w:t>
      </w:r>
      <w:r w:rsidRPr="0019423F">
        <w:rPr>
          <w:i/>
        </w:rPr>
        <w:t>ARD3</w:t>
      </w:r>
      <w:r>
        <w:t xml:space="preserve"> (Figure 25 A), encoding an acireductone dioxygenase involved in the methionine cycle, the transporter </w:t>
      </w:r>
      <w:r w:rsidRPr="0019423F">
        <w:rPr>
          <w:i/>
        </w:rPr>
        <w:t>ATPase1</w:t>
      </w:r>
      <w:r>
        <w:t xml:space="preserve"> (Figure 25 B), the defence-related </w:t>
      </w:r>
      <w:r w:rsidRPr="0019423F">
        <w:rPr>
          <w:i/>
        </w:rPr>
        <w:t>PR-1</w:t>
      </w:r>
      <w:r>
        <w:t xml:space="preserve"> gene (Figure 25 C), and  </w:t>
      </w:r>
      <w:r w:rsidRPr="0019423F">
        <w:rPr>
          <w:i/>
        </w:rPr>
        <w:t>RKL1-12</w:t>
      </w:r>
      <w:r>
        <w:t xml:space="preserve">, which encodes a leucine-rich repeat protein kinase involved in cell signalling (Figure 25 D). These four genes displayed very low expression in </w:t>
      </w:r>
      <w:r w:rsidRPr="00E62FCC">
        <w:rPr>
          <w:i/>
        </w:rPr>
        <w:t>ald1</w:t>
      </w:r>
      <w:r>
        <w:t xml:space="preserve"> and </w:t>
      </w:r>
      <w:r w:rsidRPr="00E62FCC">
        <w:rPr>
          <w:i/>
        </w:rPr>
        <w:t>fmo1</w:t>
      </w:r>
      <w:r>
        <w:t xml:space="preserve"> plants and additionally exhibited no primed expression (Figure 25 A-D). </w:t>
      </w:r>
      <w:r w:rsidRPr="003A1996">
        <w:t xml:space="preserve">Non-primed genes in WT plants in this group were for example </w:t>
      </w:r>
      <w:r w:rsidRPr="003A1996">
        <w:rPr>
          <w:i/>
        </w:rPr>
        <w:t xml:space="preserve">BAHD1 </w:t>
      </w:r>
      <w:r w:rsidRPr="003A1996">
        <w:t>(Figure 25 E), whose gene product plays a role in cell metabolism</w:t>
      </w:r>
      <w:r>
        <w:t>,</w:t>
      </w:r>
      <w:r w:rsidRPr="003A1996">
        <w:t xml:space="preserve"> and </w:t>
      </w:r>
      <w:r w:rsidRPr="003A1996">
        <w:rPr>
          <w:i/>
        </w:rPr>
        <w:t>NPR1</w:t>
      </w:r>
      <w:r>
        <w:rPr>
          <w:i/>
        </w:rPr>
        <w:t>,</w:t>
      </w:r>
      <w:r w:rsidRPr="003A1996">
        <w:t xml:space="preserve"> </w:t>
      </w:r>
      <w:r>
        <w:t>a</w:t>
      </w:r>
      <w:r w:rsidRPr="003A1996">
        <w:t xml:space="preserve"> SA-receptor involved in SA-mediated signalling (Figure 25 F).</w:t>
      </w:r>
      <w:r>
        <w:t xml:space="preserve"> </w:t>
      </w:r>
      <w:r w:rsidR="003A1996" w:rsidRPr="003A1996">
        <w:t xml:space="preserve">Expression for </w:t>
      </w:r>
      <w:r w:rsidR="003A1996" w:rsidRPr="003A1996">
        <w:rPr>
          <w:i/>
        </w:rPr>
        <w:t>BAHD1</w:t>
      </w:r>
      <w:r w:rsidR="003A1996" w:rsidRPr="003A1996">
        <w:t xml:space="preserve"> was again very low in </w:t>
      </w:r>
      <w:r w:rsidR="003A1996" w:rsidRPr="003A1996">
        <w:rPr>
          <w:i/>
        </w:rPr>
        <w:t>ald1</w:t>
      </w:r>
      <w:r w:rsidR="003A1996" w:rsidRPr="003A1996">
        <w:t xml:space="preserve"> and </w:t>
      </w:r>
      <w:r w:rsidR="003A1996" w:rsidRPr="003A1996">
        <w:rPr>
          <w:i/>
        </w:rPr>
        <w:t>fmo1</w:t>
      </w:r>
      <w:r w:rsidR="003A1996" w:rsidRPr="003A1996">
        <w:t xml:space="preserve"> and also not primed (Figure 25 E), but </w:t>
      </w:r>
      <w:r w:rsidR="003A1996" w:rsidRPr="003A1996">
        <w:rPr>
          <w:i/>
        </w:rPr>
        <w:t>NPR1</w:t>
      </w:r>
      <w:r w:rsidR="003A1996" w:rsidRPr="003A1996">
        <w:t xml:space="preserve"> expression in these mutant lines was comparable to Col-0 WT plants (Figure 25 F).</w:t>
      </w:r>
      <w:r w:rsidR="00431343">
        <w:t xml:space="preserve"> </w:t>
      </w:r>
    </w:p>
    <w:p w:rsidR="00937508" w:rsidRPr="00421E4C" w:rsidRDefault="00E73298" w:rsidP="00E73298">
      <w:pPr>
        <w:spacing w:line="360" w:lineRule="auto"/>
        <w:ind w:firstLine="708"/>
        <w:jc w:val="both"/>
      </w:pPr>
      <w:r>
        <w:rPr>
          <w:lang w:val="en-US"/>
        </w:rPr>
        <w:t>In the group of partially</w:t>
      </w:r>
      <w:r w:rsidR="00235AD0">
        <w:rPr>
          <w:lang w:val="en-US"/>
        </w:rPr>
        <w:t xml:space="preserve"> SA-dependent genes</w:t>
      </w:r>
      <w:r w:rsidR="00937508">
        <w:rPr>
          <w:lang w:val="en-US"/>
        </w:rPr>
        <w:t>,</w:t>
      </w:r>
      <w:r w:rsidR="00235AD0">
        <w:rPr>
          <w:lang w:val="en-US"/>
        </w:rPr>
        <w:t xml:space="preserve"> </w:t>
      </w:r>
      <w:r w:rsidR="00235AD0" w:rsidRPr="003A1996">
        <w:rPr>
          <w:i/>
          <w:lang w:val="en-US"/>
        </w:rPr>
        <w:t>PER58</w:t>
      </w:r>
      <w:r w:rsidR="00235AD0">
        <w:rPr>
          <w:lang w:val="en-US"/>
        </w:rPr>
        <w:t>, encoding a cell wall-located peroxidase (Figure 26 A), and the transcrip</w:t>
      </w:r>
      <w:r w:rsidR="003A1996">
        <w:rPr>
          <w:lang w:val="en-US"/>
        </w:rPr>
        <w:t xml:space="preserve">tion factor involved in glucosinolate biosynthesis encoded by </w:t>
      </w:r>
      <w:r w:rsidR="003A1996" w:rsidRPr="003A1996">
        <w:rPr>
          <w:i/>
          <w:lang w:val="en-US"/>
        </w:rPr>
        <w:t>MYB122</w:t>
      </w:r>
      <w:r w:rsidR="003A1996">
        <w:rPr>
          <w:lang w:val="en-US"/>
        </w:rPr>
        <w:t xml:space="preserve"> (Figure 26 B)</w:t>
      </w:r>
      <w:r w:rsidR="00937508">
        <w:rPr>
          <w:lang w:val="en-US"/>
        </w:rPr>
        <w:t>,</w:t>
      </w:r>
      <w:r w:rsidR="003A1996">
        <w:rPr>
          <w:lang w:val="en-US"/>
        </w:rPr>
        <w:t xml:space="preserve"> showed a strong priming response in Col-0. In </w:t>
      </w:r>
      <w:r w:rsidR="003A1996" w:rsidRPr="003A1996">
        <w:rPr>
          <w:i/>
          <w:lang w:val="en-US"/>
        </w:rPr>
        <w:t>ald1</w:t>
      </w:r>
      <w:r w:rsidR="003A1996">
        <w:rPr>
          <w:lang w:val="en-US"/>
        </w:rPr>
        <w:t xml:space="preserve"> and </w:t>
      </w:r>
      <w:r w:rsidR="003A1996" w:rsidRPr="003A1996">
        <w:rPr>
          <w:i/>
          <w:lang w:val="en-US"/>
        </w:rPr>
        <w:t>fmo1</w:t>
      </w:r>
      <w:r w:rsidR="003A1996">
        <w:rPr>
          <w:lang w:val="en-US"/>
        </w:rPr>
        <w:t xml:space="preserve">, expression of </w:t>
      </w:r>
      <w:r w:rsidR="003A1996" w:rsidRPr="003A1996">
        <w:rPr>
          <w:i/>
          <w:lang w:val="en-US"/>
        </w:rPr>
        <w:t>PER58</w:t>
      </w:r>
      <w:r w:rsidR="003A1996">
        <w:rPr>
          <w:lang w:val="en-US"/>
        </w:rPr>
        <w:t xml:space="preserve"> in local leaves was comparable to Col-0, but this gene exhibited no expression in distal leaves and was also not primed in these lines (Figure 26 A). Expression of </w:t>
      </w:r>
      <w:r w:rsidR="003A1996" w:rsidRPr="003A1996">
        <w:rPr>
          <w:i/>
          <w:lang w:val="en-US"/>
        </w:rPr>
        <w:t>MYB122</w:t>
      </w:r>
      <w:r w:rsidR="003A1996">
        <w:rPr>
          <w:lang w:val="en-US"/>
        </w:rPr>
        <w:t xml:space="preserve"> in </w:t>
      </w:r>
      <w:r w:rsidR="003A1996" w:rsidRPr="003A1996">
        <w:rPr>
          <w:i/>
          <w:lang w:val="en-US"/>
        </w:rPr>
        <w:t>ald1</w:t>
      </w:r>
      <w:r w:rsidR="003A1996">
        <w:rPr>
          <w:lang w:val="en-US"/>
        </w:rPr>
        <w:t xml:space="preserve"> and </w:t>
      </w:r>
      <w:r w:rsidR="003A1996" w:rsidRPr="003A1996">
        <w:rPr>
          <w:i/>
          <w:lang w:val="en-US"/>
        </w:rPr>
        <w:t>fmo1</w:t>
      </w:r>
      <w:r w:rsidR="003A1996">
        <w:rPr>
          <w:lang w:val="en-US"/>
        </w:rPr>
        <w:t xml:space="preserve"> was very low and likewise not primed (Figure 26 B). </w:t>
      </w:r>
      <w:r w:rsidR="006C1499">
        <w:t xml:space="preserve">A weaker priming of expression was observed for </w:t>
      </w:r>
      <w:r w:rsidR="006C1499" w:rsidRPr="0057413E">
        <w:rPr>
          <w:i/>
        </w:rPr>
        <w:t>AGP5</w:t>
      </w:r>
      <w:r w:rsidR="006C1499">
        <w:t xml:space="preserve">, which encodes an arabinogalactan protein and is involved in cell wall biosynthesis (Figure 26 C), the oxidoreductase-encoding gene </w:t>
      </w:r>
      <w:r w:rsidR="006C1499" w:rsidRPr="0057413E">
        <w:rPr>
          <w:i/>
        </w:rPr>
        <w:t>2OGD1</w:t>
      </w:r>
      <w:r w:rsidR="006C1499">
        <w:t xml:space="preserve"> (Figure 26 D), as well as </w:t>
      </w:r>
      <w:r w:rsidR="006C1499" w:rsidRPr="0057413E">
        <w:rPr>
          <w:i/>
        </w:rPr>
        <w:t>MRP7</w:t>
      </w:r>
      <w:r w:rsidR="006C1499">
        <w:t xml:space="preserve"> (Figure 26 E), which encodes a transporter protein involved in </w:t>
      </w:r>
      <w:r w:rsidR="00937508">
        <w:t>SA</w:t>
      </w:r>
      <w:r w:rsidR="00F875EB">
        <w:t>-</w:t>
      </w:r>
      <w:r w:rsidR="006C1499">
        <w:t>biosynthesis.</w:t>
      </w:r>
      <w:r w:rsidR="00937508">
        <w:t xml:space="preserve"> This group of genes showed comparatively low expression in </w:t>
      </w:r>
      <w:r w:rsidR="00937508" w:rsidRPr="0057413E">
        <w:rPr>
          <w:i/>
        </w:rPr>
        <w:t>ald1</w:t>
      </w:r>
      <w:r w:rsidR="00937508">
        <w:t xml:space="preserve"> and moderate, but lower than WT, expression in </w:t>
      </w:r>
      <w:r w:rsidR="00937508" w:rsidRPr="0057413E">
        <w:rPr>
          <w:i/>
        </w:rPr>
        <w:t>fmo1</w:t>
      </w:r>
      <w:r w:rsidR="00937508">
        <w:t>. In both plant lines expression of these genes was</w:t>
      </w:r>
      <w:r w:rsidR="00F875EB">
        <w:t xml:space="preserve"> not primed. The likewise partially</w:t>
      </w:r>
      <w:r w:rsidR="00937508">
        <w:t xml:space="preserve"> SA-dependent gene </w:t>
      </w:r>
      <w:r w:rsidR="00937508" w:rsidRPr="007D64BB">
        <w:rPr>
          <w:i/>
        </w:rPr>
        <w:t>ASK7</w:t>
      </w:r>
      <w:r w:rsidR="00937508">
        <w:t>, which encodes a protein with ubiqu</w:t>
      </w:r>
      <w:r w:rsidR="001F5EB3">
        <w:t>i</w:t>
      </w:r>
      <w:r w:rsidR="00937508">
        <w:t xml:space="preserve">tin-protein ligase activity that is involved in catabolism and signalling, demonstrated a very weak expression in Col-0, comparatively strong expression in mock-treated and local </w:t>
      </w:r>
      <w:r w:rsidR="00937508" w:rsidRPr="007D64BB">
        <w:rPr>
          <w:i/>
        </w:rPr>
        <w:t>Psm</w:t>
      </w:r>
      <w:r w:rsidR="00937508">
        <w:t xml:space="preserve">-treated leaves of </w:t>
      </w:r>
      <w:r w:rsidR="00937508" w:rsidRPr="007D64BB">
        <w:rPr>
          <w:i/>
        </w:rPr>
        <w:t>fmo1</w:t>
      </w:r>
      <w:r w:rsidR="00937508">
        <w:t xml:space="preserve">, and a surprisingly strong priming response in </w:t>
      </w:r>
      <w:r w:rsidR="00937508" w:rsidRPr="007D64BB">
        <w:rPr>
          <w:i/>
        </w:rPr>
        <w:t>ald1</w:t>
      </w:r>
      <w:r w:rsidR="00937508">
        <w:t xml:space="preserve"> (Figure 26 F). As this experiment was done one time so far, this strong priming response in </w:t>
      </w:r>
      <w:r w:rsidR="00937508" w:rsidRPr="00326B05">
        <w:rPr>
          <w:i/>
        </w:rPr>
        <w:t>ald1</w:t>
      </w:r>
      <w:r w:rsidR="00937508">
        <w:t xml:space="preserve"> will have to be verified in further experiments.</w:t>
      </w:r>
    </w:p>
    <w:p w:rsidR="00421E4C" w:rsidRPr="00431343" w:rsidRDefault="00421E4C" w:rsidP="00431343">
      <w:pPr>
        <w:spacing w:after="0" w:line="360" w:lineRule="auto"/>
        <w:jc w:val="both"/>
      </w:pPr>
    </w:p>
    <w:p w:rsidR="00EB1834" w:rsidRPr="00421E4C" w:rsidRDefault="00EB1834" w:rsidP="00FC7225">
      <w:pPr>
        <w:spacing w:after="0" w:line="360" w:lineRule="auto"/>
        <w:jc w:val="both"/>
        <w:rPr>
          <w:lang w:val="en-US"/>
        </w:rPr>
      </w:pPr>
      <w:r>
        <w:rPr>
          <w:noProof/>
          <w:lang w:val="de-DE" w:eastAsia="de-DE"/>
        </w:rPr>
        <w:lastRenderedPageBreak/>
        <w:drawing>
          <wp:anchor distT="0" distB="0" distL="114300" distR="114300" simplePos="0" relativeHeight="251685888" behindDoc="0" locked="0" layoutInCell="1" allowOverlap="1" wp14:anchorId="4C4E00F0" wp14:editId="6786E03C">
            <wp:simplePos x="895350" y="895350"/>
            <wp:positionH relativeFrom="page">
              <wp:align>center</wp:align>
            </wp:positionH>
            <wp:positionV relativeFrom="paragraph">
              <wp:posOffset>-3810</wp:posOffset>
            </wp:positionV>
            <wp:extent cx="5760000" cy="6358140"/>
            <wp:effectExtent l="19050" t="19050" r="12700" b="24130"/>
            <wp:wrapTopAndBottom/>
            <wp:docPr id="57" name="Grafik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o priming partly SA-dependent.png"/>
                    <pic:cNvPicPr/>
                  </pic:nvPicPr>
                  <pic:blipFill>
                    <a:blip r:embed="rId51">
                      <a:extLst>
                        <a:ext uri="{28A0092B-C50C-407E-A947-70E740481C1C}">
                          <a14:useLocalDpi xmlns:a14="http://schemas.microsoft.com/office/drawing/2010/main" val="0"/>
                        </a:ext>
                      </a:extLst>
                    </a:blip>
                    <a:stretch>
                      <a:fillRect/>
                    </a:stretch>
                  </pic:blipFill>
                  <pic:spPr>
                    <a:xfrm>
                      <a:off x="0" y="0"/>
                      <a:ext cx="5760000" cy="6358140"/>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p>
    <w:p w:rsidR="00DA5D4D" w:rsidRPr="00343090" w:rsidRDefault="00EB1834" w:rsidP="00937508">
      <w:pPr>
        <w:pStyle w:val="Beschriftung"/>
        <w:spacing w:after="0" w:line="360" w:lineRule="auto"/>
        <w:jc w:val="both"/>
        <w:rPr>
          <w:color w:val="auto"/>
        </w:rPr>
      </w:pPr>
      <w:bookmarkStart w:id="69" w:name="_Toc435621144"/>
      <w:proofErr w:type="gramStart"/>
      <w:r w:rsidRPr="00343090">
        <w:rPr>
          <w:color w:val="auto"/>
        </w:rPr>
        <w:t xml:space="preserve">Figure </w:t>
      </w:r>
      <w:r w:rsidRPr="00343090">
        <w:rPr>
          <w:color w:val="auto"/>
        </w:rPr>
        <w:fldChar w:fldCharType="begin"/>
      </w:r>
      <w:r w:rsidRPr="00343090">
        <w:rPr>
          <w:color w:val="auto"/>
        </w:rPr>
        <w:instrText xml:space="preserve"> SEQ Figure \* ARABIC </w:instrText>
      </w:r>
      <w:r w:rsidRPr="00343090">
        <w:rPr>
          <w:color w:val="auto"/>
        </w:rPr>
        <w:fldChar w:fldCharType="separate"/>
      </w:r>
      <w:r w:rsidR="00CB17FE">
        <w:rPr>
          <w:noProof/>
          <w:color w:val="auto"/>
        </w:rPr>
        <w:t>26</w:t>
      </w:r>
      <w:r w:rsidRPr="00343090">
        <w:rPr>
          <w:color w:val="auto"/>
        </w:rPr>
        <w:fldChar w:fldCharType="end"/>
      </w:r>
      <w:r w:rsidR="0096402E">
        <w:rPr>
          <w:color w:val="auto"/>
        </w:rPr>
        <w:t>.</w:t>
      </w:r>
      <w:proofErr w:type="gramEnd"/>
      <w:r w:rsidR="0096402E">
        <w:rPr>
          <w:color w:val="auto"/>
        </w:rPr>
        <w:t xml:space="preserve"> Defence priming of partially</w:t>
      </w:r>
      <w:r w:rsidR="003B510C" w:rsidRPr="00343090">
        <w:rPr>
          <w:color w:val="auto"/>
        </w:rPr>
        <w:t xml:space="preserve"> </w:t>
      </w:r>
      <w:r w:rsidR="006638F1">
        <w:rPr>
          <w:color w:val="auto"/>
        </w:rPr>
        <w:t>SA</w:t>
      </w:r>
      <w:r w:rsidRPr="00343090">
        <w:rPr>
          <w:color w:val="auto"/>
        </w:rPr>
        <w:t>-dependent genes</w:t>
      </w:r>
      <w:r w:rsidR="00DA5D4D" w:rsidRPr="00343090">
        <w:rPr>
          <w:color w:val="auto"/>
        </w:rPr>
        <w:t>.</w:t>
      </w:r>
      <w:bookmarkEnd w:id="69"/>
      <w:r w:rsidR="00DA5D4D" w:rsidRPr="00343090">
        <w:rPr>
          <w:color w:val="auto"/>
        </w:rPr>
        <w:t xml:space="preserve"> </w:t>
      </w:r>
    </w:p>
    <w:p w:rsidR="00AE030A" w:rsidRPr="00343090" w:rsidRDefault="00DA5D4D" w:rsidP="00421E4C">
      <w:pPr>
        <w:pStyle w:val="Beschriftung"/>
        <w:jc w:val="both"/>
        <w:rPr>
          <w:b w:val="0"/>
          <w:color w:val="auto"/>
        </w:rPr>
      </w:pPr>
      <w:r w:rsidRPr="00343090">
        <w:rPr>
          <w:b w:val="0"/>
          <w:color w:val="auto"/>
        </w:rPr>
        <w:t>Plants were inoculated and samples analysed as desc</w:t>
      </w:r>
      <w:r w:rsidR="00DF7A1C" w:rsidRPr="00343090">
        <w:rPr>
          <w:b w:val="0"/>
          <w:color w:val="auto"/>
        </w:rPr>
        <w:t>ribed in figure 24</w:t>
      </w:r>
      <w:r w:rsidRPr="00343090">
        <w:rPr>
          <w:b w:val="0"/>
          <w:color w:val="auto"/>
        </w:rPr>
        <w:t xml:space="preserve">. </w:t>
      </w:r>
      <w:r w:rsidRPr="00343090">
        <w:rPr>
          <w:b w:val="0"/>
          <w:color w:val="auto"/>
          <w:lang w:val="en-US"/>
        </w:rPr>
        <w:t xml:space="preserve">Relative expression of </w:t>
      </w:r>
      <w:r w:rsidRPr="00343090">
        <w:rPr>
          <w:b w:val="0"/>
          <w:i/>
          <w:color w:val="auto"/>
          <w:lang w:val="en-US"/>
        </w:rPr>
        <w:t>PER58</w:t>
      </w:r>
      <w:r w:rsidRPr="00343090">
        <w:rPr>
          <w:b w:val="0"/>
          <w:color w:val="auto"/>
          <w:lang w:val="en-US"/>
        </w:rPr>
        <w:t xml:space="preserve"> (A), </w:t>
      </w:r>
      <w:r w:rsidRPr="00343090">
        <w:rPr>
          <w:b w:val="0"/>
          <w:i/>
          <w:color w:val="auto"/>
          <w:lang w:val="en-US"/>
        </w:rPr>
        <w:t>MYB122</w:t>
      </w:r>
      <w:r w:rsidRPr="00343090">
        <w:rPr>
          <w:b w:val="0"/>
          <w:color w:val="auto"/>
          <w:lang w:val="en-US"/>
        </w:rPr>
        <w:t xml:space="preserve"> (B), </w:t>
      </w:r>
      <w:r w:rsidRPr="00343090">
        <w:rPr>
          <w:b w:val="0"/>
          <w:i/>
          <w:color w:val="auto"/>
          <w:lang w:val="en-US"/>
        </w:rPr>
        <w:t>AGP5</w:t>
      </w:r>
      <w:r w:rsidRPr="00343090">
        <w:rPr>
          <w:b w:val="0"/>
          <w:color w:val="auto"/>
          <w:lang w:val="en-US"/>
        </w:rPr>
        <w:t xml:space="preserve"> (C), </w:t>
      </w:r>
      <w:r w:rsidRPr="00343090">
        <w:rPr>
          <w:b w:val="0"/>
          <w:i/>
          <w:color w:val="auto"/>
          <w:lang w:val="en-US"/>
        </w:rPr>
        <w:t>2OGD1</w:t>
      </w:r>
      <w:r w:rsidRPr="00343090">
        <w:rPr>
          <w:b w:val="0"/>
          <w:color w:val="auto"/>
          <w:lang w:val="en-US"/>
        </w:rPr>
        <w:t xml:space="preserve"> (D), </w:t>
      </w:r>
      <w:r w:rsidRPr="00343090">
        <w:rPr>
          <w:b w:val="0"/>
          <w:i/>
          <w:color w:val="auto"/>
          <w:lang w:val="en-US"/>
        </w:rPr>
        <w:t>MRP7</w:t>
      </w:r>
      <w:r w:rsidRPr="00343090">
        <w:rPr>
          <w:b w:val="0"/>
          <w:color w:val="auto"/>
          <w:lang w:val="en-US"/>
        </w:rPr>
        <w:t xml:space="preserve"> (E), and </w:t>
      </w:r>
      <w:r w:rsidRPr="00343090">
        <w:rPr>
          <w:b w:val="0"/>
          <w:i/>
          <w:color w:val="auto"/>
          <w:lang w:val="en-US"/>
        </w:rPr>
        <w:t>ASK7</w:t>
      </w:r>
      <w:r w:rsidRPr="00343090">
        <w:rPr>
          <w:b w:val="0"/>
          <w:color w:val="auto"/>
          <w:lang w:val="en-US"/>
        </w:rPr>
        <w:t xml:space="preserve"> (F) at 10 hours after 2° treatment.</w:t>
      </w:r>
      <w:r w:rsidR="00326B05" w:rsidRPr="00343090">
        <w:rPr>
          <w:b w:val="0"/>
          <w:color w:val="auto"/>
          <w:lang w:val="en-US"/>
        </w:rPr>
        <w:t xml:space="preserve"> This analysis was done one time due to the large number of genes analysed.</w:t>
      </w:r>
    </w:p>
    <w:p w:rsidR="00ED69D2" w:rsidRDefault="00ED69D2" w:rsidP="00ED69D2">
      <w:pPr>
        <w:sectPr w:rsidR="00ED69D2" w:rsidSect="009608E1">
          <w:headerReference w:type="default" r:id="rId52"/>
          <w:headerReference w:type="first" r:id="rId53"/>
          <w:type w:val="continuous"/>
          <w:pgSz w:w="11906" w:h="16838"/>
          <w:pgMar w:top="1417" w:right="1417" w:bottom="1134" w:left="1417" w:header="708" w:footer="708" w:gutter="0"/>
          <w:cols w:space="708"/>
          <w:titlePg/>
          <w:docGrid w:linePitch="360"/>
        </w:sectPr>
      </w:pPr>
    </w:p>
    <w:p w:rsidR="00AE030A" w:rsidRPr="00343090" w:rsidRDefault="00AE030A" w:rsidP="003B510C">
      <w:pPr>
        <w:jc w:val="both"/>
        <w:rPr>
          <w:b/>
          <w:sz w:val="18"/>
          <w:szCs w:val="18"/>
        </w:rPr>
      </w:pPr>
    </w:p>
    <w:p w:rsidR="00E03603" w:rsidRPr="00343090" w:rsidRDefault="00E03603" w:rsidP="00937508">
      <w:pPr>
        <w:pStyle w:val="Beschriftung"/>
        <w:keepNext/>
        <w:spacing w:after="0" w:line="360" w:lineRule="auto"/>
        <w:rPr>
          <w:color w:val="auto"/>
        </w:rPr>
      </w:pPr>
      <w:bookmarkStart w:id="70" w:name="_Toc419386445"/>
      <w:proofErr w:type="gramStart"/>
      <w:r w:rsidRPr="00343090">
        <w:rPr>
          <w:color w:val="auto"/>
        </w:rPr>
        <w:t xml:space="preserve">Table </w:t>
      </w:r>
      <w:r w:rsidRPr="00343090">
        <w:rPr>
          <w:color w:val="auto"/>
        </w:rPr>
        <w:fldChar w:fldCharType="begin"/>
      </w:r>
      <w:r w:rsidRPr="00343090">
        <w:rPr>
          <w:color w:val="auto"/>
        </w:rPr>
        <w:instrText xml:space="preserve"> SEQ Table \* ARABIC </w:instrText>
      </w:r>
      <w:r w:rsidRPr="00343090">
        <w:rPr>
          <w:color w:val="auto"/>
        </w:rPr>
        <w:fldChar w:fldCharType="separate"/>
      </w:r>
      <w:r w:rsidR="00CB17FE">
        <w:rPr>
          <w:noProof/>
          <w:color w:val="auto"/>
        </w:rPr>
        <w:t>1</w:t>
      </w:r>
      <w:r w:rsidRPr="00343090">
        <w:rPr>
          <w:color w:val="auto"/>
        </w:rPr>
        <w:fldChar w:fldCharType="end"/>
      </w:r>
      <w:r w:rsidR="0096402E">
        <w:rPr>
          <w:color w:val="auto"/>
        </w:rPr>
        <w:t>.</w:t>
      </w:r>
      <w:proofErr w:type="gramEnd"/>
      <w:r w:rsidRPr="00343090">
        <w:rPr>
          <w:color w:val="auto"/>
        </w:rPr>
        <w:t xml:space="preserve"> </w:t>
      </w:r>
      <w:proofErr w:type="gramStart"/>
      <w:r w:rsidRPr="00343090">
        <w:rPr>
          <w:color w:val="auto"/>
        </w:rPr>
        <w:t>Overview of gene expression in defence priming.</w:t>
      </w:r>
      <w:bookmarkEnd w:id="70"/>
      <w:proofErr w:type="gramEnd"/>
      <w:r w:rsidRPr="00343090">
        <w:rPr>
          <w:color w:val="auto"/>
        </w:rPr>
        <w:t xml:space="preserve">  </w:t>
      </w:r>
    </w:p>
    <w:p w:rsidR="00E03603" w:rsidRPr="00343090" w:rsidRDefault="00E03603" w:rsidP="00C91517">
      <w:pPr>
        <w:pStyle w:val="Beschriftung"/>
        <w:keepNext/>
        <w:jc w:val="both"/>
        <w:rPr>
          <w:b w:val="0"/>
          <w:color w:val="auto"/>
        </w:rPr>
      </w:pPr>
      <w:r w:rsidRPr="00343090">
        <w:rPr>
          <w:b w:val="0"/>
          <w:color w:val="auto"/>
        </w:rPr>
        <w:t xml:space="preserve">Plants were double inoculated to analyse defence priming during SAR in Col-0, </w:t>
      </w:r>
      <w:r w:rsidRPr="00343090">
        <w:rPr>
          <w:b w:val="0"/>
          <w:i/>
          <w:color w:val="auto"/>
        </w:rPr>
        <w:t>ald1</w:t>
      </w:r>
      <w:r w:rsidRPr="00343090">
        <w:rPr>
          <w:b w:val="0"/>
          <w:color w:val="auto"/>
        </w:rPr>
        <w:t xml:space="preserve"> and </w:t>
      </w:r>
      <w:r w:rsidRPr="00343090">
        <w:rPr>
          <w:b w:val="0"/>
          <w:i/>
          <w:color w:val="auto"/>
        </w:rPr>
        <w:t>fmo1</w:t>
      </w:r>
      <w:r w:rsidRPr="00343090">
        <w:rPr>
          <w:b w:val="0"/>
          <w:color w:val="auto"/>
        </w:rPr>
        <w:t xml:space="preserve">. Plants were treated </w:t>
      </w:r>
      <w:r w:rsidR="00C91517" w:rsidRPr="00343090">
        <w:rPr>
          <w:b w:val="0"/>
          <w:color w:val="auto"/>
        </w:rPr>
        <w:t>as described in figure 24.</w:t>
      </w:r>
      <w:r w:rsidRPr="00343090">
        <w:rPr>
          <w:b w:val="0"/>
          <w:color w:val="auto"/>
        </w:rPr>
        <w:t xml:space="preserve"> Genes were chosen after careful analysis of a set of microarray data (Gruner </w:t>
      </w:r>
      <w:r w:rsidRPr="00343090">
        <w:rPr>
          <w:b w:val="0"/>
          <w:i/>
          <w:color w:val="auto"/>
        </w:rPr>
        <w:t>et al</w:t>
      </w:r>
      <w:r w:rsidRPr="00343090">
        <w:rPr>
          <w:b w:val="0"/>
          <w:color w:val="auto"/>
        </w:rPr>
        <w:t>., 2013) and grouped into SA-independent, SA-dependen</w:t>
      </w:r>
      <w:r w:rsidR="00F875EB">
        <w:rPr>
          <w:b w:val="0"/>
          <w:color w:val="auto"/>
        </w:rPr>
        <w:t>t, and partially</w:t>
      </w:r>
      <w:r w:rsidR="00C91517" w:rsidRPr="00343090">
        <w:rPr>
          <w:b w:val="0"/>
          <w:color w:val="auto"/>
        </w:rPr>
        <w:t xml:space="preserve"> SA-dependent gene categories</w:t>
      </w:r>
      <w:r w:rsidRPr="00343090">
        <w:rPr>
          <w:b w:val="0"/>
          <w:color w:val="auto"/>
        </w:rPr>
        <w:t>. Further criteria for chosen genes were their expression induction by exogenous</w:t>
      </w:r>
      <w:r w:rsidR="00F875EB">
        <w:rPr>
          <w:b w:val="0"/>
          <w:color w:val="auto"/>
        </w:rPr>
        <w:t>ly applied</w:t>
      </w:r>
      <w:r w:rsidRPr="00343090">
        <w:rPr>
          <w:b w:val="0"/>
          <w:color w:val="auto"/>
        </w:rPr>
        <w:t xml:space="preserve"> Pip, local pathogen stimulus, and systemic pathogen stimulus (SAR), respectively.</w:t>
      </w:r>
      <w:r w:rsidR="00805836" w:rsidRPr="00343090">
        <w:rPr>
          <w:b w:val="0"/>
          <w:color w:val="auto"/>
        </w:rPr>
        <w:t xml:space="preserve"> Corresponding gene expression data for genes presented in th</w:t>
      </w:r>
      <w:r w:rsidR="00A12E0B">
        <w:rPr>
          <w:b w:val="0"/>
          <w:color w:val="auto"/>
        </w:rPr>
        <w:t>is table can be found in supplemen</w:t>
      </w:r>
      <w:r w:rsidR="00805836" w:rsidRPr="00343090">
        <w:rPr>
          <w:b w:val="0"/>
          <w:color w:val="auto"/>
        </w:rPr>
        <w:t>tal figures 1 to 8.</w:t>
      </w:r>
      <w:r w:rsidRPr="00343090">
        <w:rPr>
          <w:b w:val="0"/>
          <w:color w:val="auto"/>
        </w:rPr>
        <w:t xml:space="preserve"> </w:t>
      </w:r>
      <w:proofErr w:type="gramStart"/>
      <w:r w:rsidRPr="00343090">
        <w:rPr>
          <w:b w:val="0"/>
          <w:color w:val="auto"/>
        </w:rPr>
        <w:t>P, gene primed; np, not primed.</w:t>
      </w:r>
      <w:proofErr w:type="gramEnd"/>
    </w:p>
    <w:tbl>
      <w:tblPr>
        <w:tblW w:w="12420" w:type="dxa"/>
        <w:jc w:val="center"/>
        <w:tblCellMar>
          <w:left w:w="70" w:type="dxa"/>
          <w:right w:w="70" w:type="dxa"/>
        </w:tblCellMar>
        <w:tblLook w:val="04A0" w:firstRow="1" w:lastRow="0" w:firstColumn="1" w:lastColumn="0" w:noHBand="0" w:noVBand="1"/>
      </w:tblPr>
      <w:tblGrid>
        <w:gridCol w:w="1320"/>
        <w:gridCol w:w="1240"/>
        <w:gridCol w:w="2260"/>
        <w:gridCol w:w="1760"/>
        <w:gridCol w:w="1560"/>
        <w:gridCol w:w="2060"/>
        <w:gridCol w:w="800"/>
        <w:gridCol w:w="660"/>
        <w:gridCol w:w="760"/>
      </w:tblGrid>
      <w:tr w:rsidR="0034022A" w:rsidRPr="0034022A" w:rsidTr="007236D3">
        <w:trPr>
          <w:trHeight w:val="600"/>
          <w:tblHeader/>
          <w:jc w:val="center"/>
        </w:trPr>
        <w:tc>
          <w:tcPr>
            <w:tcW w:w="13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b/>
                <w:bCs/>
                <w:color w:val="000000"/>
                <w:lang w:val="de-DE" w:eastAsia="de-DE"/>
              </w:rPr>
            </w:pPr>
            <w:r w:rsidRPr="0034022A">
              <w:rPr>
                <w:rFonts w:ascii="Calibri" w:eastAsia="Times New Roman" w:hAnsi="Calibri" w:cs="Times New Roman"/>
                <w:b/>
                <w:bCs/>
                <w:color w:val="000000"/>
                <w:lang w:val="de-DE" w:eastAsia="de-DE"/>
              </w:rPr>
              <w:t xml:space="preserve">Gene </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rsidR="0034022A" w:rsidRPr="001F5EB3" w:rsidRDefault="0034022A" w:rsidP="0034022A">
            <w:pPr>
              <w:spacing w:after="0" w:line="240" w:lineRule="auto"/>
              <w:jc w:val="center"/>
              <w:rPr>
                <w:rFonts w:ascii="Calibri" w:eastAsia="Times New Roman" w:hAnsi="Calibri" w:cs="Times New Roman"/>
                <w:b/>
                <w:bCs/>
                <w:color w:val="000000"/>
                <w:lang w:val="de-DE" w:eastAsia="de-DE"/>
              </w:rPr>
            </w:pPr>
            <w:r w:rsidRPr="001F5EB3">
              <w:rPr>
                <w:rFonts w:ascii="Calibri" w:eastAsia="Times New Roman" w:hAnsi="Calibri" w:cs="Times New Roman"/>
                <w:b/>
                <w:bCs/>
                <w:color w:val="000000"/>
                <w:lang w:val="de-DE" w:eastAsia="de-DE"/>
              </w:rPr>
              <w:t>Locus</w:t>
            </w:r>
          </w:p>
        </w:tc>
        <w:tc>
          <w:tcPr>
            <w:tcW w:w="2260" w:type="dxa"/>
            <w:tcBorders>
              <w:top w:val="single" w:sz="4" w:space="0" w:color="auto"/>
              <w:left w:val="nil"/>
              <w:bottom w:val="single" w:sz="4" w:space="0" w:color="auto"/>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b/>
                <w:bCs/>
                <w:color w:val="000000"/>
                <w:lang w:val="de-DE" w:eastAsia="de-DE"/>
              </w:rPr>
            </w:pPr>
            <w:r w:rsidRPr="0034022A">
              <w:rPr>
                <w:rFonts w:ascii="Calibri" w:eastAsia="Times New Roman" w:hAnsi="Calibri" w:cs="Times New Roman"/>
                <w:b/>
                <w:bCs/>
                <w:color w:val="000000"/>
                <w:lang w:val="de-DE" w:eastAsia="de-DE"/>
              </w:rPr>
              <w:t>Function/                      involved in</w:t>
            </w:r>
          </w:p>
        </w:tc>
        <w:tc>
          <w:tcPr>
            <w:tcW w:w="1760" w:type="dxa"/>
            <w:tcBorders>
              <w:top w:val="single" w:sz="4" w:space="0" w:color="auto"/>
              <w:left w:val="nil"/>
              <w:bottom w:val="single" w:sz="4" w:space="0" w:color="auto"/>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b/>
                <w:bCs/>
                <w:color w:val="000000"/>
                <w:lang w:val="de-DE" w:eastAsia="de-DE"/>
              </w:rPr>
            </w:pPr>
            <w:r w:rsidRPr="0034022A">
              <w:rPr>
                <w:rFonts w:ascii="Calibri" w:eastAsia="Times New Roman" w:hAnsi="Calibri" w:cs="Times New Roman"/>
                <w:b/>
                <w:bCs/>
                <w:color w:val="000000"/>
                <w:lang w:val="de-DE" w:eastAsia="de-DE"/>
              </w:rPr>
              <w:t>Functional category</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b/>
                <w:bCs/>
                <w:color w:val="000000"/>
                <w:lang w:val="de-DE" w:eastAsia="de-DE"/>
              </w:rPr>
            </w:pPr>
            <w:r w:rsidRPr="0034022A">
              <w:rPr>
                <w:rFonts w:ascii="Calibri" w:eastAsia="Times New Roman" w:hAnsi="Calibri" w:cs="Times New Roman"/>
                <w:b/>
                <w:bCs/>
                <w:color w:val="000000"/>
                <w:lang w:val="de-DE" w:eastAsia="de-DE"/>
              </w:rPr>
              <w:t>Expression             induced by</w:t>
            </w:r>
          </w:p>
        </w:tc>
        <w:tc>
          <w:tcPr>
            <w:tcW w:w="2060" w:type="dxa"/>
            <w:tcBorders>
              <w:top w:val="single" w:sz="4" w:space="0" w:color="auto"/>
              <w:left w:val="nil"/>
              <w:bottom w:val="single" w:sz="4" w:space="0" w:color="auto"/>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b/>
                <w:bCs/>
                <w:color w:val="000000"/>
                <w:lang w:val="de-DE" w:eastAsia="de-DE"/>
              </w:rPr>
            </w:pPr>
            <w:r w:rsidRPr="0034022A">
              <w:rPr>
                <w:rFonts w:ascii="Calibri" w:eastAsia="Times New Roman" w:hAnsi="Calibri" w:cs="Times New Roman"/>
                <w:b/>
                <w:bCs/>
                <w:color w:val="000000"/>
                <w:lang w:val="de-DE" w:eastAsia="de-DE"/>
              </w:rPr>
              <w:t>SA-dependency</w:t>
            </w:r>
          </w:p>
        </w:tc>
        <w:tc>
          <w:tcPr>
            <w:tcW w:w="800" w:type="dxa"/>
            <w:tcBorders>
              <w:top w:val="single" w:sz="4" w:space="0" w:color="auto"/>
              <w:left w:val="nil"/>
              <w:bottom w:val="single" w:sz="4" w:space="0" w:color="auto"/>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b/>
                <w:bCs/>
                <w:color w:val="000000"/>
                <w:lang w:val="de-DE" w:eastAsia="de-DE"/>
              </w:rPr>
            </w:pPr>
            <w:r w:rsidRPr="0034022A">
              <w:rPr>
                <w:rFonts w:ascii="Calibri" w:eastAsia="Times New Roman" w:hAnsi="Calibri" w:cs="Times New Roman"/>
                <w:b/>
                <w:bCs/>
                <w:color w:val="000000"/>
                <w:lang w:val="de-DE" w:eastAsia="de-DE"/>
              </w:rPr>
              <w:t>Col 0</w:t>
            </w:r>
          </w:p>
        </w:tc>
        <w:tc>
          <w:tcPr>
            <w:tcW w:w="660" w:type="dxa"/>
            <w:tcBorders>
              <w:top w:val="single" w:sz="4" w:space="0" w:color="auto"/>
              <w:left w:val="nil"/>
              <w:bottom w:val="single" w:sz="4" w:space="0" w:color="auto"/>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b/>
                <w:bCs/>
                <w:i/>
                <w:iCs/>
                <w:color w:val="000000"/>
                <w:lang w:val="de-DE" w:eastAsia="de-DE"/>
              </w:rPr>
            </w:pPr>
            <w:r w:rsidRPr="0034022A">
              <w:rPr>
                <w:rFonts w:ascii="Calibri" w:eastAsia="Times New Roman" w:hAnsi="Calibri" w:cs="Times New Roman"/>
                <w:b/>
                <w:bCs/>
                <w:i/>
                <w:iCs/>
                <w:color w:val="000000"/>
                <w:lang w:val="de-DE" w:eastAsia="de-DE"/>
              </w:rPr>
              <w:t>ald1</w:t>
            </w:r>
          </w:p>
        </w:tc>
        <w:tc>
          <w:tcPr>
            <w:tcW w:w="760" w:type="dxa"/>
            <w:tcBorders>
              <w:top w:val="single" w:sz="4" w:space="0" w:color="auto"/>
              <w:left w:val="nil"/>
              <w:bottom w:val="single" w:sz="4" w:space="0" w:color="auto"/>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b/>
                <w:bCs/>
                <w:i/>
                <w:iCs/>
                <w:color w:val="000000"/>
                <w:lang w:val="de-DE" w:eastAsia="de-DE"/>
              </w:rPr>
            </w:pPr>
            <w:r w:rsidRPr="0034022A">
              <w:rPr>
                <w:rFonts w:ascii="Calibri" w:eastAsia="Times New Roman" w:hAnsi="Calibri" w:cs="Times New Roman"/>
                <w:b/>
                <w:bCs/>
                <w:i/>
                <w:iCs/>
                <w:color w:val="000000"/>
                <w:lang w:val="de-DE" w:eastAsia="de-DE"/>
              </w:rPr>
              <w:t>fmo1</w:t>
            </w:r>
          </w:p>
        </w:tc>
      </w:tr>
      <w:tr w:rsidR="0034022A" w:rsidRPr="0034022A" w:rsidTr="007236D3">
        <w:trPr>
          <w:trHeight w:val="1200"/>
          <w:jc w:val="center"/>
        </w:trPr>
        <w:tc>
          <w:tcPr>
            <w:tcW w:w="1320" w:type="dxa"/>
            <w:tcBorders>
              <w:top w:val="nil"/>
              <w:left w:val="single" w:sz="4" w:space="0" w:color="auto"/>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i/>
                <w:iCs/>
                <w:color w:val="000000"/>
                <w:lang w:val="de-DE" w:eastAsia="de-DE"/>
              </w:rPr>
            </w:pPr>
            <w:r w:rsidRPr="0034022A">
              <w:rPr>
                <w:rFonts w:ascii="Calibri" w:eastAsia="Times New Roman" w:hAnsi="Calibri" w:cs="Times New Roman"/>
                <w:i/>
                <w:iCs/>
                <w:color w:val="000000"/>
                <w:lang w:val="de-DE" w:eastAsia="de-DE"/>
              </w:rPr>
              <w:t>2OGD1</w:t>
            </w:r>
          </w:p>
        </w:tc>
        <w:tc>
          <w:tcPr>
            <w:tcW w:w="1240" w:type="dxa"/>
            <w:tcBorders>
              <w:top w:val="nil"/>
              <w:left w:val="nil"/>
              <w:bottom w:val="nil"/>
              <w:right w:val="single" w:sz="4" w:space="0" w:color="auto"/>
            </w:tcBorders>
            <w:shd w:val="clear" w:color="auto" w:fill="auto"/>
            <w:noWrap/>
            <w:vAlign w:val="center"/>
            <w:hideMark/>
          </w:tcPr>
          <w:p w:rsidR="0034022A" w:rsidRPr="001F5EB3" w:rsidRDefault="0034022A" w:rsidP="0034022A">
            <w:pPr>
              <w:spacing w:after="0" w:line="240" w:lineRule="auto"/>
              <w:jc w:val="center"/>
              <w:rPr>
                <w:rFonts w:ascii="Calibri" w:eastAsia="Times New Roman" w:hAnsi="Calibri" w:cs="Times New Roman"/>
                <w:i/>
                <w:color w:val="000000"/>
                <w:lang w:val="de-DE" w:eastAsia="de-DE"/>
              </w:rPr>
            </w:pPr>
            <w:r w:rsidRPr="001F5EB3">
              <w:rPr>
                <w:rFonts w:ascii="Calibri" w:eastAsia="Times New Roman" w:hAnsi="Calibri" w:cs="Times New Roman"/>
                <w:i/>
                <w:color w:val="000000"/>
                <w:lang w:val="de-DE" w:eastAsia="de-DE"/>
              </w:rPr>
              <w:t>At4g10500</w:t>
            </w:r>
          </w:p>
        </w:tc>
        <w:tc>
          <w:tcPr>
            <w:tcW w:w="22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oxidoreductase</w:t>
            </w:r>
          </w:p>
        </w:tc>
        <w:tc>
          <w:tcPr>
            <w:tcW w:w="17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detoxification</w:t>
            </w:r>
          </w:p>
        </w:tc>
        <w:tc>
          <w:tcPr>
            <w:tcW w:w="15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en-US" w:eastAsia="de-DE"/>
              </w:rPr>
            </w:pPr>
            <w:r w:rsidRPr="0034022A">
              <w:rPr>
                <w:rFonts w:ascii="Calibri" w:eastAsia="Times New Roman" w:hAnsi="Calibri" w:cs="Times New Roman"/>
                <w:color w:val="000000"/>
                <w:lang w:val="en-US" w:eastAsia="de-DE"/>
              </w:rPr>
              <w:t xml:space="preserve">ex. Pip;            </w:t>
            </w:r>
            <w:r w:rsidRPr="0034022A">
              <w:rPr>
                <w:rFonts w:ascii="Calibri" w:eastAsia="Times New Roman" w:hAnsi="Calibri" w:cs="Times New Roman"/>
                <w:i/>
                <w:iCs/>
                <w:color w:val="000000"/>
                <w:lang w:val="en-US" w:eastAsia="de-DE"/>
              </w:rPr>
              <w:t xml:space="preserve"> Psm</w:t>
            </w:r>
            <w:r w:rsidRPr="0034022A">
              <w:rPr>
                <w:rFonts w:ascii="Calibri" w:eastAsia="Times New Roman" w:hAnsi="Calibri" w:cs="Times New Roman"/>
                <w:color w:val="000000"/>
                <w:lang w:val="en-US" w:eastAsia="de-DE"/>
              </w:rPr>
              <w:t xml:space="preserve"> local; SAR</w:t>
            </w:r>
          </w:p>
        </w:tc>
        <w:tc>
          <w:tcPr>
            <w:tcW w:w="20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part</w:t>
            </w:r>
            <w:r w:rsidR="00F875EB">
              <w:rPr>
                <w:rFonts w:ascii="Calibri" w:eastAsia="Times New Roman" w:hAnsi="Calibri" w:cs="Times New Roman"/>
                <w:color w:val="000000"/>
                <w:lang w:val="de-DE" w:eastAsia="de-DE"/>
              </w:rPr>
              <w:t>ially</w:t>
            </w:r>
            <w:r w:rsidRPr="0034022A">
              <w:rPr>
                <w:rFonts w:ascii="Calibri" w:eastAsia="Times New Roman" w:hAnsi="Calibri" w:cs="Times New Roman"/>
                <w:color w:val="000000"/>
                <w:lang w:val="de-DE" w:eastAsia="de-DE"/>
              </w:rPr>
              <w:t xml:space="preserve">                                   SA-dependent</w:t>
            </w:r>
          </w:p>
        </w:tc>
        <w:tc>
          <w:tcPr>
            <w:tcW w:w="80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P</w:t>
            </w:r>
          </w:p>
        </w:tc>
        <w:tc>
          <w:tcPr>
            <w:tcW w:w="66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np</w:t>
            </w:r>
          </w:p>
        </w:tc>
        <w:tc>
          <w:tcPr>
            <w:tcW w:w="76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np</w:t>
            </w:r>
          </w:p>
        </w:tc>
      </w:tr>
      <w:tr w:rsidR="0034022A" w:rsidRPr="0034022A" w:rsidTr="007236D3">
        <w:trPr>
          <w:trHeight w:val="1200"/>
          <w:jc w:val="center"/>
        </w:trPr>
        <w:tc>
          <w:tcPr>
            <w:tcW w:w="1320" w:type="dxa"/>
            <w:tcBorders>
              <w:top w:val="nil"/>
              <w:left w:val="single" w:sz="4" w:space="0" w:color="auto"/>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i/>
                <w:iCs/>
                <w:color w:val="000000"/>
                <w:lang w:val="de-DE" w:eastAsia="de-DE"/>
              </w:rPr>
            </w:pPr>
            <w:r w:rsidRPr="0034022A">
              <w:rPr>
                <w:rFonts w:ascii="Calibri" w:eastAsia="Times New Roman" w:hAnsi="Calibri" w:cs="Times New Roman"/>
                <w:i/>
                <w:iCs/>
                <w:color w:val="000000"/>
                <w:lang w:val="de-DE" w:eastAsia="de-DE"/>
              </w:rPr>
              <w:t>2OGD2</w:t>
            </w:r>
          </w:p>
        </w:tc>
        <w:tc>
          <w:tcPr>
            <w:tcW w:w="1240" w:type="dxa"/>
            <w:tcBorders>
              <w:top w:val="nil"/>
              <w:left w:val="nil"/>
              <w:bottom w:val="nil"/>
              <w:right w:val="single" w:sz="4" w:space="0" w:color="auto"/>
            </w:tcBorders>
            <w:shd w:val="clear" w:color="auto" w:fill="auto"/>
            <w:noWrap/>
            <w:vAlign w:val="center"/>
            <w:hideMark/>
          </w:tcPr>
          <w:p w:rsidR="0034022A" w:rsidRPr="001F5EB3" w:rsidRDefault="0034022A" w:rsidP="0034022A">
            <w:pPr>
              <w:spacing w:after="0" w:line="240" w:lineRule="auto"/>
              <w:jc w:val="center"/>
              <w:rPr>
                <w:rFonts w:ascii="Calibri" w:eastAsia="Times New Roman" w:hAnsi="Calibri" w:cs="Times New Roman"/>
                <w:i/>
                <w:color w:val="000000"/>
                <w:lang w:val="de-DE" w:eastAsia="de-DE"/>
              </w:rPr>
            </w:pPr>
            <w:r w:rsidRPr="001F5EB3">
              <w:rPr>
                <w:rFonts w:ascii="Calibri" w:eastAsia="Times New Roman" w:hAnsi="Calibri" w:cs="Times New Roman"/>
                <w:i/>
                <w:color w:val="000000"/>
                <w:lang w:val="de-DE" w:eastAsia="de-DE"/>
              </w:rPr>
              <w:t>At3g13610</w:t>
            </w:r>
          </w:p>
        </w:tc>
        <w:tc>
          <w:tcPr>
            <w:tcW w:w="22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scopoletin biosynthesis</w:t>
            </w:r>
          </w:p>
        </w:tc>
        <w:tc>
          <w:tcPr>
            <w:tcW w:w="17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detoxification</w:t>
            </w:r>
          </w:p>
        </w:tc>
        <w:tc>
          <w:tcPr>
            <w:tcW w:w="15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i/>
                <w:iCs/>
                <w:color w:val="000000"/>
                <w:lang w:val="de-DE" w:eastAsia="de-DE"/>
              </w:rPr>
              <w:t>Psm</w:t>
            </w:r>
            <w:r w:rsidRPr="0034022A">
              <w:rPr>
                <w:rFonts w:ascii="Calibri" w:eastAsia="Times New Roman" w:hAnsi="Calibri" w:cs="Times New Roman"/>
                <w:color w:val="000000"/>
                <w:lang w:val="de-DE" w:eastAsia="de-DE"/>
              </w:rPr>
              <w:t xml:space="preserve"> local;                weak SAR</w:t>
            </w:r>
          </w:p>
        </w:tc>
        <w:tc>
          <w:tcPr>
            <w:tcW w:w="20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SA-independent</w:t>
            </w:r>
          </w:p>
        </w:tc>
        <w:tc>
          <w:tcPr>
            <w:tcW w:w="80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P</w:t>
            </w:r>
          </w:p>
        </w:tc>
        <w:tc>
          <w:tcPr>
            <w:tcW w:w="66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np</w:t>
            </w:r>
          </w:p>
        </w:tc>
        <w:tc>
          <w:tcPr>
            <w:tcW w:w="76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np</w:t>
            </w:r>
          </w:p>
        </w:tc>
      </w:tr>
      <w:tr w:rsidR="0034022A" w:rsidRPr="0034022A" w:rsidTr="007236D3">
        <w:trPr>
          <w:trHeight w:val="1200"/>
          <w:jc w:val="center"/>
        </w:trPr>
        <w:tc>
          <w:tcPr>
            <w:tcW w:w="1320" w:type="dxa"/>
            <w:tcBorders>
              <w:top w:val="nil"/>
              <w:left w:val="single" w:sz="4" w:space="0" w:color="auto"/>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i/>
                <w:iCs/>
                <w:color w:val="000000"/>
                <w:lang w:val="de-DE" w:eastAsia="de-DE"/>
              </w:rPr>
            </w:pPr>
            <w:r w:rsidRPr="0034022A">
              <w:rPr>
                <w:rFonts w:ascii="Calibri" w:eastAsia="Times New Roman" w:hAnsi="Calibri" w:cs="Times New Roman"/>
                <w:i/>
                <w:iCs/>
                <w:color w:val="000000"/>
                <w:lang w:val="de-DE" w:eastAsia="de-DE"/>
              </w:rPr>
              <w:t>ACD11L</w:t>
            </w:r>
          </w:p>
        </w:tc>
        <w:tc>
          <w:tcPr>
            <w:tcW w:w="1240" w:type="dxa"/>
            <w:tcBorders>
              <w:top w:val="nil"/>
              <w:left w:val="nil"/>
              <w:bottom w:val="nil"/>
              <w:right w:val="single" w:sz="4" w:space="0" w:color="auto"/>
            </w:tcBorders>
            <w:shd w:val="clear" w:color="auto" w:fill="auto"/>
            <w:noWrap/>
            <w:vAlign w:val="center"/>
            <w:hideMark/>
          </w:tcPr>
          <w:p w:rsidR="0034022A" w:rsidRPr="001F5EB3" w:rsidRDefault="0034022A" w:rsidP="0034022A">
            <w:pPr>
              <w:spacing w:after="0" w:line="240" w:lineRule="auto"/>
              <w:jc w:val="center"/>
              <w:rPr>
                <w:rFonts w:ascii="Calibri" w:eastAsia="Times New Roman" w:hAnsi="Calibri" w:cs="Times New Roman"/>
                <w:i/>
                <w:color w:val="000000"/>
                <w:lang w:val="de-DE" w:eastAsia="de-DE"/>
              </w:rPr>
            </w:pPr>
            <w:r w:rsidRPr="001F5EB3">
              <w:rPr>
                <w:rFonts w:ascii="Calibri" w:eastAsia="Times New Roman" w:hAnsi="Calibri" w:cs="Times New Roman"/>
                <w:i/>
                <w:color w:val="000000"/>
                <w:lang w:val="de-DE" w:eastAsia="de-DE"/>
              </w:rPr>
              <w:t>At4g39670</w:t>
            </w:r>
          </w:p>
        </w:tc>
        <w:tc>
          <w:tcPr>
            <w:tcW w:w="22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glycolipid transfer protein</w:t>
            </w:r>
          </w:p>
        </w:tc>
        <w:tc>
          <w:tcPr>
            <w:tcW w:w="17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detoxification/  abiotic stress</w:t>
            </w:r>
          </w:p>
        </w:tc>
        <w:tc>
          <w:tcPr>
            <w:tcW w:w="1560" w:type="dxa"/>
            <w:tcBorders>
              <w:top w:val="nil"/>
              <w:left w:val="nil"/>
              <w:bottom w:val="nil"/>
              <w:right w:val="single" w:sz="4" w:space="0" w:color="auto"/>
            </w:tcBorders>
            <w:shd w:val="clear" w:color="auto" w:fill="auto"/>
            <w:vAlign w:val="center"/>
            <w:hideMark/>
          </w:tcPr>
          <w:p w:rsidR="001F5EB3" w:rsidRDefault="0034022A" w:rsidP="0034022A">
            <w:pPr>
              <w:spacing w:after="0" w:line="240" w:lineRule="auto"/>
              <w:jc w:val="center"/>
              <w:rPr>
                <w:rFonts w:ascii="Calibri" w:eastAsia="Times New Roman" w:hAnsi="Calibri" w:cs="Times New Roman"/>
                <w:color w:val="000000"/>
                <w:lang w:val="en-US" w:eastAsia="de-DE"/>
              </w:rPr>
            </w:pPr>
            <w:r w:rsidRPr="0034022A">
              <w:rPr>
                <w:rFonts w:ascii="Calibri" w:eastAsia="Times New Roman" w:hAnsi="Calibri" w:cs="Times New Roman"/>
                <w:color w:val="000000"/>
                <w:lang w:val="en-US" w:eastAsia="de-DE"/>
              </w:rPr>
              <w:t xml:space="preserve">ex. Pip;                 </w:t>
            </w:r>
            <w:r w:rsidRPr="0034022A">
              <w:rPr>
                <w:rFonts w:ascii="Calibri" w:eastAsia="Times New Roman" w:hAnsi="Calibri" w:cs="Times New Roman"/>
                <w:i/>
                <w:iCs/>
                <w:color w:val="000000"/>
                <w:lang w:val="en-US" w:eastAsia="de-DE"/>
              </w:rPr>
              <w:t>Psm</w:t>
            </w:r>
            <w:r w:rsidRPr="0034022A">
              <w:rPr>
                <w:rFonts w:ascii="Calibri" w:eastAsia="Times New Roman" w:hAnsi="Calibri" w:cs="Times New Roman"/>
                <w:color w:val="000000"/>
                <w:lang w:val="en-US" w:eastAsia="de-DE"/>
              </w:rPr>
              <w:t xml:space="preserve"> local; </w:t>
            </w:r>
          </w:p>
          <w:p w:rsidR="0034022A" w:rsidRPr="0034022A" w:rsidRDefault="0034022A" w:rsidP="0034022A">
            <w:pPr>
              <w:spacing w:after="0" w:line="240" w:lineRule="auto"/>
              <w:jc w:val="center"/>
              <w:rPr>
                <w:rFonts w:ascii="Calibri" w:eastAsia="Times New Roman" w:hAnsi="Calibri" w:cs="Times New Roman"/>
                <w:color w:val="000000"/>
                <w:lang w:val="en-US" w:eastAsia="de-DE"/>
              </w:rPr>
            </w:pPr>
            <w:r w:rsidRPr="0034022A">
              <w:rPr>
                <w:rFonts w:ascii="Calibri" w:eastAsia="Times New Roman" w:hAnsi="Calibri" w:cs="Times New Roman"/>
                <w:color w:val="000000"/>
                <w:lang w:val="en-US" w:eastAsia="de-DE"/>
              </w:rPr>
              <w:t>weak SAR</w:t>
            </w:r>
          </w:p>
        </w:tc>
        <w:tc>
          <w:tcPr>
            <w:tcW w:w="20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SA-independent</w:t>
            </w:r>
          </w:p>
        </w:tc>
        <w:tc>
          <w:tcPr>
            <w:tcW w:w="80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P</w:t>
            </w:r>
          </w:p>
        </w:tc>
        <w:tc>
          <w:tcPr>
            <w:tcW w:w="66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np</w:t>
            </w:r>
          </w:p>
        </w:tc>
        <w:tc>
          <w:tcPr>
            <w:tcW w:w="76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np</w:t>
            </w:r>
          </w:p>
        </w:tc>
      </w:tr>
      <w:tr w:rsidR="0034022A" w:rsidRPr="0034022A" w:rsidTr="007236D3">
        <w:trPr>
          <w:trHeight w:val="1200"/>
          <w:jc w:val="center"/>
        </w:trPr>
        <w:tc>
          <w:tcPr>
            <w:tcW w:w="1320" w:type="dxa"/>
            <w:tcBorders>
              <w:top w:val="nil"/>
              <w:left w:val="single" w:sz="4" w:space="0" w:color="auto"/>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i/>
                <w:iCs/>
                <w:color w:val="000000"/>
                <w:lang w:val="de-DE" w:eastAsia="de-DE"/>
              </w:rPr>
            </w:pPr>
            <w:r w:rsidRPr="0034022A">
              <w:rPr>
                <w:rFonts w:ascii="Calibri" w:eastAsia="Times New Roman" w:hAnsi="Calibri" w:cs="Times New Roman"/>
                <w:i/>
                <w:iCs/>
                <w:color w:val="000000"/>
                <w:lang w:val="de-DE" w:eastAsia="de-DE"/>
              </w:rPr>
              <w:t>AGP5</w:t>
            </w:r>
          </w:p>
        </w:tc>
        <w:tc>
          <w:tcPr>
            <w:tcW w:w="1240" w:type="dxa"/>
            <w:tcBorders>
              <w:top w:val="nil"/>
              <w:left w:val="nil"/>
              <w:bottom w:val="nil"/>
              <w:right w:val="single" w:sz="4" w:space="0" w:color="auto"/>
            </w:tcBorders>
            <w:shd w:val="clear" w:color="auto" w:fill="auto"/>
            <w:noWrap/>
            <w:vAlign w:val="center"/>
            <w:hideMark/>
          </w:tcPr>
          <w:p w:rsidR="0034022A" w:rsidRPr="001F5EB3" w:rsidRDefault="0034022A" w:rsidP="0034022A">
            <w:pPr>
              <w:spacing w:after="0" w:line="240" w:lineRule="auto"/>
              <w:jc w:val="center"/>
              <w:rPr>
                <w:rFonts w:ascii="Calibri" w:eastAsia="Times New Roman" w:hAnsi="Calibri" w:cs="Times New Roman"/>
                <w:i/>
                <w:color w:val="000000"/>
                <w:lang w:val="de-DE" w:eastAsia="de-DE"/>
              </w:rPr>
            </w:pPr>
            <w:r w:rsidRPr="001F5EB3">
              <w:rPr>
                <w:rFonts w:ascii="Calibri" w:eastAsia="Times New Roman" w:hAnsi="Calibri" w:cs="Times New Roman"/>
                <w:i/>
                <w:color w:val="000000"/>
                <w:lang w:val="de-DE" w:eastAsia="de-DE"/>
              </w:rPr>
              <w:t>At1g35230</w:t>
            </w:r>
          </w:p>
        </w:tc>
        <w:tc>
          <w:tcPr>
            <w:tcW w:w="22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arabinogalactan protein</w:t>
            </w:r>
          </w:p>
        </w:tc>
        <w:tc>
          <w:tcPr>
            <w:tcW w:w="17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cell wall</w:t>
            </w:r>
          </w:p>
        </w:tc>
        <w:tc>
          <w:tcPr>
            <w:tcW w:w="15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en-US" w:eastAsia="de-DE"/>
              </w:rPr>
            </w:pPr>
            <w:r w:rsidRPr="0034022A">
              <w:rPr>
                <w:rFonts w:ascii="Calibri" w:eastAsia="Times New Roman" w:hAnsi="Calibri" w:cs="Times New Roman"/>
                <w:color w:val="000000"/>
                <w:lang w:val="en-US" w:eastAsia="de-DE"/>
              </w:rPr>
              <w:t xml:space="preserve">ex. Pip;            </w:t>
            </w:r>
            <w:r w:rsidRPr="0034022A">
              <w:rPr>
                <w:rFonts w:ascii="Calibri" w:eastAsia="Times New Roman" w:hAnsi="Calibri" w:cs="Times New Roman"/>
                <w:i/>
                <w:iCs/>
                <w:color w:val="000000"/>
                <w:lang w:val="en-US" w:eastAsia="de-DE"/>
              </w:rPr>
              <w:t xml:space="preserve"> Psm</w:t>
            </w:r>
            <w:r w:rsidRPr="0034022A">
              <w:rPr>
                <w:rFonts w:ascii="Calibri" w:eastAsia="Times New Roman" w:hAnsi="Calibri" w:cs="Times New Roman"/>
                <w:color w:val="000000"/>
                <w:lang w:val="en-US" w:eastAsia="de-DE"/>
              </w:rPr>
              <w:t xml:space="preserve"> local; SAR</w:t>
            </w:r>
          </w:p>
        </w:tc>
        <w:tc>
          <w:tcPr>
            <w:tcW w:w="2060" w:type="dxa"/>
            <w:tcBorders>
              <w:top w:val="nil"/>
              <w:left w:val="nil"/>
              <w:bottom w:val="nil"/>
              <w:right w:val="single" w:sz="4" w:space="0" w:color="auto"/>
            </w:tcBorders>
            <w:shd w:val="clear" w:color="auto" w:fill="auto"/>
            <w:vAlign w:val="center"/>
            <w:hideMark/>
          </w:tcPr>
          <w:p w:rsidR="0034022A" w:rsidRPr="0034022A" w:rsidRDefault="00F875EB" w:rsidP="0034022A">
            <w:pPr>
              <w:spacing w:after="0" w:line="240" w:lineRule="auto"/>
              <w:jc w:val="center"/>
              <w:rPr>
                <w:rFonts w:ascii="Calibri" w:eastAsia="Times New Roman" w:hAnsi="Calibri" w:cs="Times New Roman"/>
                <w:color w:val="000000"/>
                <w:lang w:val="de-DE" w:eastAsia="de-DE"/>
              </w:rPr>
            </w:pPr>
            <w:r>
              <w:rPr>
                <w:rFonts w:ascii="Calibri" w:eastAsia="Times New Roman" w:hAnsi="Calibri" w:cs="Times New Roman"/>
                <w:color w:val="000000"/>
                <w:lang w:val="de-DE" w:eastAsia="de-DE"/>
              </w:rPr>
              <w:t>partially</w:t>
            </w:r>
            <w:r w:rsidR="0034022A" w:rsidRPr="0034022A">
              <w:rPr>
                <w:rFonts w:ascii="Calibri" w:eastAsia="Times New Roman" w:hAnsi="Calibri" w:cs="Times New Roman"/>
                <w:color w:val="000000"/>
                <w:lang w:val="de-DE" w:eastAsia="de-DE"/>
              </w:rPr>
              <w:t xml:space="preserve">                                         SA-dependent</w:t>
            </w:r>
          </w:p>
        </w:tc>
        <w:tc>
          <w:tcPr>
            <w:tcW w:w="80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P</w:t>
            </w:r>
          </w:p>
        </w:tc>
        <w:tc>
          <w:tcPr>
            <w:tcW w:w="66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np</w:t>
            </w:r>
          </w:p>
        </w:tc>
        <w:tc>
          <w:tcPr>
            <w:tcW w:w="76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np</w:t>
            </w:r>
          </w:p>
        </w:tc>
      </w:tr>
      <w:tr w:rsidR="0034022A" w:rsidRPr="0034022A" w:rsidTr="007236D3">
        <w:trPr>
          <w:trHeight w:val="1200"/>
          <w:jc w:val="center"/>
        </w:trPr>
        <w:tc>
          <w:tcPr>
            <w:tcW w:w="1320" w:type="dxa"/>
            <w:tcBorders>
              <w:top w:val="nil"/>
              <w:left w:val="single" w:sz="4" w:space="0" w:color="auto"/>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i/>
                <w:iCs/>
                <w:color w:val="000000"/>
                <w:lang w:val="de-DE" w:eastAsia="de-DE"/>
              </w:rPr>
            </w:pPr>
            <w:r w:rsidRPr="0034022A">
              <w:rPr>
                <w:rFonts w:ascii="Calibri" w:eastAsia="Times New Roman" w:hAnsi="Calibri" w:cs="Times New Roman"/>
                <w:i/>
                <w:iCs/>
                <w:color w:val="000000"/>
                <w:lang w:val="de-DE" w:eastAsia="de-DE"/>
              </w:rPr>
              <w:t>AIG1</w:t>
            </w:r>
          </w:p>
        </w:tc>
        <w:tc>
          <w:tcPr>
            <w:tcW w:w="1240" w:type="dxa"/>
            <w:tcBorders>
              <w:top w:val="nil"/>
              <w:left w:val="nil"/>
              <w:bottom w:val="nil"/>
              <w:right w:val="single" w:sz="4" w:space="0" w:color="auto"/>
            </w:tcBorders>
            <w:shd w:val="clear" w:color="auto" w:fill="auto"/>
            <w:noWrap/>
            <w:vAlign w:val="center"/>
            <w:hideMark/>
          </w:tcPr>
          <w:p w:rsidR="0034022A" w:rsidRPr="001F5EB3" w:rsidRDefault="0034022A" w:rsidP="0034022A">
            <w:pPr>
              <w:spacing w:after="0" w:line="240" w:lineRule="auto"/>
              <w:jc w:val="center"/>
              <w:rPr>
                <w:rFonts w:ascii="Calibri" w:eastAsia="Times New Roman" w:hAnsi="Calibri" w:cs="Times New Roman"/>
                <w:i/>
                <w:color w:val="000000"/>
                <w:lang w:val="de-DE" w:eastAsia="de-DE"/>
              </w:rPr>
            </w:pPr>
            <w:r w:rsidRPr="001F5EB3">
              <w:rPr>
                <w:rFonts w:ascii="Calibri" w:eastAsia="Times New Roman" w:hAnsi="Calibri" w:cs="Times New Roman"/>
                <w:i/>
                <w:color w:val="000000"/>
                <w:lang w:val="de-DE" w:eastAsia="de-DE"/>
              </w:rPr>
              <w:t>At1g33960</w:t>
            </w:r>
          </w:p>
        </w:tc>
        <w:tc>
          <w:tcPr>
            <w:tcW w:w="2260" w:type="dxa"/>
            <w:tcBorders>
              <w:top w:val="nil"/>
              <w:left w:val="nil"/>
              <w:bottom w:val="nil"/>
              <w:right w:val="single" w:sz="4" w:space="0" w:color="auto"/>
            </w:tcBorders>
            <w:shd w:val="clear" w:color="auto" w:fill="auto"/>
            <w:vAlign w:val="center"/>
            <w:hideMark/>
          </w:tcPr>
          <w:p w:rsidR="001F5EB3" w:rsidRDefault="0034022A" w:rsidP="0034022A">
            <w:pPr>
              <w:spacing w:after="0" w:line="240" w:lineRule="auto"/>
              <w:jc w:val="center"/>
              <w:rPr>
                <w:rFonts w:ascii="Calibri" w:eastAsia="Times New Roman" w:hAnsi="Calibri" w:cs="Times New Roman"/>
                <w:color w:val="000000"/>
                <w:lang w:val="en-US" w:eastAsia="de-DE"/>
              </w:rPr>
            </w:pPr>
            <w:r w:rsidRPr="0034022A">
              <w:rPr>
                <w:rFonts w:ascii="Calibri" w:eastAsia="Times New Roman" w:hAnsi="Calibri" w:cs="Times New Roman"/>
                <w:color w:val="000000"/>
                <w:lang w:val="en-US" w:eastAsia="de-DE"/>
              </w:rPr>
              <w:t xml:space="preserve">protein induced by </w:t>
            </w:r>
          </w:p>
          <w:p w:rsidR="0034022A" w:rsidRPr="0034022A" w:rsidRDefault="0034022A" w:rsidP="0034022A">
            <w:pPr>
              <w:spacing w:after="0" w:line="240" w:lineRule="auto"/>
              <w:jc w:val="center"/>
              <w:rPr>
                <w:rFonts w:ascii="Calibri" w:eastAsia="Times New Roman" w:hAnsi="Calibri" w:cs="Times New Roman"/>
                <w:color w:val="000000"/>
                <w:lang w:val="en-US" w:eastAsia="de-DE"/>
              </w:rPr>
            </w:pPr>
            <w:r w:rsidRPr="0034022A">
              <w:rPr>
                <w:rFonts w:ascii="Calibri" w:eastAsia="Times New Roman" w:hAnsi="Calibri" w:cs="Times New Roman"/>
                <w:i/>
                <w:iCs/>
                <w:color w:val="000000"/>
                <w:lang w:val="en-US" w:eastAsia="de-DE"/>
              </w:rPr>
              <w:t>Psm avrRpt2</w:t>
            </w:r>
          </w:p>
        </w:tc>
        <w:tc>
          <w:tcPr>
            <w:tcW w:w="17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defence signalling</w:t>
            </w:r>
          </w:p>
        </w:tc>
        <w:tc>
          <w:tcPr>
            <w:tcW w:w="15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en-US" w:eastAsia="de-DE"/>
              </w:rPr>
            </w:pPr>
            <w:r w:rsidRPr="0034022A">
              <w:rPr>
                <w:rFonts w:ascii="Calibri" w:eastAsia="Times New Roman" w:hAnsi="Calibri" w:cs="Times New Roman"/>
                <w:color w:val="000000"/>
                <w:lang w:val="en-US" w:eastAsia="de-DE"/>
              </w:rPr>
              <w:t xml:space="preserve">ex. Pip;                     </w:t>
            </w:r>
            <w:r w:rsidRPr="0034022A">
              <w:rPr>
                <w:rFonts w:ascii="Calibri" w:eastAsia="Times New Roman" w:hAnsi="Calibri" w:cs="Times New Roman"/>
                <w:i/>
                <w:iCs/>
                <w:color w:val="000000"/>
                <w:lang w:val="en-US" w:eastAsia="de-DE"/>
              </w:rPr>
              <w:t>Psm</w:t>
            </w:r>
            <w:r w:rsidRPr="0034022A">
              <w:rPr>
                <w:rFonts w:ascii="Calibri" w:eastAsia="Times New Roman" w:hAnsi="Calibri" w:cs="Times New Roman"/>
                <w:color w:val="000000"/>
                <w:lang w:val="en-US" w:eastAsia="de-DE"/>
              </w:rPr>
              <w:t xml:space="preserve"> local; SAR</w:t>
            </w:r>
          </w:p>
        </w:tc>
        <w:tc>
          <w:tcPr>
            <w:tcW w:w="20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SA-independent</w:t>
            </w:r>
          </w:p>
        </w:tc>
        <w:tc>
          <w:tcPr>
            <w:tcW w:w="80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P</w:t>
            </w:r>
          </w:p>
        </w:tc>
        <w:tc>
          <w:tcPr>
            <w:tcW w:w="66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np</w:t>
            </w:r>
          </w:p>
        </w:tc>
        <w:tc>
          <w:tcPr>
            <w:tcW w:w="76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np</w:t>
            </w:r>
          </w:p>
        </w:tc>
      </w:tr>
      <w:tr w:rsidR="0034022A" w:rsidRPr="0034022A" w:rsidTr="007236D3">
        <w:trPr>
          <w:trHeight w:val="1200"/>
          <w:jc w:val="center"/>
        </w:trPr>
        <w:tc>
          <w:tcPr>
            <w:tcW w:w="1320" w:type="dxa"/>
            <w:tcBorders>
              <w:top w:val="nil"/>
              <w:left w:val="single" w:sz="4" w:space="0" w:color="auto"/>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i/>
                <w:iCs/>
                <w:color w:val="000000"/>
                <w:lang w:val="de-DE" w:eastAsia="de-DE"/>
              </w:rPr>
            </w:pPr>
            <w:r w:rsidRPr="0034022A">
              <w:rPr>
                <w:rFonts w:ascii="Calibri" w:eastAsia="Times New Roman" w:hAnsi="Calibri" w:cs="Times New Roman"/>
                <w:i/>
                <w:iCs/>
                <w:color w:val="000000"/>
                <w:lang w:val="de-DE" w:eastAsia="de-DE"/>
              </w:rPr>
              <w:lastRenderedPageBreak/>
              <w:t>ALD1</w:t>
            </w:r>
          </w:p>
        </w:tc>
        <w:tc>
          <w:tcPr>
            <w:tcW w:w="1240" w:type="dxa"/>
            <w:tcBorders>
              <w:top w:val="nil"/>
              <w:left w:val="nil"/>
              <w:bottom w:val="nil"/>
              <w:right w:val="single" w:sz="4" w:space="0" w:color="auto"/>
            </w:tcBorders>
            <w:shd w:val="clear" w:color="auto" w:fill="auto"/>
            <w:noWrap/>
            <w:vAlign w:val="center"/>
            <w:hideMark/>
          </w:tcPr>
          <w:p w:rsidR="0034022A" w:rsidRPr="001F5EB3" w:rsidRDefault="0034022A" w:rsidP="0034022A">
            <w:pPr>
              <w:spacing w:after="0" w:line="240" w:lineRule="auto"/>
              <w:jc w:val="center"/>
              <w:rPr>
                <w:rFonts w:ascii="Calibri" w:eastAsia="Times New Roman" w:hAnsi="Calibri" w:cs="Times New Roman"/>
                <w:i/>
                <w:color w:val="000000"/>
                <w:lang w:val="de-DE" w:eastAsia="de-DE"/>
              </w:rPr>
            </w:pPr>
            <w:r w:rsidRPr="001F5EB3">
              <w:rPr>
                <w:rFonts w:ascii="Calibri" w:eastAsia="Times New Roman" w:hAnsi="Calibri" w:cs="Times New Roman"/>
                <w:i/>
                <w:color w:val="000000"/>
                <w:lang w:val="de-DE" w:eastAsia="de-DE"/>
              </w:rPr>
              <w:t>At2g13810</w:t>
            </w:r>
          </w:p>
        </w:tc>
        <w:tc>
          <w:tcPr>
            <w:tcW w:w="22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aminotransferase; Pipecolic acid biosynthesis</w:t>
            </w:r>
          </w:p>
        </w:tc>
        <w:tc>
          <w:tcPr>
            <w:tcW w:w="1760" w:type="dxa"/>
            <w:tcBorders>
              <w:top w:val="nil"/>
              <w:left w:val="nil"/>
              <w:bottom w:val="nil"/>
              <w:right w:val="single" w:sz="4" w:space="0" w:color="auto"/>
            </w:tcBorders>
            <w:shd w:val="clear" w:color="auto" w:fill="auto"/>
            <w:vAlign w:val="center"/>
            <w:hideMark/>
          </w:tcPr>
          <w:p w:rsid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defence metabolism</w:t>
            </w:r>
          </w:p>
          <w:p w:rsidR="008D163C" w:rsidRPr="0034022A" w:rsidRDefault="008D163C" w:rsidP="0034022A">
            <w:pPr>
              <w:spacing w:after="0" w:line="240" w:lineRule="auto"/>
              <w:jc w:val="center"/>
              <w:rPr>
                <w:rFonts w:ascii="Calibri" w:eastAsia="Times New Roman" w:hAnsi="Calibri" w:cs="Times New Roman"/>
                <w:color w:val="000000"/>
                <w:lang w:val="de-DE" w:eastAsia="de-DE"/>
              </w:rPr>
            </w:pPr>
            <w:r>
              <w:rPr>
                <w:rFonts w:ascii="Calibri" w:eastAsia="Times New Roman" w:hAnsi="Calibri" w:cs="Times New Roman"/>
                <w:color w:val="000000"/>
                <w:lang w:val="de-DE" w:eastAsia="de-DE"/>
              </w:rPr>
              <w:t>defence signalling</w:t>
            </w:r>
          </w:p>
        </w:tc>
        <w:tc>
          <w:tcPr>
            <w:tcW w:w="15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en-US" w:eastAsia="de-DE"/>
              </w:rPr>
            </w:pPr>
            <w:r w:rsidRPr="0034022A">
              <w:rPr>
                <w:rFonts w:ascii="Calibri" w:eastAsia="Times New Roman" w:hAnsi="Calibri" w:cs="Times New Roman"/>
                <w:color w:val="000000"/>
                <w:lang w:val="en-US" w:eastAsia="de-DE"/>
              </w:rPr>
              <w:t xml:space="preserve">ex. Pip;                   </w:t>
            </w:r>
            <w:r w:rsidRPr="0034022A">
              <w:rPr>
                <w:rFonts w:ascii="Calibri" w:eastAsia="Times New Roman" w:hAnsi="Calibri" w:cs="Times New Roman"/>
                <w:i/>
                <w:iCs/>
                <w:color w:val="000000"/>
                <w:lang w:val="en-US" w:eastAsia="de-DE"/>
              </w:rPr>
              <w:t>Psm</w:t>
            </w:r>
            <w:r w:rsidRPr="0034022A">
              <w:rPr>
                <w:rFonts w:ascii="Calibri" w:eastAsia="Times New Roman" w:hAnsi="Calibri" w:cs="Times New Roman"/>
                <w:color w:val="000000"/>
                <w:lang w:val="en-US" w:eastAsia="de-DE"/>
              </w:rPr>
              <w:t xml:space="preserve"> local; SAR</w:t>
            </w:r>
          </w:p>
        </w:tc>
        <w:tc>
          <w:tcPr>
            <w:tcW w:w="20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SA-independent</w:t>
            </w:r>
          </w:p>
        </w:tc>
        <w:tc>
          <w:tcPr>
            <w:tcW w:w="80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P</w:t>
            </w:r>
          </w:p>
        </w:tc>
        <w:tc>
          <w:tcPr>
            <w:tcW w:w="66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np</w:t>
            </w:r>
          </w:p>
        </w:tc>
        <w:tc>
          <w:tcPr>
            <w:tcW w:w="76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np</w:t>
            </w:r>
          </w:p>
        </w:tc>
      </w:tr>
      <w:tr w:rsidR="0034022A" w:rsidRPr="0034022A" w:rsidTr="007236D3">
        <w:trPr>
          <w:trHeight w:val="1200"/>
          <w:jc w:val="center"/>
        </w:trPr>
        <w:tc>
          <w:tcPr>
            <w:tcW w:w="1320" w:type="dxa"/>
            <w:tcBorders>
              <w:top w:val="nil"/>
              <w:left w:val="single" w:sz="4" w:space="0" w:color="auto"/>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i/>
                <w:iCs/>
                <w:color w:val="000000"/>
                <w:lang w:val="de-DE" w:eastAsia="de-DE"/>
              </w:rPr>
            </w:pPr>
            <w:r w:rsidRPr="0034022A">
              <w:rPr>
                <w:rFonts w:ascii="Calibri" w:eastAsia="Times New Roman" w:hAnsi="Calibri" w:cs="Times New Roman"/>
                <w:i/>
                <w:iCs/>
                <w:color w:val="000000"/>
                <w:lang w:val="de-DE" w:eastAsia="de-DE"/>
              </w:rPr>
              <w:t>ANAC042</w:t>
            </w:r>
          </w:p>
        </w:tc>
        <w:tc>
          <w:tcPr>
            <w:tcW w:w="1240" w:type="dxa"/>
            <w:tcBorders>
              <w:top w:val="nil"/>
              <w:left w:val="nil"/>
              <w:bottom w:val="nil"/>
              <w:right w:val="single" w:sz="4" w:space="0" w:color="auto"/>
            </w:tcBorders>
            <w:shd w:val="clear" w:color="auto" w:fill="auto"/>
            <w:noWrap/>
            <w:vAlign w:val="center"/>
            <w:hideMark/>
          </w:tcPr>
          <w:p w:rsidR="0034022A" w:rsidRPr="001F5EB3" w:rsidRDefault="0034022A" w:rsidP="0034022A">
            <w:pPr>
              <w:spacing w:after="0" w:line="240" w:lineRule="auto"/>
              <w:jc w:val="center"/>
              <w:rPr>
                <w:rFonts w:ascii="Calibri" w:eastAsia="Times New Roman" w:hAnsi="Calibri" w:cs="Times New Roman"/>
                <w:i/>
                <w:color w:val="000000"/>
                <w:lang w:val="de-DE" w:eastAsia="de-DE"/>
              </w:rPr>
            </w:pPr>
            <w:r w:rsidRPr="001F5EB3">
              <w:rPr>
                <w:rFonts w:ascii="Calibri" w:eastAsia="Times New Roman" w:hAnsi="Calibri" w:cs="Times New Roman"/>
                <w:i/>
                <w:color w:val="000000"/>
                <w:lang w:val="de-DE" w:eastAsia="de-DE"/>
              </w:rPr>
              <w:t>At2g43000</w:t>
            </w:r>
          </w:p>
        </w:tc>
        <w:tc>
          <w:tcPr>
            <w:tcW w:w="22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NAC transcription factor; senescence</w:t>
            </w:r>
          </w:p>
        </w:tc>
        <w:tc>
          <w:tcPr>
            <w:tcW w:w="17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defence metabolism</w:t>
            </w:r>
          </w:p>
        </w:tc>
        <w:tc>
          <w:tcPr>
            <w:tcW w:w="15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en-US" w:eastAsia="de-DE"/>
              </w:rPr>
            </w:pPr>
            <w:r w:rsidRPr="0034022A">
              <w:rPr>
                <w:rFonts w:ascii="Calibri" w:eastAsia="Times New Roman" w:hAnsi="Calibri" w:cs="Times New Roman"/>
                <w:color w:val="000000"/>
                <w:lang w:val="en-US" w:eastAsia="de-DE"/>
              </w:rPr>
              <w:t xml:space="preserve">ex. Pip;                    </w:t>
            </w:r>
            <w:r w:rsidRPr="0034022A">
              <w:rPr>
                <w:rFonts w:ascii="Calibri" w:eastAsia="Times New Roman" w:hAnsi="Calibri" w:cs="Times New Roman"/>
                <w:i/>
                <w:iCs/>
                <w:color w:val="000000"/>
                <w:lang w:val="en-US" w:eastAsia="de-DE"/>
              </w:rPr>
              <w:t xml:space="preserve"> Psm</w:t>
            </w:r>
            <w:r w:rsidRPr="0034022A">
              <w:rPr>
                <w:rFonts w:ascii="Calibri" w:eastAsia="Times New Roman" w:hAnsi="Calibri" w:cs="Times New Roman"/>
                <w:color w:val="000000"/>
                <w:lang w:val="en-US" w:eastAsia="de-DE"/>
              </w:rPr>
              <w:t xml:space="preserve"> local; SAR</w:t>
            </w:r>
          </w:p>
        </w:tc>
        <w:tc>
          <w:tcPr>
            <w:tcW w:w="20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SA-independent</w:t>
            </w:r>
          </w:p>
        </w:tc>
        <w:tc>
          <w:tcPr>
            <w:tcW w:w="80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P</w:t>
            </w:r>
          </w:p>
        </w:tc>
        <w:tc>
          <w:tcPr>
            <w:tcW w:w="66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np</w:t>
            </w:r>
          </w:p>
        </w:tc>
        <w:tc>
          <w:tcPr>
            <w:tcW w:w="76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np</w:t>
            </w:r>
          </w:p>
        </w:tc>
      </w:tr>
      <w:tr w:rsidR="0034022A" w:rsidRPr="0034022A" w:rsidTr="007236D3">
        <w:trPr>
          <w:trHeight w:val="1200"/>
          <w:jc w:val="center"/>
        </w:trPr>
        <w:tc>
          <w:tcPr>
            <w:tcW w:w="1320" w:type="dxa"/>
            <w:tcBorders>
              <w:top w:val="nil"/>
              <w:left w:val="single" w:sz="4" w:space="0" w:color="auto"/>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i/>
                <w:iCs/>
                <w:color w:val="000000"/>
                <w:lang w:val="de-DE" w:eastAsia="de-DE"/>
              </w:rPr>
            </w:pPr>
            <w:r w:rsidRPr="0034022A">
              <w:rPr>
                <w:rFonts w:ascii="Calibri" w:eastAsia="Times New Roman" w:hAnsi="Calibri" w:cs="Times New Roman"/>
                <w:i/>
                <w:iCs/>
                <w:color w:val="000000"/>
                <w:lang w:val="de-DE" w:eastAsia="de-DE"/>
              </w:rPr>
              <w:t>ARD3</w:t>
            </w:r>
          </w:p>
        </w:tc>
        <w:tc>
          <w:tcPr>
            <w:tcW w:w="1240" w:type="dxa"/>
            <w:tcBorders>
              <w:top w:val="nil"/>
              <w:left w:val="nil"/>
              <w:bottom w:val="nil"/>
              <w:right w:val="single" w:sz="4" w:space="0" w:color="auto"/>
            </w:tcBorders>
            <w:shd w:val="clear" w:color="auto" w:fill="auto"/>
            <w:noWrap/>
            <w:vAlign w:val="center"/>
            <w:hideMark/>
          </w:tcPr>
          <w:p w:rsidR="0034022A" w:rsidRPr="001F5EB3" w:rsidRDefault="0034022A" w:rsidP="0034022A">
            <w:pPr>
              <w:spacing w:after="0" w:line="240" w:lineRule="auto"/>
              <w:jc w:val="center"/>
              <w:rPr>
                <w:rFonts w:ascii="Calibri" w:eastAsia="Times New Roman" w:hAnsi="Calibri" w:cs="Times New Roman"/>
                <w:i/>
                <w:color w:val="000000"/>
                <w:lang w:val="de-DE" w:eastAsia="de-DE"/>
              </w:rPr>
            </w:pPr>
            <w:r w:rsidRPr="001F5EB3">
              <w:rPr>
                <w:rFonts w:ascii="Calibri" w:eastAsia="Times New Roman" w:hAnsi="Calibri" w:cs="Times New Roman"/>
                <w:i/>
                <w:color w:val="000000"/>
                <w:lang w:val="de-DE" w:eastAsia="de-DE"/>
              </w:rPr>
              <w:t>At2g26400</w:t>
            </w:r>
          </w:p>
        </w:tc>
        <w:tc>
          <w:tcPr>
            <w:tcW w:w="22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acireductone dioxygenase 3</w:t>
            </w:r>
          </w:p>
        </w:tc>
        <w:tc>
          <w:tcPr>
            <w:tcW w:w="17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metabolism</w:t>
            </w:r>
          </w:p>
        </w:tc>
        <w:tc>
          <w:tcPr>
            <w:tcW w:w="15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i/>
                <w:iCs/>
                <w:color w:val="000000"/>
                <w:lang w:val="de-DE" w:eastAsia="de-DE"/>
              </w:rPr>
              <w:t>Psm</w:t>
            </w:r>
            <w:r w:rsidRPr="0034022A">
              <w:rPr>
                <w:rFonts w:ascii="Calibri" w:eastAsia="Times New Roman" w:hAnsi="Calibri" w:cs="Times New Roman"/>
                <w:color w:val="000000"/>
                <w:lang w:val="de-DE" w:eastAsia="de-DE"/>
              </w:rPr>
              <w:t xml:space="preserve"> local; SAR</w:t>
            </w:r>
          </w:p>
        </w:tc>
        <w:tc>
          <w:tcPr>
            <w:tcW w:w="20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SA-dependent</w:t>
            </w:r>
          </w:p>
        </w:tc>
        <w:tc>
          <w:tcPr>
            <w:tcW w:w="80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P</w:t>
            </w:r>
          </w:p>
        </w:tc>
        <w:tc>
          <w:tcPr>
            <w:tcW w:w="66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np</w:t>
            </w:r>
          </w:p>
        </w:tc>
        <w:tc>
          <w:tcPr>
            <w:tcW w:w="76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np</w:t>
            </w:r>
          </w:p>
        </w:tc>
      </w:tr>
      <w:tr w:rsidR="0034022A" w:rsidRPr="0034022A" w:rsidTr="007236D3">
        <w:trPr>
          <w:trHeight w:val="1200"/>
          <w:jc w:val="center"/>
        </w:trPr>
        <w:tc>
          <w:tcPr>
            <w:tcW w:w="1320" w:type="dxa"/>
            <w:tcBorders>
              <w:top w:val="nil"/>
              <w:left w:val="single" w:sz="4" w:space="0" w:color="auto"/>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i/>
                <w:iCs/>
                <w:color w:val="000000"/>
                <w:lang w:val="de-DE" w:eastAsia="de-DE"/>
              </w:rPr>
            </w:pPr>
            <w:r w:rsidRPr="0034022A">
              <w:rPr>
                <w:rFonts w:ascii="Calibri" w:eastAsia="Times New Roman" w:hAnsi="Calibri" w:cs="Times New Roman"/>
                <w:i/>
                <w:iCs/>
                <w:color w:val="000000"/>
                <w:lang w:val="de-DE" w:eastAsia="de-DE"/>
              </w:rPr>
              <w:t>ASK7</w:t>
            </w:r>
          </w:p>
        </w:tc>
        <w:tc>
          <w:tcPr>
            <w:tcW w:w="1240" w:type="dxa"/>
            <w:tcBorders>
              <w:top w:val="nil"/>
              <w:left w:val="nil"/>
              <w:bottom w:val="nil"/>
              <w:right w:val="single" w:sz="4" w:space="0" w:color="auto"/>
            </w:tcBorders>
            <w:shd w:val="clear" w:color="auto" w:fill="auto"/>
            <w:noWrap/>
            <w:vAlign w:val="center"/>
            <w:hideMark/>
          </w:tcPr>
          <w:p w:rsidR="0034022A" w:rsidRPr="001F5EB3" w:rsidRDefault="0034022A" w:rsidP="0034022A">
            <w:pPr>
              <w:spacing w:after="0" w:line="240" w:lineRule="auto"/>
              <w:jc w:val="center"/>
              <w:rPr>
                <w:rFonts w:ascii="Calibri" w:eastAsia="Times New Roman" w:hAnsi="Calibri" w:cs="Times New Roman"/>
                <w:i/>
                <w:color w:val="000000"/>
                <w:lang w:val="de-DE" w:eastAsia="de-DE"/>
              </w:rPr>
            </w:pPr>
            <w:r w:rsidRPr="001F5EB3">
              <w:rPr>
                <w:rFonts w:ascii="Calibri" w:eastAsia="Times New Roman" w:hAnsi="Calibri" w:cs="Times New Roman"/>
                <w:i/>
                <w:color w:val="000000"/>
                <w:lang w:val="de-DE" w:eastAsia="de-DE"/>
              </w:rPr>
              <w:t>At3g21840</w:t>
            </w:r>
          </w:p>
        </w:tc>
        <w:tc>
          <w:tcPr>
            <w:tcW w:w="22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ubiquitin-protein ligase activity</w:t>
            </w:r>
          </w:p>
        </w:tc>
        <w:tc>
          <w:tcPr>
            <w:tcW w:w="17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catabolism/     signalling</w:t>
            </w:r>
          </w:p>
        </w:tc>
        <w:tc>
          <w:tcPr>
            <w:tcW w:w="15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 xml:space="preserve">ex. Pip;             </w:t>
            </w:r>
            <w:r w:rsidRPr="0034022A">
              <w:rPr>
                <w:rFonts w:ascii="Calibri" w:eastAsia="Times New Roman" w:hAnsi="Calibri" w:cs="Times New Roman"/>
                <w:i/>
                <w:iCs/>
                <w:color w:val="000000"/>
                <w:lang w:val="de-DE" w:eastAsia="de-DE"/>
              </w:rPr>
              <w:t>Psm</w:t>
            </w:r>
            <w:r w:rsidRPr="0034022A">
              <w:rPr>
                <w:rFonts w:ascii="Calibri" w:eastAsia="Times New Roman" w:hAnsi="Calibri" w:cs="Times New Roman"/>
                <w:color w:val="000000"/>
                <w:lang w:val="de-DE" w:eastAsia="de-DE"/>
              </w:rPr>
              <w:t xml:space="preserve"> local</w:t>
            </w:r>
          </w:p>
        </w:tc>
        <w:tc>
          <w:tcPr>
            <w:tcW w:w="2060" w:type="dxa"/>
            <w:tcBorders>
              <w:top w:val="nil"/>
              <w:left w:val="nil"/>
              <w:bottom w:val="nil"/>
              <w:right w:val="single" w:sz="4" w:space="0" w:color="auto"/>
            </w:tcBorders>
            <w:shd w:val="clear" w:color="auto" w:fill="auto"/>
            <w:vAlign w:val="center"/>
            <w:hideMark/>
          </w:tcPr>
          <w:p w:rsidR="0034022A" w:rsidRPr="0034022A" w:rsidRDefault="00F875EB" w:rsidP="0034022A">
            <w:pPr>
              <w:spacing w:after="0" w:line="240" w:lineRule="auto"/>
              <w:jc w:val="center"/>
              <w:rPr>
                <w:rFonts w:ascii="Calibri" w:eastAsia="Times New Roman" w:hAnsi="Calibri" w:cs="Times New Roman"/>
                <w:color w:val="000000"/>
                <w:lang w:val="de-DE" w:eastAsia="de-DE"/>
              </w:rPr>
            </w:pPr>
            <w:r>
              <w:rPr>
                <w:rFonts w:ascii="Calibri" w:eastAsia="Times New Roman" w:hAnsi="Calibri" w:cs="Times New Roman"/>
                <w:color w:val="000000"/>
                <w:lang w:val="de-DE" w:eastAsia="de-DE"/>
              </w:rPr>
              <w:t>partially</w:t>
            </w:r>
            <w:r w:rsidR="0034022A" w:rsidRPr="0034022A">
              <w:rPr>
                <w:rFonts w:ascii="Calibri" w:eastAsia="Times New Roman" w:hAnsi="Calibri" w:cs="Times New Roman"/>
                <w:color w:val="000000"/>
                <w:lang w:val="de-DE" w:eastAsia="de-DE"/>
              </w:rPr>
              <w:t xml:space="preserve">                                              SA-dependent</w:t>
            </w:r>
          </w:p>
        </w:tc>
        <w:tc>
          <w:tcPr>
            <w:tcW w:w="80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np</w:t>
            </w:r>
          </w:p>
        </w:tc>
        <w:tc>
          <w:tcPr>
            <w:tcW w:w="66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P</w:t>
            </w:r>
          </w:p>
        </w:tc>
        <w:tc>
          <w:tcPr>
            <w:tcW w:w="76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np</w:t>
            </w:r>
          </w:p>
        </w:tc>
      </w:tr>
      <w:tr w:rsidR="0034022A" w:rsidRPr="0034022A" w:rsidTr="007236D3">
        <w:trPr>
          <w:trHeight w:val="1200"/>
          <w:jc w:val="center"/>
        </w:trPr>
        <w:tc>
          <w:tcPr>
            <w:tcW w:w="1320" w:type="dxa"/>
            <w:tcBorders>
              <w:top w:val="nil"/>
              <w:left w:val="single" w:sz="4" w:space="0" w:color="auto"/>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i/>
                <w:iCs/>
                <w:color w:val="000000"/>
                <w:lang w:val="de-DE" w:eastAsia="de-DE"/>
              </w:rPr>
            </w:pPr>
            <w:r w:rsidRPr="0034022A">
              <w:rPr>
                <w:rFonts w:ascii="Calibri" w:eastAsia="Times New Roman" w:hAnsi="Calibri" w:cs="Times New Roman"/>
                <w:i/>
                <w:iCs/>
                <w:color w:val="000000"/>
                <w:lang w:val="de-DE" w:eastAsia="de-DE"/>
              </w:rPr>
              <w:t>At1g03660</w:t>
            </w:r>
          </w:p>
        </w:tc>
        <w:tc>
          <w:tcPr>
            <w:tcW w:w="1240" w:type="dxa"/>
            <w:tcBorders>
              <w:top w:val="nil"/>
              <w:left w:val="nil"/>
              <w:bottom w:val="nil"/>
              <w:right w:val="single" w:sz="4" w:space="0" w:color="auto"/>
            </w:tcBorders>
            <w:shd w:val="clear" w:color="auto" w:fill="auto"/>
            <w:noWrap/>
            <w:vAlign w:val="center"/>
            <w:hideMark/>
          </w:tcPr>
          <w:p w:rsidR="0034022A" w:rsidRPr="001F5EB3" w:rsidRDefault="0034022A" w:rsidP="0034022A">
            <w:pPr>
              <w:spacing w:after="0" w:line="240" w:lineRule="auto"/>
              <w:jc w:val="center"/>
              <w:rPr>
                <w:rFonts w:ascii="Calibri" w:eastAsia="Times New Roman" w:hAnsi="Calibri" w:cs="Times New Roman"/>
                <w:i/>
                <w:color w:val="000000"/>
                <w:lang w:val="de-DE" w:eastAsia="de-DE"/>
              </w:rPr>
            </w:pPr>
            <w:r w:rsidRPr="001F5EB3">
              <w:rPr>
                <w:rFonts w:ascii="Calibri" w:eastAsia="Times New Roman" w:hAnsi="Calibri" w:cs="Times New Roman"/>
                <w:i/>
                <w:color w:val="000000"/>
                <w:lang w:val="de-DE" w:eastAsia="de-DE"/>
              </w:rPr>
              <w:t>At1g03660</w:t>
            </w:r>
          </w:p>
        </w:tc>
        <w:tc>
          <w:tcPr>
            <w:tcW w:w="22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ankyrin-repeat containing protein</w:t>
            </w:r>
          </w:p>
        </w:tc>
        <w:tc>
          <w:tcPr>
            <w:tcW w:w="17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unknown</w:t>
            </w:r>
          </w:p>
        </w:tc>
        <w:tc>
          <w:tcPr>
            <w:tcW w:w="15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en-US" w:eastAsia="de-DE"/>
              </w:rPr>
            </w:pPr>
            <w:r w:rsidRPr="0034022A">
              <w:rPr>
                <w:rFonts w:ascii="Calibri" w:eastAsia="Times New Roman" w:hAnsi="Calibri" w:cs="Times New Roman"/>
                <w:color w:val="000000"/>
                <w:lang w:val="en-US" w:eastAsia="de-DE"/>
              </w:rPr>
              <w:t xml:space="preserve">ex. Pip;                   </w:t>
            </w:r>
            <w:r w:rsidRPr="0034022A">
              <w:rPr>
                <w:rFonts w:ascii="Calibri" w:eastAsia="Times New Roman" w:hAnsi="Calibri" w:cs="Times New Roman"/>
                <w:i/>
                <w:iCs/>
                <w:color w:val="000000"/>
                <w:lang w:val="en-US" w:eastAsia="de-DE"/>
              </w:rPr>
              <w:t>Psm</w:t>
            </w:r>
            <w:r w:rsidRPr="0034022A">
              <w:rPr>
                <w:rFonts w:ascii="Calibri" w:eastAsia="Times New Roman" w:hAnsi="Calibri" w:cs="Times New Roman"/>
                <w:color w:val="000000"/>
                <w:lang w:val="en-US" w:eastAsia="de-DE"/>
              </w:rPr>
              <w:t xml:space="preserve"> local; SAR</w:t>
            </w:r>
          </w:p>
        </w:tc>
        <w:tc>
          <w:tcPr>
            <w:tcW w:w="20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SA-dependent</w:t>
            </w:r>
          </w:p>
        </w:tc>
        <w:tc>
          <w:tcPr>
            <w:tcW w:w="80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np</w:t>
            </w:r>
          </w:p>
        </w:tc>
        <w:tc>
          <w:tcPr>
            <w:tcW w:w="66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np</w:t>
            </w:r>
          </w:p>
        </w:tc>
        <w:tc>
          <w:tcPr>
            <w:tcW w:w="76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np</w:t>
            </w:r>
          </w:p>
        </w:tc>
      </w:tr>
      <w:tr w:rsidR="0034022A" w:rsidRPr="0034022A" w:rsidTr="007236D3">
        <w:trPr>
          <w:trHeight w:val="1200"/>
          <w:jc w:val="center"/>
        </w:trPr>
        <w:tc>
          <w:tcPr>
            <w:tcW w:w="1320" w:type="dxa"/>
            <w:tcBorders>
              <w:top w:val="nil"/>
              <w:left w:val="single" w:sz="4" w:space="0" w:color="auto"/>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i/>
                <w:iCs/>
                <w:color w:val="000000"/>
                <w:lang w:val="de-DE" w:eastAsia="de-DE"/>
              </w:rPr>
            </w:pPr>
            <w:r w:rsidRPr="0034022A">
              <w:rPr>
                <w:rFonts w:ascii="Calibri" w:eastAsia="Times New Roman" w:hAnsi="Calibri" w:cs="Times New Roman"/>
                <w:i/>
                <w:iCs/>
                <w:color w:val="000000"/>
                <w:lang w:val="de-DE" w:eastAsia="de-DE"/>
              </w:rPr>
              <w:t>At1g26420</w:t>
            </w:r>
          </w:p>
        </w:tc>
        <w:tc>
          <w:tcPr>
            <w:tcW w:w="1240" w:type="dxa"/>
            <w:tcBorders>
              <w:top w:val="nil"/>
              <w:left w:val="nil"/>
              <w:bottom w:val="nil"/>
              <w:right w:val="single" w:sz="4" w:space="0" w:color="auto"/>
            </w:tcBorders>
            <w:shd w:val="clear" w:color="auto" w:fill="auto"/>
            <w:noWrap/>
            <w:vAlign w:val="center"/>
            <w:hideMark/>
          </w:tcPr>
          <w:p w:rsidR="0034022A" w:rsidRPr="001F5EB3" w:rsidRDefault="0034022A" w:rsidP="0034022A">
            <w:pPr>
              <w:spacing w:after="0" w:line="240" w:lineRule="auto"/>
              <w:jc w:val="center"/>
              <w:rPr>
                <w:rFonts w:ascii="Calibri" w:eastAsia="Times New Roman" w:hAnsi="Calibri" w:cs="Times New Roman"/>
                <w:i/>
                <w:color w:val="000000"/>
                <w:lang w:val="de-DE" w:eastAsia="de-DE"/>
              </w:rPr>
            </w:pPr>
            <w:r w:rsidRPr="001F5EB3">
              <w:rPr>
                <w:rFonts w:ascii="Calibri" w:eastAsia="Times New Roman" w:hAnsi="Calibri" w:cs="Times New Roman"/>
                <w:i/>
                <w:color w:val="000000"/>
                <w:lang w:val="de-DE" w:eastAsia="de-DE"/>
              </w:rPr>
              <w:t>At1g26420</w:t>
            </w:r>
          </w:p>
        </w:tc>
        <w:tc>
          <w:tcPr>
            <w:tcW w:w="22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oxidoreductase activity</w:t>
            </w:r>
          </w:p>
        </w:tc>
        <w:tc>
          <w:tcPr>
            <w:tcW w:w="17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ROS generation</w:t>
            </w:r>
          </w:p>
        </w:tc>
        <w:tc>
          <w:tcPr>
            <w:tcW w:w="15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en-US" w:eastAsia="de-DE"/>
              </w:rPr>
            </w:pPr>
            <w:r w:rsidRPr="0034022A">
              <w:rPr>
                <w:rFonts w:ascii="Calibri" w:eastAsia="Times New Roman" w:hAnsi="Calibri" w:cs="Times New Roman"/>
                <w:color w:val="000000"/>
                <w:lang w:val="en-US" w:eastAsia="de-DE"/>
              </w:rPr>
              <w:t xml:space="preserve">ex. Pip;                 </w:t>
            </w:r>
            <w:r w:rsidRPr="0034022A">
              <w:rPr>
                <w:rFonts w:ascii="Calibri" w:eastAsia="Times New Roman" w:hAnsi="Calibri" w:cs="Times New Roman"/>
                <w:i/>
                <w:iCs/>
                <w:color w:val="000000"/>
                <w:lang w:val="en-US" w:eastAsia="de-DE"/>
              </w:rPr>
              <w:t>Psm</w:t>
            </w:r>
            <w:r w:rsidRPr="0034022A">
              <w:rPr>
                <w:rFonts w:ascii="Calibri" w:eastAsia="Times New Roman" w:hAnsi="Calibri" w:cs="Times New Roman"/>
                <w:color w:val="000000"/>
                <w:lang w:val="en-US" w:eastAsia="de-DE"/>
              </w:rPr>
              <w:t xml:space="preserve"> local; SAR</w:t>
            </w:r>
          </w:p>
        </w:tc>
        <w:tc>
          <w:tcPr>
            <w:tcW w:w="20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SA-independent</w:t>
            </w:r>
          </w:p>
        </w:tc>
        <w:tc>
          <w:tcPr>
            <w:tcW w:w="80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np</w:t>
            </w:r>
          </w:p>
        </w:tc>
        <w:tc>
          <w:tcPr>
            <w:tcW w:w="66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np</w:t>
            </w:r>
          </w:p>
        </w:tc>
        <w:tc>
          <w:tcPr>
            <w:tcW w:w="76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np</w:t>
            </w:r>
          </w:p>
        </w:tc>
      </w:tr>
      <w:tr w:rsidR="0034022A" w:rsidRPr="0034022A" w:rsidTr="007236D3">
        <w:trPr>
          <w:trHeight w:val="1200"/>
          <w:jc w:val="center"/>
        </w:trPr>
        <w:tc>
          <w:tcPr>
            <w:tcW w:w="1320" w:type="dxa"/>
            <w:tcBorders>
              <w:top w:val="nil"/>
              <w:left w:val="single" w:sz="4" w:space="0" w:color="auto"/>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i/>
                <w:iCs/>
                <w:color w:val="000000"/>
                <w:lang w:val="de-DE" w:eastAsia="de-DE"/>
              </w:rPr>
            </w:pPr>
            <w:r w:rsidRPr="0034022A">
              <w:rPr>
                <w:rFonts w:ascii="Calibri" w:eastAsia="Times New Roman" w:hAnsi="Calibri" w:cs="Times New Roman"/>
                <w:i/>
                <w:iCs/>
                <w:color w:val="000000"/>
                <w:lang w:val="de-DE" w:eastAsia="de-DE"/>
              </w:rPr>
              <w:t>At5g39090</w:t>
            </w:r>
          </w:p>
        </w:tc>
        <w:tc>
          <w:tcPr>
            <w:tcW w:w="1240" w:type="dxa"/>
            <w:tcBorders>
              <w:top w:val="nil"/>
              <w:left w:val="nil"/>
              <w:bottom w:val="nil"/>
              <w:right w:val="single" w:sz="4" w:space="0" w:color="auto"/>
            </w:tcBorders>
            <w:shd w:val="clear" w:color="auto" w:fill="auto"/>
            <w:noWrap/>
            <w:vAlign w:val="center"/>
            <w:hideMark/>
          </w:tcPr>
          <w:p w:rsidR="0034022A" w:rsidRPr="001F5EB3" w:rsidRDefault="0034022A" w:rsidP="0034022A">
            <w:pPr>
              <w:spacing w:after="0" w:line="240" w:lineRule="auto"/>
              <w:jc w:val="center"/>
              <w:rPr>
                <w:rFonts w:ascii="Calibri" w:eastAsia="Times New Roman" w:hAnsi="Calibri" w:cs="Times New Roman"/>
                <w:i/>
                <w:color w:val="000000"/>
                <w:lang w:val="de-DE" w:eastAsia="de-DE"/>
              </w:rPr>
            </w:pPr>
            <w:r w:rsidRPr="001F5EB3">
              <w:rPr>
                <w:rFonts w:ascii="Calibri" w:eastAsia="Times New Roman" w:hAnsi="Calibri" w:cs="Times New Roman"/>
                <w:i/>
                <w:color w:val="000000"/>
                <w:lang w:val="de-DE" w:eastAsia="de-DE"/>
              </w:rPr>
              <w:t>At5g39090</w:t>
            </w:r>
          </w:p>
        </w:tc>
        <w:tc>
          <w:tcPr>
            <w:tcW w:w="22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en-US" w:eastAsia="de-DE"/>
              </w:rPr>
            </w:pPr>
            <w:r w:rsidRPr="0034022A">
              <w:rPr>
                <w:rFonts w:ascii="Calibri" w:eastAsia="Times New Roman" w:hAnsi="Calibri" w:cs="Times New Roman"/>
                <w:color w:val="000000"/>
                <w:lang w:val="en-US" w:eastAsia="de-DE"/>
              </w:rPr>
              <w:t>HXXXD-type acyl-transferase family protein</w:t>
            </w:r>
          </w:p>
        </w:tc>
        <w:tc>
          <w:tcPr>
            <w:tcW w:w="17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metabolism</w:t>
            </w:r>
          </w:p>
        </w:tc>
        <w:tc>
          <w:tcPr>
            <w:tcW w:w="1560" w:type="dxa"/>
            <w:tcBorders>
              <w:top w:val="nil"/>
              <w:left w:val="nil"/>
              <w:bottom w:val="nil"/>
              <w:right w:val="single" w:sz="4" w:space="0" w:color="auto"/>
            </w:tcBorders>
            <w:shd w:val="clear" w:color="auto" w:fill="auto"/>
            <w:vAlign w:val="center"/>
            <w:hideMark/>
          </w:tcPr>
          <w:p w:rsidR="001F5EB3" w:rsidRDefault="0034022A" w:rsidP="0034022A">
            <w:pPr>
              <w:spacing w:after="0" w:line="240" w:lineRule="auto"/>
              <w:jc w:val="center"/>
              <w:rPr>
                <w:rFonts w:ascii="Calibri" w:eastAsia="Times New Roman" w:hAnsi="Calibri" w:cs="Times New Roman"/>
                <w:color w:val="000000"/>
                <w:lang w:val="en-US" w:eastAsia="de-DE"/>
              </w:rPr>
            </w:pPr>
            <w:r w:rsidRPr="0034022A">
              <w:rPr>
                <w:rFonts w:ascii="Calibri" w:eastAsia="Times New Roman" w:hAnsi="Calibri" w:cs="Times New Roman"/>
                <w:color w:val="000000"/>
                <w:lang w:val="en-US" w:eastAsia="de-DE"/>
              </w:rPr>
              <w:t xml:space="preserve">ex. Pip;                  </w:t>
            </w:r>
            <w:r w:rsidRPr="0034022A">
              <w:rPr>
                <w:rFonts w:ascii="Calibri" w:eastAsia="Times New Roman" w:hAnsi="Calibri" w:cs="Times New Roman"/>
                <w:i/>
                <w:iCs/>
                <w:color w:val="000000"/>
                <w:lang w:val="en-US" w:eastAsia="de-DE"/>
              </w:rPr>
              <w:t>Psm</w:t>
            </w:r>
            <w:r w:rsidRPr="0034022A">
              <w:rPr>
                <w:rFonts w:ascii="Calibri" w:eastAsia="Times New Roman" w:hAnsi="Calibri" w:cs="Times New Roman"/>
                <w:color w:val="000000"/>
                <w:lang w:val="en-US" w:eastAsia="de-DE"/>
              </w:rPr>
              <w:t xml:space="preserve"> local; </w:t>
            </w:r>
          </w:p>
          <w:p w:rsidR="0034022A" w:rsidRPr="0034022A" w:rsidRDefault="0034022A" w:rsidP="0034022A">
            <w:pPr>
              <w:spacing w:after="0" w:line="240" w:lineRule="auto"/>
              <w:jc w:val="center"/>
              <w:rPr>
                <w:rFonts w:ascii="Calibri" w:eastAsia="Times New Roman" w:hAnsi="Calibri" w:cs="Times New Roman"/>
                <w:color w:val="000000"/>
                <w:lang w:val="en-US" w:eastAsia="de-DE"/>
              </w:rPr>
            </w:pPr>
            <w:r w:rsidRPr="0034022A">
              <w:rPr>
                <w:rFonts w:ascii="Calibri" w:eastAsia="Times New Roman" w:hAnsi="Calibri" w:cs="Times New Roman"/>
                <w:color w:val="000000"/>
                <w:lang w:val="en-US" w:eastAsia="de-DE"/>
              </w:rPr>
              <w:t>weak SAR</w:t>
            </w:r>
          </w:p>
        </w:tc>
        <w:tc>
          <w:tcPr>
            <w:tcW w:w="20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SA-independent</w:t>
            </w:r>
          </w:p>
        </w:tc>
        <w:tc>
          <w:tcPr>
            <w:tcW w:w="80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np</w:t>
            </w:r>
          </w:p>
        </w:tc>
        <w:tc>
          <w:tcPr>
            <w:tcW w:w="66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np</w:t>
            </w:r>
          </w:p>
        </w:tc>
        <w:tc>
          <w:tcPr>
            <w:tcW w:w="76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np</w:t>
            </w:r>
          </w:p>
        </w:tc>
      </w:tr>
      <w:tr w:rsidR="0034022A" w:rsidRPr="0034022A" w:rsidTr="007236D3">
        <w:trPr>
          <w:trHeight w:val="1200"/>
          <w:jc w:val="center"/>
        </w:trPr>
        <w:tc>
          <w:tcPr>
            <w:tcW w:w="1320" w:type="dxa"/>
            <w:tcBorders>
              <w:top w:val="nil"/>
              <w:left w:val="single" w:sz="4" w:space="0" w:color="auto"/>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i/>
                <w:iCs/>
                <w:color w:val="000000"/>
                <w:lang w:val="de-DE" w:eastAsia="de-DE"/>
              </w:rPr>
            </w:pPr>
            <w:r w:rsidRPr="0034022A">
              <w:rPr>
                <w:rFonts w:ascii="Calibri" w:eastAsia="Times New Roman" w:hAnsi="Calibri" w:cs="Times New Roman"/>
                <w:i/>
                <w:iCs/>
                <w:color w:val="000000"/>
                <w:lang w:val="de-DE" w:eastAsia="de-DE"/>
              </w:rPr>
              <w:lastRenderedPageBreak/>
              <w:t>ATPase1</w:t>
            </w:r>
          </w:p>
        </w:tc>
        <w:tc>
          <w:tcPr>
            <w:tcW w:w="1240" w:type="dxa"/>
            <w:tcBorders>
              <w:top w:val="nil"/>
              <w:left w:val="nil"/>
              <w:bottom w:val="nil"/>
              <w:right w:val="single" w:sz="4" w:space="0" w:color="auto"/>
            </w:tcBorders>
            <w:shd w:val="clear" w:color="auto" w:fill="auto"/>
            <w:noWrap/>
            <w:vAlign w:val="center"/>
            <w:hideMark/>
          </w:tcPr>
          <w:p w:rsidR="0034022A" w:rsidRPr="001F5EB3" w:rsidRDefault="0034022A" w:rsidP="0034022A">
            <w:pPr>
              <w:spacing w:after="0" w:line="240" w:lineRule="auto"/>
              <w:jc w:val="center"/>
              <w:rPr>
                <w:rFonts w:ascii="Calibri" w:eastAsia="Times New Roman" w:hAnsi="Calibri" w:cs="Times New Roman"/>
                <w:i/>
                <w:color w:val="000000"/>
                <w:lang w:val="de-DE" w:eastAsia="de-DE"/>
              </w:rPr>
            </w:pPr>
            <w:r w:rsidRPr="001F5EB3">
              <w:rPr>
                <w:rFonts w:ascii="Calibri" w:eastAsia="Times New Roman" w:hAnsi="Calibri" w:cs="Times New Roman"/>
                <w:i/>
                <w:color w:val="000000"/>
                <w:lang w:val="de-DE" w:eastAsia="de-DE"/>
              </w:rPr>
              <w:t>At3g28510</w:t>
            </w:r>
          </w:p>
        </w:tc>
        <w:tc>
          <w:tcPr>
            <w:tcW w:w="22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en-US" w:eastAsia="de-DE"/>
              </w:rPr>
            </w:pPr>
            <w:r w:rsidRPr="0034022A">
              <w:rPr>
                <w:rFonts w:ascii="Calibri" w:eastAsia="Times New Roman" w:hAnsi="Calibri" w:cs="Times New Roman"/>
                <w:color w:val="000000"/>
                <w:lang w:val="en-US" w:eastAsia="de-DE"/>
              </w:rPr>
              <w:t>AAA-type ATPase family protein</w:t>
            </w:r>
          </w:p>
        </w:tc>
        <w:tc>
          <w:tcPr>
            <w:tcW w:w="17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transporter</w:t>
            </w:r>
          </w:p>
        </w:tc>
        <w:tc>
          <w:tcPr>
            <w:tcW w:w="15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en-US" w:eastAsia="de-DE"/>
              </w:rPr>
            </w:pPr>
            <w:r w:rsidRPr="0034022A">
              <w:rPr>
                <w:rFonts w:ascii="Calibri" w:eastAsia="Times New Roman" w:hAnsi="Calibri" w:cs="Times New Roman"/>
                <w:color w:val="000000"/>
                <w:lang w:val="en-US" w:eastAsia="de-DE"/>
              </w:rPr>
              <w:t xml:space="preserve">ex. Pip;                  </w:t>
            </w:r>
            <w:r w:rsidRPr="0034022A">
              <w:rPr>
                <w:rFonts w:ascii="Calibri" w:eastAsia="Times New Roman" w:hAnsi="Calibri" w:cs="Times New Roman"/>
                <w:i/>
                <w:iCs/>
                <w:color w:val="000000"/>
                <w:lang w:val="en-US" w:eastAsia="de-DE"/>
              </w:rPr>
              <w:t>Psm</w:t>
            </w:r>
            <w:r w:rsidRPr="0034022A">
              <w:rPr>
                <w:rFonts w:ascii="Calibri" w:eastAsia="Times New Roman" w:hAnsi="Calibri" w:cs="Times New Roman"/>
                <w:color w:val="000000"/>
                <w:lang w:val="en-US" w:eastAsia="de-DE"/>
              </w:rPr>
              <w:t xml:space="preserve"> local; SAR</w:t>
            </w:r>
          </w:p>
        </w:tc>
        <w:tc>
          <w:tcPr>
            <w:tcW w:w="20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SA-dependent</w:t>
            </w:r>
          </w:p>
        </w:tc>
        <w:tc>
          <w:tcPr>
            <w:tcW w:w="80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P</w:t>
            </w:r>
          </w:p>
        </w:tc>
        <w:tc>
          <w:tcPr>
            <w:tcW w:w="66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np</w:t>
            </w:r>
          </w:p>
        </w:tc>
        <w:tc>
          <w:tcPr>
            <w:tcW w:w="76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np</w:t>
            </w:r>
          </w:p>
        </w:tc>
      </w:tr>
      <w:tr w:rsidR="0034022A" w:rsidRPr="0034022A" w:rsidTr="007236D3">
        <w:trPr>
          <w:trHeight w:val="1200"/>
          <w:jc w:val="center"/>
        </w:trPr>
        <w:tc>
          <w:tcPr>
            <w:tcW w:w="1320" w:type="dxa"/>
            <w:tcBorders>
              <w:top w:val="nil"/>
              <w:left w:val="single" w:sz="4" w:space="0" w:color="auto"/>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i/>
                <w:iCs/>
                <w:color w:val="000000"/>
                <w:lang w:val="de-DE" w:eastAsia="de-DE"/>
              </w:rPr>
            </w:pPr>
            <w:r w:rsidRPr="0034022A">
              <w:rPr>
                <w:rFonts w:ascii="Calibri" w:eastAsia="Times New Roman" w:hAnsi="Calibri" w:cs="Times New Roman"/>
                <w:i/>
                <w:iCs/>
                <w:color w:val="000000"/>
                <w:lang w:val="de-DE" w:eastAsia="de-DE"/>
              </w:rPr>
              <w:t>BAHD1</w:t>
            </w:r>
          </w:p>
        </w:tc>
        <w:tc>
          <w:tcPr>
            <w:tcW w:w="1240" w:type="dxa"/>
            <w:tcBorders>
              <w:top w:val="nil"/>
              <w:left w:val="nil"/>
              <w:bottom w:val="nil"/>
              <w:right w:val="single" w:sz="4" w:space="0" w:color="auto"/>
            </w:tcBorders>
            <w:shd w:val="clear" w:color="auto" w:fill="auto"/>
            <w:noWrap/>
            <w:vAlign w:val="center"/>
            <w:hideMark/>
          </w:tcPr>
          <w:p w:rsidR="0034022A" w:rsidRPr="001F5EB3" w:rsidRDefault="0034022A" w:rsidP="0034022A">
            <w:pPr>
              <w:spacing w:after="0" w:line="240" w:lineRule="auto"/>
              <w:jc w:val="center"/>
              <w:rPr>
                <w:rFonts w:ascii="Calibri" w:eastAsia="Times New Roman" w:hAnsi="Calibri" w:cs="Times New Roman"/>
                <w:i/>
                <w:color w:val="000000"/>
                <w:lang w:val="de-DE" w:eastAsia="de-DE"/>
              </w:rPr>
            </w:pPr>
            <w:r w:rsidRPr="001F5EB3">
              <w:rPr>
                <w:rFonts w:ascii="Calibri" w:eastAsia="Times New Roman" w:hAnsi="Calibri" w:cs="Times New Roman"/>
                <w:i/>
                <w:color w:val="000000"/>
                <w:lang w:val="de-DE" w:eastAsia="de-DE"/>
              </w:rPr>
              <w:t>At5g42830</w:t>
            </w:r>
          </w:p>
        </w:tc>
        <w:tc>
          <w:tcPr>
            <w:tcW w:w="22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BAHD transferase family protein</w:t>
            </w:r>
          </w:p>
        </w:tc>
        <w:tc>
          <w:tcPr>
            <w:tcW w:w="17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metabolism</w:t>
            </w:r>
          </w:p>
        </w:tc>
        <w:tc>
          <w:tcPr>
            <w:tcW w:w="15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en-US" w:eastAsia="de-DE"/>
              </w:rPr>
            </w:pPr>
            <w:r w:rsidRPr="0034022A">
              <w:rPr>
                <w:rFonts w:ascii="Calibri" w:eastAsia="Times New Roman" w:hAnsi="Calibri" w:cs="Times New Roman"/>
                <w:color w:val="000000"/>
                <w:lang w:val="en-US" w:eastAsia="de-DE"/>
              </w:rPr>
              <w:t xml:space="preserve">ex. Pip;               </w:t>
            </w:r>
            <w:r w:rsidRPr="0034022A">
              <w:rPr>
                <w:rFonts w:ascii="Calibri" w:eastAsia="Times New Roman" w:hAnsi="Calibri" w:cs="Times New Roman"/>
                <w:i/>
                <w:iCs/>
                <w:color w:val="000000"/>
                <w:lang w:val="en-US" w:eastAsia="de-DE"/>
              </w:rPr>
              <w:t xml:space="preserve"> Psm</w:t>
            </w:r>
            <w:r w:rsidRPr="0034022A">
              <w:rPr>
                <w:rFonts w:ascii="Calibri" w:eastAsia="Times New Roman" w:hAnsi="Calibri" w:cs="Times New Roman"/>
                <w:color w:val="000000"/>
                <w:lang w:val="en-US" w:eastAsia="de-DE"/>
              </w:rPr>
              <w:t xml:space="preserve"> local; SAR</w:t>
            </w:r>
          </w:p>
        </w:tc>
        <w:tc>
          <w:tcPr>
            <w:tcW w:w="20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SA-dependent</w:t>
            </w:r>
          </w:p>
        </w:tc>
        <w:tc>
          <w:tcPr>
            <w:tcW w:w="80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np</w:t>
            </w:r>
          </w:p>
        </w:tc>
        <w:tc>
          <w:tcPr>
            <w:tcW w:w="66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np</w:t>
            </w:r>
          </w:p>
        </w:tc>
        <w:tc>
          <w:tcPr>
            <w:tcW w:w="76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np</w:t>
            </w:r>
          </w:p>
        </w:tc>
      </w:tr>
      <w:tr w:rsidR="0034022A" w:rsidRPr="0034022A" w:rsidTr="007236D3">
        <w:trPr>
          <w:trHeight w:val="1200"/>
          <w:jc w:val="center"/>
        </w:trPr>
        <w:tc>
          <w:tcPr>
            <w:tcW w:w="1320" w:type="dxa"/>
            <w:tcBorders>
              <w:top w:val="nil"/>
              <w:left w:val="single" w:sz="4" w:space="0" w:color="auto"/>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i/>
                <w:iCs/>
                <w:color w:val="000000"/>
                <w:lang w:val="de-DE" w:eastAsia="de-DE"/>
              </w:rPr>
            </w:pPr>
            <w:r w:rsidRPr="0034022A">
              <w:rPr>
                <w:rFonts w:ascii="Calibri" w:eastAsia="Times New Roman" w:hAnsi="Calibri" w:cs="Times New Roman"/>
                <w:i/>
                <w:iCs/>
                <w:color w:val="000000"/>
                <w:lang w:val="de-DE" w:eastAsia="de-DE"/>
              </w:rPr>
              <w:t>BGLU31</w:t>
            </w:r>
          </w:p>
        </w:tc>
        <w:tc>
          <w:tcPr>
            <w:tcW w:w="1240" w:type="dxa"/>
            <w:tcBorders>
              <w:top w:val="nil"/>
              <w:left w:val="nil"/>
              <w:bottom w:val="nil"/>
              <w:right w:val="single" w:sz="4" w:space="0" w:color="auto"/>
            </w:tcBorders>
            <w:shd w:val="clear" w:color="auto" w:fill="auto"/>
            <w:noWrap/>
            <w:vAlign w:val="center"/>
            <w:hideMark/>
          </w:tcPr>
          <w:p w:rsidR="0034022A" w:rsidRPr="001F5EB3" w:rsidRDefault="0034022A" w:rsidP="0034022A">
            <w:pPr>
              <w:spacing w:after="0" w:line="240" w:lineRule="auto"/>
              <w:jc w:val="center"/>
              <w:rPr>
                <w:rFonts w:ascii="Calibri" w:eastAsia="Times New Roman" w:hAnsi="Calibri" w:cs="Times New Roman"/>
                <w:i/>
                <w:color w:val="000000"/>
                <w:lang w:val="de-DE" w:eastAsia="de-DE"/>
              </w:rPr>
            </w:pPr>
            <w:r w:rsidRPr="001F5EB3">
              <w:rPr>
                <w:rFonts w:ascii="Calibri" w:eastAsia="Times New Roman" w:hAnsi="Calibri" w:cs="Times New Roman"/>
                <w:i/>
                <w:color w:val="000000"/>
                <w:lang w:val="de-DE" w:eastAsia="de-DE"/>
              </w:rPr>
              <w:t>At5g24540</w:t>
            </w:r>
          </w:p>
        </w:tc>
        <w:tc>
          <w:tcPr>
            <w:tcW w:w="22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 xml:space="preserve">beta-glucosidase </w:t>
            </w:r>
          </w:p>
        </w:tc>
        <w:tc>
          <w:tcPr>
            <w:tcW w:w="17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detoxification/    biotic+abiotic     stress</w:t>
            </w:r>
          </w:p>
        </w:tc>
        <w:tc>
          <w:tcPr>
            <w:tcW w:w="15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i/>
                <w:iCs/>
                <w:color w:val="000000"/>
                <w:lang w:val="de-DE" w:eastAsia="de-DE"/>
              </w:rPr>
              <w:t>Psm</w:t>
            </w:r>
            <w:r w:rsidRPr="0034022A">
              <w:rPr>
                <w:rFonts w:ascii="Calibri" w:eastAsia="Times New Roman" w:hAnsi="Calibri" w:cs="Times New Roman"/>
                <w:color w:val="000000"/>
                <w:lang w:val="de-DE" w:eastAsia="de-DE"/>
              </w:rPr>
              <w:t xml:space="preserve"> local</w:t>
            </w:r>
          </w:p>
        </w:tc>
        <w:tc>
          <w:tcPr>
            <w:tcW w:w="2060" w:type="dxa"/>
            <w:tcBorders>
              <w:top w:val="nil"/>
              <w:left w:val="nil"/>
              <w:bottom w:val="nil"/>
              <w:right w:val="single" w:sz="4" w:space="0" w:color="auto"/>
            </w:tcBorders>
            <w:shd w:val="clear" w:color="auto" w:fill="auto"/>
            <w:vAlign w:val="center"/>
            <w:hideMark/>
          </w:tcPr>
          <w:p w:rsidR="0034022A" w:rsidRPr="0034022A" w:rsidRDefault="00F875EB" w:rsidP="0034022A">
            <w:pPr>
              <w:spacing w:after="0" w:line="240" w:lineRule="auto"/>
              <w:jc w:val="center"/>
              <w:rPr>
                <w:rFonts w:ascii="Calibri" w:eastAsia="Times New Roman" w:hAnsi="Calibri" w:cs="Times New Roman"/>
                <w:color w:val="000000"/>
                <w:lang w:val="de-DE" w:eastAsia="de-DE"/>
              </w:rPr>
            </w:pPr>
            <w:r>
              <w:rPr>
                <w:rFonts w:ascii="Calibri" w:eastAsia="Times New Roman" w:hAnsi="Calibri" w:cs="Times New Roman"/>
                <w:color w:val="000000"/>
                <w:lang w:val="de-DE" w:eastAsia="de-DE"/>
              </w:rPr>
              <w:t>partially</w:t>
            </w:r>
            <w:r w:rsidR="0034022A" w:rsidRPr="0034022A">
              <w:rPr>
                <w:rFonts w:ascii="Calibri" w:eastAsia="Times New Roman" w:hAnsi="Calibri" w:cs="Times New Roman"/>
                <w:color w:val="000000"/>
                <w:lang w:val="de-DE" w:eastAsia="de-DE"/>
              </w:rPr>
              <w:t xml:space="preserve">                                     SA-dependent</w:t>
            </w:r>
          </w:p>
        </w:tc>
        <w:tc>
          <w:tcPr>
            <w:tcW w:w="80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P</w:t>
            </w:r>
          </w:p>
        </w:tc>
        <w:tc>
          <w:tcPr>
            <w:tcW w:w="66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np</w:t>
            </w:r>
          </w:p>
        </w:tc>
        <w:tc>
          <w:tcPr>
            <w:tcW w:w="76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np</w:t>
            </w:r>
          </w:p>
        </w:tc>
      </w:tr>
      <w:tr w:rsidR="0034022A" w:rsidRPr="0034022A" w:rsidTr="007236D3">
        <w:trPr>
          <w:trHeight w:val="1200"/>
          <w:jc w:val="center"/>
        </w:trPr>
        <w:tc>
          <w:tcPr>
            <w:tcW w:w="1320" w:type="dxa"/>
            <w:tcBorders>
              <w:top w:val="nil"/>
              <w:left w:val="single" w:sz="4" w:space="0" w:color="auto"/>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i/>
                <w:iCs/>
                <w:color w:val="000000"/>
                <w:lang w:val="de-DE" w:eastAsia="de-DE"/>
              </w:rPr>
            </w:pPr>
            <w:r w:rsidRPr="0034022A">
              <w:rPr>
                <w:rFonts w:ascii="Calibri" w:eastAsia="Times New Roman" w:hAnsi="Calibri" w:cs="Times New Roman"/>
                <w:i/>
                <w:iCs/>
                <w:color w:val="000000"/>
                <w:lang w:val="de-DE" w:eastAsia="de-DE"/>
              </w:rPr>
              <w:t>BGLU45</w:t>
            </w:r>
          </w:p>
        </w:tc>
        <w:tc>
          <w:tcPr>
            <w:tcW w:w="1240" w:type="dxa"/>
            <w:tcBorders>
              <w:top w:val="nil"/>
              <w:left w:val="nil"/>
              <w:bottom w:val="nil"/>
              <w:right w:val="single" w:sz="4" w:space="0" w:color="auto"/>
            </w:tcBorders>
            <w:shd w:val="clear" w:color="auto" w:fill="auto"/>
            <w:noWrap/>
            <w:vAlign w:val="center"/>
            <w:hideMark/>
          </w:tcPr>
          <w:p w:rsidR="0034022A" w:rsidRPr="001F5EB3" w:rsidRDefault="0034022A" w:rsidP="0034022A">
            <w:pPr>
              <w:spacing w:after="0" w:line="240" w:lineRule="auto"/>
              <w:jc w:val="center"/>
              <w:rPr>
                <w:rFonts w:ascii="Calibri" w:eastAsia="Times New Roman" w:hAnsi="Calibri" w:cs="Times New Roman"/>
                <w:i/>
                <w:color w:val="000000"/>
                <w:lang w:val="de-DE" w:eastAsia="de-DE"/>
              </w:rPr>
            </w:pPr>
            <w:r w:rsidRPr="001F5EB3">
              <w:rPr>
                <w:rFonts w:ascii="Calibri" w:eastAsia="Times New Roman" w:hAnsi="Calibri" w:cs="Times New Roman"/>
                <w:i/>
                <w:color w:val="000000"/>
                <w:lang w:val="de-DE" w:eastAsia="de-DE"/>
              </w:rPr>
              <w:t>At1g61810</w:t>
            </w:r>
          </w:p>
        </w:tc>
        <w:tc>
          <w:tcPr>
            <w:tcW w:w="22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beta-glucosidase;</w:t>
            </w:r>
            <w:r w:rsidR="005F3B6E">
              <w:rPr>
                <w:rFonts w:ascii="Calibri" w:eastAsia="Times New Roman" w:hAnsi="Calibri" w:cs="Times New Roman"/>
                <w:color w:val="000000"/>
                <w:lang w:val="de-DE" w:eastAsia="de-DE"/>
              </w:rPr>
              <w:t xml:space="preserve"> </w:t>
            </w:r>
            <w:r w:rsidRPr="0034022A">
              <w:rPr>
                <w:rFonts w:ascii="Calibri" w:eastAsia="Times New Roman" w:hAnsi="Calibri" w:cs="Times New Roman"/>
                <w:color w:val="000000"/>
                <w:lang w:val="de-DE" w:eastAsia="de-DE"/>
              </w:rPr>
              <w:t xml:space="preserve"> lignin biosynthesis</w:t>
            </w:r>
          </w:p>
        </w:tc>
        <w:tc>
          <w:tcPr>
            <w:tcW w:w="17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secondary metabolism</w:t>
            </w:r>
          </w:p>
        </w:tc>
        <w:tc>
          <w:tcPr>
            <w:tcW w:w="15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i/>
                <w:iCs/>
                <w:color w:val="000000"/>
                <w:lang w:val="de-DE" w:eastAsia="de-DE"/>
              </w:rPr>
              <w:t>Psm</w:t>
            </w:r>
            <w:r w:rsidRPr="0034022A">
              <w:rPr>
                <w:rFonts w:ascii="Calibri" w:eastAsia="Times New Roman" w:hAnsi="Calibri" w:cs="Times New Roman"/>
                <w:color w:val="000000"/>
                <w:lang w:val="de-DE" w:eastAsia="de-DE"/>
              </w:rPr>
              <w:t xml:space="preserve"> local</w:t>
            </w:r>
          </w:p>
        </w:tc>
        <w:tc>
          <w:tcPr>
            <w:tcW w:w="20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SA-independent</w:t>
            </w:r>
          </w:p>
        </w:tc>
        <w:tc>
          <w:tcPr>
            <w:tcW w:w="80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P</w:t>
            </w:r>
          </w:p>
        </w:tc>
        <w:tc>
          <w:tcPr>
            <w:tcW w:w="66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np</w:t>
            </w:r>
          </w:p>
        </w:tc>
        <w:tc>
          <w:tcPr>
            <w:tcW w:w="76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np</w:t>
            </w:r>
          </w:p>
        </w:tc>
      </w:tr>
      <w:tr w:rsidR="0034022A" w:rsidRPr="0034022A" w:rsidTr="007236D3">
        <w:trPr>
          <w:trHeight w:val="1200"/>
          <w:jc w:val="center"/>
        </w:trPr>
        <w:tc>
          <w:tcPr>
            <w:tcW w:w="1320" w:type="dxa"/>
            <w:tcBorders>
              <w:top w:val="nil"/>
              <w:left w:val="single" w:sz="4" w:space="0" w:color="auto"/>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i/>
                <w:iCs/>
                <w:color w:val="000000"/>
                <w:lang w:val="de-DE" w:eastAsia="de-DE"/>
              </w:rPr>
            </w:pPr>
            <w:r w:rsidRPr="0034022A">
              <w:rPr>
                <w:rFonts w:ascii="Calibri" w:eastAsia="Times New Roman" w:hAnsi="Calibri" w:cs="Times New Roman"/>
                <w:i/>
                <w:iCs/>
                <w:color w:val="000000"/>
                <w:lang w:val="de-DE" w:eastAsia="de-DE"/>
              </w:rPr>
              <w:t>BSMT1</w:t>
            </w:r>
          </w:p>
        </w:tc>
        <w:tc>
          <w:tcPr>
            <w:tcW w:w="1240" w:type="dxa"/>
            <w:tcBorders>
              <w:top w:val="nil"/>
              <w:left w:val="nil"/>
              <w:bottom w:val="nil"/>
              <w:right w:val="single" w:sz="4" w:space="0" w:color="auto"/>
            </w:tcBorders>
            <w:shd w:val="clear" w:color="auto" w:fill="auto"/>
            <w:noWrap/>
            <w:vAlign w:val="center"/>
            <w:hideMark/>
          </w:tcPr>
          <w:p w:rsidR="0034022A" w:rsidRPr="001F5EB3" w:rsidRDefault="0034022A" w:rsidP="0034022A">
            <w:pPr>
              <w:spacing w:after="0" w:line="240" w:lineRule="auto"/>
              <w:jc w:val="center"/>
              <w:rPr>
                <w:rFonts w:ascii="Calibri" w:eastAsia="Times New Roman" w:hAnsi="Calibri" w:cs="Times New Roman"/>
                <w:i/>
                <w:color w:val="000000"/>
                <w:lang w:val="de-DE" w:eastAsia="de-DE"/>
              </w:rPr>
            </w:pPr>
            <w:r w:rsidRPr="001F5EB3">
              <w:rPr>
                <w:rFonts w:ascii="Calibri" w:eastAsia="Times New Roman" w:hAnsi="Calibri" w:cs="Times New Roman"/>
                <w:i/>
                <w:color w:val="000000"/>
                <w:lang w:val="de-DE" w:eastAsia="de-DE"/>
              </w:rPr>
              <w:t>At3g11480</w:t>
            </w:r>
          </w:p>
        </w:tc>
        <w:tc>
          <w:tcPr>
            <w:tcW w:w="22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en-US" w:eastAsia="de-DE"/>
              </w:rPr>
            </w:pPr>
            <w:r w:rsidRPr="0034022A">
              <w:rPr>
                <w:rFonts w:ascii="Calibri" w:eastAsia="Times New Roman" w:hAnsi="Calibri" w:cs="Times New Roman"/>
                <w:color w:val="000000"/>
                <w:lang w:val="en-US" w:eastAsia="de-DE"/>
              </w:rPr>
              <w:t>benzoic acid/       Salicylic acid-methyltransferase</w:t>
            </w:r>
          </w:p>
        </w:tc>
        <w:tc>
          <w:tcPr>
            <w:tcW w:w="17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secondary metabolism</w:t>
            </w:r>
          </w:p>
        </w:tc>
        <w:tc>
          <w:tcPr>
            <w:tcW w:w="15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 xml:space="preserve">ex. Pip;             </w:t>
            </w:r>
            <w:r w:rsidRPr="0034022A">
              <w:rPr>
                <w:rFonts w:ascii="Calibri" w:eastAsia="Times New Roman" w:hAnsi="Calibri" w:cs="Times New Roman"/>
                <w:i/>
                <w:iCs/>
                <w:color w:val="000000"/>
                <w:lang w:val="de-DE" w:eastAsia="de-DE"/>
              </w:rPr>
              <w:t>Psm</w:t>
            </w:r>
            <w:r w:rsidRPr="0034022A">
              <w:rPr>
                <w:rFonts w:ascii="Calibri" w:eastAsia="Times New Roman" w:hAnsi="Calibri" w:cs="Times New Roman"/>
                <w:color w:val="000000"/>
                <w:lang w:val="de-DE" w:eastAsia="de-DE"/>
              </w:rPr>
              <w:t xml:space="preserve"> local</w:t>
            </w:r>
          </w:p>
        </w:tc>
        <w:tc>
          <w:tcPr>
            <w:tcW w:w="20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SA-independent</w:t>
            </w:r>
          </w:p>
        </w:tc>
        <w:tc>
          <w:tcPr>
            <w:tcW w:w="80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np</w:t>
            </w:r>
          </w:p>
        </w:tc>
        <w:tc>
          <w:tcPr>
            <w:tcW w:w="66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np</w:t>
            </w:r>
          </w:p>
        </w:tc>
        <w:tc>
          <w:tcPr>
            <w:tcW w:w="76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np</w:t>
            </w:r>
          </w:p>
        </w:tc>
      </w:tr>
      <w:tr w:rsidR="0034022A" w:rsidRPr="0034022A" w:rsidTr="007236D3">
        <w:trPr>
          <w:trHeight w:val="1200"/>
          <w:jc w:val="center"/>
        </w:trPr>
        <w:tc>
          <w:tcPr>
            <w:tcW w:w="1320" w:type="dxa"/>
            <w:tcBorders>
              <w:top w:val="nil"/>
              <w:left w:val="single" w:sz="4" w:space="0" w:color="auto"/>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i/>
                <w:iCs/>
                <w:color w:val="000000"/>
                <w:lang w:val="de-DE" w:eastAsia="de-DE"/>
              </w:rPr>
            </w:pPr>
            <w:r w:rsidRPr="0034022A">
              <w:rPr>
                <w:rFonts w:ascii="Calibri" w:eastAsia="Times New Roman" w:hAnsi="Calibri" w:cs="Times New Roman"/>
                <w:i/>
                <w:iCs/>
                <w:color w:val="000000"/>
                <w:lang w:val="de-DE" w:eastAsia="de-DE"/>
              </w:rPr>
              <w:t>C2D1</w:t>
            </w:r>
          </w:p>
        </w:tc>
        <w:tc>
          <w:tcPr>
            <w:tcW w:w="1240" w:type="dxa"/>
            <w:tcBorders>
              <w:top w:val="nil"/>
              <w:left w:val="nil"/>
              <w:bottom w:val="nil"/>
              <w:right w:val="single" w:sz="4" w:space="0" w:color="auto"/>
            </w:tcBorders>
            <w:shd w:val="clear" w:color="auto" w:fill="auto"/>
            <w:noWrap/>
            <w:vAlign w:val="center"/>
            <w:hideMark/>
          </w:tcPr>
          <w:p w:rsidR="0034022A" w:rsidRPr="001F5EB3" w:rsidRDefault="0034022A" w:rsidP="0034022A">
            <w:pPr>
              <w:spacing w:after="0" w:line="240" w:lineRule="auto"/>
              <w:jc w:val="center"/>
              <w:rPr>
                <w:rFonts w:ascii="Calibri" w:eastAsia="Times New Roman" w:hAnsi="Calibri" w:cs="Times New Roman"/>
                <w:i/>
                <w:color w:val="000000"/>
                <w:lang w:val="de-DE" w:eastAsia="de-DE"/>
              </w:rPr>
            </w:pPr>
            <w:r w:rsidRPr="001F5EB3">
              <w:rPr>
                <w:rFonts w:ascii="Calibri" w:eastAsia="Times New Roman" w:hAnsi="Calibri" w:cs="Times New Roman"/>
                <w:i/>
                <w:color w:val="000000"/>
                <w:lang w:val="de-DE" w:eastAsia="de-DE"/>
              </w:rPr>
              <w:t>At4g00700</w:t>
            </w:r>
          </w:p>
        </w:tc>
        <w:tc>
          <w:tcPr>
            <w:tcW w:w="22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en-US" w:eastAsia="de-DE"/>
              </w:rPr>
            </w:pPr>
            <w:r w:rsidRPr="0034022A">
              <w:rPr>
                <w:rFonts w:ascii="Calibri" w:eastAsia="Times New Roman" w:hAnsi="Calibri" w:cs="Times New Roman"/>
                <w:color w:val="000000"/>
                <w:lang w:val="en-US" w:eastAsia="de-DE"/>
              </w:rPr>
              <w:t>Ca</w:t>
            </w:r>
            <w:r w:rsidR="005F3B6E" w:rsidRPr="005F3B6E">
              <w:rPr>
                <w:rFonts w:ascii="Calibri" w:eastAsia="Times New Roman" w:hAnsi="Calibri" w:cs="Times New Roman"/>
                <w:color w:val="000000"/>
                <w:vertAlign w:val="superscript"/>
                <w:lang w:val="en-US" w:eastAsia="de-DE"/>
              </w:rPr>
              <w:t>2+</w:t>
            </w:r>
            <w:r w:rsidR="001F5EB3">
              <w:rPr>
                <w:rFonts w:ascii="Calibri" w:eastAsia="Times New Roman" w:hAnsi="Calibri" w:cs="Times New Roman"/>
                <w:color w:val="000000"/>
                <w:lang w:val="en-US" w:eastAsia="de-DE"/>
              </w:rPr>
              <w:t>/lipid-binding p</w:t>
            </w:r>
            <w:r w:rsidRPr="0034022A">
              <w:rPr>
                <w:rFonts w:ascii="Calibri" w:eastAsia="Times New Roman" w:hAnsi="Calibri" w:cs="Times New Roman"/>
                <w:color w:val="000000"/>
                <w:lang w:val="en-US" w:eastAsia="de-DE"/>
              </w:rPr>
              <w:t>hosphoribosyl-      transferase</w:t>
            </w:r>
          </w:p>
        </w:tc>
        <w:tc>
          <w:tcPr>
            <w:tcW w:w="17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signalling</w:t>
            </w:r>
          </w:p>
        </w:tc>
        <w:tc>
          <w:tcPr>
            <w:tcW w:w="15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en-US" w:eastAsia="de-DE"/>
              </w:rPr>
            </w:pPr>
            <w:r w:rsidRPr="0034022A">
              <w:rPr>
                <w:rFonts w:ascii="Calibri" w:eastAsia="Times New Roman" w:hAnsi="Calibri" w:cs="Times New Roman"/>
                <w:color w:val="000000"/>
                <w:lang w:val="en-US" w:eastAsia="de-DE"/>
              </w:rPr>
              <w:t xml:space="preserve">ex. Pip;              </w:t>
            </w:r>
            <w:r w:rsidRPr="0034022A">
              <w:rPr>
                <w:rFonts w:ascii="Calibri" w:eastAsia="Times New Roman" w:hAnsi="Calibri" w:cs="Times New Roman"/>
                <w:i/>
                <w:iCs/>
                <w:color w:val="000000"/>
                <w:lang w:val="en-US" w:eastAsia="de-DE"/>
              </w:rPr>
              <w:t xml:space="preserve"> Psm</w:t>
            </w:r>
            <w:r w:rsidRPr="0034022A">
              <w:rPr>
                <w:rFonts w:ascii="Calibri" w:eastAsia="Times New Roman" w:hAnsi="Calibri" w:cs="Times New Roman"/>
                <w:color w:val="000000"/>
                <w:lang w:val="en-US" w:eastAsia="de-DE"/>
              </w:rPr>
              <w:t xml:space="preserve"> local; SAR</w:t>
            </w:r>
          </w:p>
        </w:tc>
        <w:tc>
          <w:tcPr>
            <w:tcW w:w="2060" w:type="dxa"/>
            <w:tcBorders>
              <w:top w:val="nil"/>
              <w:left w:val="nil"/>
              <w:bottom w:val="nil"/>
              <w:right w:val="single" w:sz="4" w:space="0" w:color="auto"/>
            </w:tcBorders>
            <w:shd w:val="clear" w:color="auto" w:fill="auto"/>
            <w:vAlign w:val="center"/>
            <w:hideMark/>
          </w:tcPr>
          <w:p w:rsidR="0034022A" w:rsidRPr="0034022A" w:rsidRDefault="00F875EB" w:rsidP="0034022A">
            <w:pPr>
              <w:spacing w:after="0" w:line="240" w:lineRule="auto"/>
              <w:jc w:val="center"/>
              <w:rPr>
                <w:rFonts w:ascii="Calibri" w:eastAsia="Times New Roman" w:hAnsi="Calibri" w:cs="Times New Roman"/>
                <w:color w:val="000000"/>
                <w:lang w:val="de-DE" w:eastAsia="de-DE"/>
              </w:rPr>
            </w:pPr>
            <w:r>
              <w:rPr>
                <w:rFonts w:ascii="Calibri" w:eastAsia="Times New Roman" w:hAnsi="Calibri" w:cs="Times New Roman"/>
                <w:color w:val="000000"/>
                <w:lang w:val="de-DE" w:eastAsia="de-DE"/>
              </w:rPr>
              <w:t>partially</w:t>
            </w:r>
            <w:r w:rsidR="0034022A" w:rsidRPr="0034022A">
              <w:rPr>
                <w:rFonts w:ascii="Calibri" w:eastAsia="Times New Roman" w:hAnsi="Calibri" w:cs="Times New Roman"/>
                <w:color w:val="000000"/>
                <w:lang w:val="de-DE" w:eastAsia="de-DE"/>
              </w:rPr>
              <w:t xml:space="preserve">                                    SA-dependent</w:t>
            </w:r>
          </w:p>
        </w:tc>
        <w:tc>
          <w:tcPr>
            <w:tcW w:w="80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np</w:t>
            </w:r>
          </w:p>
        </w:tc>
        <w:tc>
          <w:tcPr>
            <w:tcW w:w="66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np</w:t>
            </w:r>
          </w:p>
        </w:tc>
        <w:tc>
          <w:tcPr>
            <w:tcW w:w="76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np</w:t>
            </w:r>
          </w:p>
        </w:tc>
      </w:tr>
      <w:tr w:rsidR="0034022A" w:rsidRPr="0034022A" w:rsidTr="007236D3">
        <w:trPr>
          <w:trHeight w:val="1200"/>
          <w:jc w:val="center"/>
        </w:trPr>
        <w:tc>
          <w:tcPr>
            <w:tcW w:w="1320" w:type="dxa"/>
            <w:tcBorders>
              <w:top w:val="nil"/>
              <w:left w:val="single" w:sz="4" w:space="0" w:color="auto"/>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i/>
                <w:iCs/>
                <w:color w:val="000000"/>
                <w:lang w:val="de-DE" w:eastAsia="de-DE"/>
              </w:rPr>
            </w:pPr>
            <w:r w:rsidRPr="0034022A">
              <w:rPr>
                <w:rFonts w:ascii="Calibri" w:eastAsia="Times New Roman" w:hAnsi="Calibri" w:cs="Times New Roman"/>
                <w:i/>
                <w:iCs/>
                <w:color w:val="000000"/>
                <w:lang w:val="de-DE" w:eastAsia="de-DE"/>
              </w:rPr>
              <w:t>CHI1</w:t>
            </w:r>
          </w:p>
        </w:tc>
        <w:tc>
          <w:tcPr>
            <w:tcW w:w="1240" w:type="dxa"/>
            <w:tcBorders>
              <w:top w:val="nil"/>
              <w:left w:val="nil"/>
              <w:bottom w:val="nil"/>
              <w:right w:val="single" w:sz="4" w:space="0" w:color="auto"/>
            </w:tcBorders>
            <w:shd w:val="clear" w:color="auto" w:fill="auto"/>
            <w:noWrap/>
            <w:vAlign w:val="center"/>
            <w:hideMark/>
          </w:tcPr>
          <w:p w:rsidR="0034022A" w:rsidRPr="001F5EB3" w:rsidRDefault="0034022A" w:rsidP="0034022A">
            <w:pPr>
              <w:spacing w:after="0" w:line="240" w:lineRule="auto"/>
              <w:jc w:val="center"/>
              <w:rPr>
                <w:rFonts w:ascii="Calibri" w:eastAsia="Times New Roman" w:hAnsi="Calibri" w:cs="Times New Roman"/>
                <w:i/>
                <w:color w:val="000000"/>
                <w:lang w:val="de-DE" w:eastAsia="de-DE"/>
              </w:rPr>
            </w:pPr>
            <w:r w:rsidRPr="001F5EB3">
              <w:rPr>
                <w:rFonts w:ascii="Calibri" w:eastAsia="Times New Roman" w:hAnsi="Calibri" w:cs="Times New Roman"/>
                <w:i/>
                <w:color w:val="000000"/>
                <w:lang w:val="de-DE" w:eastAsia="de-DE"/>
              </w:rPr>
              <w:t>At2g43570</w:t>
            </w:r>
          </w:p>
        </w:tc>
        <w:tc>
          <w:tcPr>
            <w:tcW w:w="22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chitinase</w:t>
            </w:r>
          </w:p>
        </w:tc>
        <w:tc>
          <w:tcPr>
            <w:tcW w:w="17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defence</w:t>
            </w:r>
          </w:p>
        </w:tc>
        <w:tc>
          <w:tcPr>
            <w:tcW w:w="15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en-US" w:eastAsia="de-DE"/>
              </w:rPr>
            </w:pPr>
            <w:r w:rsidRPr="0034022A">
              <w:rPr>
                <w:rFonts w:ascii="Calibri" w:eastAsia="Times New Roman" w:hAnsi="Calibri" w:cs="Times New Roman"/>
                <w:color w:val="000000"/>
                <w:lang w:val="en-US" w:eastAsia="de-DE"/>
              </w:rPr>
              <w:t xml:space="preserve">ex. Pip;              </w:t>
            </w:r>
            <w:r w:rsidRPr="0034022A">
              <w:rPr>
                <w:rFonts w:ascii="Calibri" w:eastAsia="Times New Roman" w:hAnsi="Calibri" w:cs="Times New Roman"/>
                <w:i/>
                <w:iCs/>
                <w:color w:val="000000"/>
                <w:lang w:val="en-US" w:eastAsia="de-DE"/>
              </w:rPr>
              <w:t>Psm</w:t>
            </w:r>
            <w:r w:rsidRPr="0034022A">
              <w:rPr>
                <w:rFonts w:ascii="Calibri" w:eastAsia="Times New Roman" w:hAnsi="Calibri" w:cs="Times New Roman"/>
                <w:color w:val="000000"/>
                <w:lang w:val="en-US" w:eastAsia="de-DE"/>
              </w:rPr>
              <w:t xml:space="preserve"> local; SAR</w:t>
            </w:r>
          </w:p>
        </w:tc>
        <w:tc>
          <w:tcPr>
            <w:tcW w:w="20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SA-independent</w:t>
            </w:r>
          </w:p>
        </w:tc>
        <w:tc>
          <w:tcPr>
            <w:tcW w:w="80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P</w:t>
            </w:r>
          </w:p>
        </w:tc>
        <w:tc>
          <w:tcPr>
            <w:tcW w:w="66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np</w:t>
            </w:r>
          </w:p>
        </w:tc>
        <w:tc>
          <w:tcPr>
            <w:tcW w:w="76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np</w:t>
            </w:r>
          </w:p>
        </w:tc>
      </w:tr>
      <w:tr w:rsidR="0034022A" w:rsidRPr="0034022A" w:rsidTr="007236D3">
        <w:trPr>
          <w:trHeight w:val="1200"/>
          <w:jc w:val="center"/>
        </w:trPr>
        <w:tc>
          <w:tcPr>
            <w:tcW w:w="1320" w:type="dxa"/>
            <w:tcBorders>
              <w:top w:val="nil"/>
              <w:left w:val="single" w:sz="4" w:space="0" w:color="auto"/>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i/>
                <w:iCs/>
                <w:color w:val="000000"/>
                <w:lang w:val="de-DE" w:eastAsia="de-DE"/>
              </w:rPr>
            </w:pPr>
            <w:r w:rsidRPr="0034022A">
              <w:rPr>
                <w:rFonts w:ascii="Calibri" w:eastAsia="Times New Roman" w:hAnsi="Calibri" w:cs="Times New Roman"/>
                <w:i/>
                <w:iCs/>
                <w:color w:val="000000"/>
                <w:lang w:val="de-DE" w:eastAsia="de-DE"/>
              </w:rPr>
              <w:lastRenderedPageBreak/>
              <w:t>COBL4</w:t>
            </w:r>
          </w:p>
        </w:tc>
        <w:tc>
          <w:tcPr>
            <w:tcW w:w="1240" w:type="dxa"/>
            <w:tcBorders>
              <w:top w:val="nil"/>
              <w:left w:val="nil"/>
              <w:bottom w:val="nil"/>
              <w:right w:val="single" w:sz="4" w:space="0" w:color="auto"/>
            </w:tcBorders>
            <w:shd w:val="clear" w:color="auto" w:fill="auto"/>
            <w:noWrap/>
            <w:vAlign w:val="center"/>
            <w:hideMark/>
          </w:tcPr>
          <w:p w:rsidR="0034022A" w:rsidRPr="001F5EB3" w:rsidRDefault="0034022A" w:rsidP="0034022A">
            <w:pPr>
              <w:spacing w:after="0" w:line="240" w:lineRule="auto"/>
              <w:jc w:val="center"/>
              <w:rPr>
                <w:rFonts w:ascii="Calibri" w:eastAsia="Times New Roman" w:hAnsi="Calibri" w:cs="Times New Roman"/>
                <w:i/>
                <w:color w:val="000000"/>
                <w:lang w:val="de-DE" w:eastAsia="de-DE"/>
              </w:rPr>
            </w:pPr>
            <w:r w:rsidRPr="001F5EB3">
              <w:rPr>
                <w:rFonts w:ascii="Calibri" w:eastAsia="Times New Roman" w:hAnsi="Calibri" w:cs="Times New Roman"/>
                <w:i/>
                <w:color w:val="000000"/>
                <w:lang w:val="de-DE" w:eastAsia="de-DE"/>
              </w:rPr>
              <w:t>At5g15630</w:t>
            </w:r>
          </w:p>
        </w:tc>
        <w:tc>
          <w:tcPr>
            <w:tcW w:w="22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secondary cell wall biosynthesis</w:t>
            </w:r>
          </w:p>
        </w:tc>
        <w:tc>
          <w:tcPr>
            <w:tcW w:w="17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cell wall</w:t>
            </w:r>
          </w:p>
        </w:tc>
        <w:tc>
          <w:tcPr>
            <w:tcW w:w="15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w:t>
            </w:r>
          </w:p>
        </w:tc>
        <w:tc>
          <w:tcPr>
            <w:tcW w:w="2060" w:type="dxa"/>
            <w:tcBorders>
              <w:top w:val="nil"/>
              <w:left w:val="nil"/>
              <w:bottom w:val="nil"/>
              <w:right w:val="single" w:sz="4" w:space="0" w:color="auto"/>
            </w:tcBorders>
            <w:shd w:val="clear" w:color="auto" w:fill="auto"/>
            <w:vAlign w:val="center"/>
            <w:hideMark/>
          </w:tcPr>
          <w:p w:rsidR="0034022A" w:rsidRPr="0034022A" w:rsidRDefault="00F875EB" w:rsidP="0034022A">
            <w:pPr>
              <w:spacing w:after="0" w:line="240" w:lineRule="auto"/>
              <w:jc w:val="center"/>
              <w:rPr>
                <w:rFonts w:ascii="Calibri" w:eastAsia="Times New Roman" w:hAnsi="Calibri" w:cs="Times New Roman"/>
                <w:color w:val="000000"/>
                <w:lang w:val="de-DE" w:eastAsia="de-DE"/>
              </w:rPr>
            </w:pPr>
            <w:r>
              <w:rPr>
                <w:rFonts w:ascii="Calibri" w:eastAsia="Times New Roman" w:hAnsi="Calibri" w:cs="Times New Roman"/>
                <w:color w:val="000000"/>
                <w:lang w:val="de-DE" w:eastAsia="de-DE"/>
              </w:rPr>
              <w:t>partially</w:t>
            </w:r>
            <w:r w:rsidR="0034022A" w:rsidRPr="0034022A">
              <w:rPr>
                <w:rFonts w:ascii="Calibri" w:eastAsia="Times New Roman" w:hAnsi="Calibri" w:cs="Times New Roman"/>
                <w:color w:val="000000"/>
                <w:lang w:val="de-DE" w:eastAsia="de-DE"/>
              </w:rPr>
              <w:t xml:space="preserve">                                   SA-dependent</w:t>
            </w:r>
          </w:p>
        </w:tc>
        <w:tc>
          <w:tcPr>
            <w:tcW w:w="80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np</w:t>
            </w:r>
          </w:p>
        </w:tc>
        <w:tc>
          <w:tcPr>
            <w:tcW w:w="66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np</w:t>
            </w:r>
          </w:p>
        </w:tc>
        <w:tc>
          <w:tcPr>
            <w:tcW w:w="76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np</w:t>
            </w:r>
          </w:p>
        </w:tc>
      </w:tr>
      <w:tr w:rsidR="0034022A" w:rsidRPr="0034022A" w:rsidTr="007236D3">
        <w:trPr>
          <w:trHeight w:val="1200"/>
          <w:jc w:val="center"/>
        </w:trPr>
        <w:tc>
          <w:tcPr>
            <w:tcW w:w="1320" w:type="dxa"/>
            <w:tcBorders>
              <w:top w:val="nil"/>
              <w:left w:val="single" w:sz="4" w:space="0" w:color="auto"/>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i/>
                <w:iCs/>
                <w:color w:val="000000"/>
                <w:lang w:val="de-DE" w:eastAsia="de-DE"/>
              </w:rPr>
            </w:pPr>
            <w:r w:rsidRPr="0034022A">
              <w:rPr>
                <w:rFonts w:ascii="Calibri" w:eastAsia="Times New Roman" w:hAnsi="Calibri" w:cs="Times New Roman"/>
                <w:i/>
                <w:iCs/>
                <w:color w:val="000000"/>
                <w:lang w:val="de-DE" w:eastAsia="de-DE"/>
              </w:rPr>
              <w:t>CXE17</w:t>
            </w:r>
          </w:p>
        </w:tc>
        <w:tc>
          <w:tcPr>
            <w:tcW w:w="1240" w:type="dxa"/>
            <w:tcBorders>
              <w:top w:val="nil"/>
              <w:left w:val="nil"/>
              <w:bottom w:val="nil"/>
              <w:right w:val="single" w:sz="4" w:space="0" w:color="auto"/>
            </w:tcBorders>
            <w:shd w:val="clear" w:color="auto" w:fill="auto"/>
            <w:noWrap/>
            <w:vAlign w:val="center"/>
            <w:hideMark/>
          </w:tcPr>
          <w:p w:rsidR="0034022A" w:rsidRPr="001F5EB3" w:rsidRDefault="0034022A" w:rsidP="0034022A">
            <w:pPr>
              <w:spacing w:after="0" w:line="240" w:lineRule="auto"/>
              <w:jc w:val="center"/>
              <w:rPr>
                <w:rFonts w:ascii="Calibri" w:eastAsia="Times New Roman" w:hAnsi="Calibri" w:cs="Times New Roman"/>
                <w:i/>
                <w:color w:val="000000"/>
                <w:lang w:val="de-DE" w:eastAsia="de-DE"/>
              </w:rPr>
            </w:pPr>
            <w:r w:rsidRPr="001F5EB3">
              <w:rPr>
                <w:rFonts w:ascii="Calibri" w:eastAsia="Times New Roman" w:hAnsi="Calibri" w:cs="Times New Roman"/>
                <w:i/>
                <w:color w:val="000000"/>
                <w:lang w:val="de-DE" w:eastAsia="de-DE"/>
              </w:rPr>
              <w:t>At5g16080</w:t>
            </w:r>
          </w:p>
        </w:tc>
        <w:tc>
          <w:tcPr>
            <w:tcW w:w="22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carboxyesterase</w:t>
            </w:r>
          </w:p>
        </w:tc>
        <w:tc>
          <w:tcPr>
            <w:tcW w:w="17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metabolism/        cell wall</w:t>
            </w:r>
          </w:p>
        </w:tc>
        <w:tc>
          <w:tcPr>
            <w:tcW w:w="15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i/>
                <w:iCs/>
                <w:color w:val="000000"/>
                <w:lang w:val="de-DE" w:eastAsia="de-DE"/>
              </w:rPr>
              <w:t>Psm</w:t>
            </w:r>
            <w:r w:rsidRPr="0034022A">
              <w:rPr>
                <w:rFonts w:ascii="Calibri" w:eastAsia="Times New Roman" w:hAnsi="Calibri" w:cs="Times New Roman"/>
                <w:color w:val="000000"/>
                <w:lang w:val="de-DE" w:eastAsia="de-DE"/>
              </w:rPr>
              <w:t xml:space="preserve"> local</w:t>
            </w:r>
          </w:p>
        </w:tc>
        <w:tc>
          <w:tcPr>
            <w:tcW w:w="20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SA-independent</w:t>
            </w:r>
          </w:p>
        </w:tc>
        <w:tc>
          <w:tcPr>
            <w:tcW w:w="80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P</w:t>
            </w:r>
          </w:p>
        </w:tc>
        <w:tc>
          <w:tcPr>
            <w:tcW w:w="66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np</w:t>
            </w:r>
          </w:p>
        </w:tc>
        <w:tc>
          <w:tcPr>
            <w:tcW w:w="76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np</w:t>
            </w:r>
          </w:p>
        </w:tc>
      </w:tr>
      <w:tr w:rsidR="0034022A" w:rsidRPr="0034022A" w:rsidTr="007236D3">
        <w:trPr>
          <w:trHeight w:val="1200"/>
          <w:jc w:val="center"/>
        </w:trPr>
        <w:tc>
          <w:tcPr>
            <w:tcW w:w="1320" w:type="dxa"/>
            <w:tcBorders>
              <w:top w:val="nil"/>
              <w:left w:val="single" w:sz="4" w:space="0" w:color="auto"/>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i/>
                <w:iCs/>
                <w:color w:val="000000"/>
                <w:lang w:val="de-DE" w:eastAsia="de-DE"/>
              </w:rPr>
            </w:pPr>
            <w:r w:rsidRPr="0034022A">
              <w:rPr>
                <w:rFonts w:ascii="Calibri" w:eastAsia="Times New Roman" w:hAnsi="Calibri" w:cs="Times New Roman"/>
                <w:i/>
                <w:iCs/>
                <w:color w:val="000000"/>
                <w:lang w:val="de-DE" w:eastAsia="de-DE"/>
              </w:rPr>
              <w:t>CXE20</w:t>
            </w:r>
          </w:p>
        </w:tc>
        <w:tc>
          <w:tcPr>
            <w:tcW w:w="1240" w:type="dxa"/>
            <w:tcBorders>
              <w:top w:val="nil"/>
              <w:left w:val="nil"/>
              <w:bottom w:val="nil"/>
              <w:right w:val="single" w:sz="4" w:space="0" w:color="auto"/>
            </w:tcBorders>
            <w:shd w:val="clear" w:color="auto" w:fill="auto"/>
            <w:noWrap/>
            <w:vAlign w:val="center"/>
            <w:hideMark/>
          </w:tcPr>
          <w:p w:rsidR="0034022A" w:rsidRPr="001F5EB3" w:rsidRDefault="0034022A" w:rsidP="0034022A">
            <w:pPr>
              <w:spacing w:after="0" w:line="240" w:lineRule="auto"/>
              <w:jc w:val="center"/>
              <w:rPr>
                <w:rFonts w:ascii="Calibri" w:eastAsia="Times New Roman" w:hAnsi="Calibri" w:cs="Times New Roman"/>
                <w:i/>
                <w:color w:val="000000"/>
                <w:lang w:val="de-DE" w:eastAsia="de-DE"/>
              </w:rPr>
            </w:pPr>
            <w:r w:rsidRPr="001F5EB3">
              <w:rPr>
                <w:rFonts w:ascii="Calibri" w:eastAsia="Times New Roman" w:hAnsi="Calibri" w:cs="Times New Roman"/>
                <w:i/>
                <w:color w:val="000000"/>
                <w:lang w:val="de-DE" w:eastAsia="de-DE"/>
              </w:rPr>
              <w:t>At5g62180</w:t>
            </w:r>
          </w:p>
        </w:tc>
        <w:tc>
          <w:tcPr>
            <w:tcW w:w="22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carboxyesterase</w:t>
            </w:r>
          </w:p>
        </w:tc>
        <w:tc>
          <w:tcPr>
            <w:tcW w:w="17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cell wall</w:t>
            </w:r>
          </w:p>
        </w:tc>
        <w:tc>
          <w:tcPr>
            <w:tcW w:w="15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i/>
                <w:iCs/>
                <w:color w:val="000000"/>
                <w:lang w:val="de-DE" w:eastAsia="de-DE"/>
              </w:rPr>
              <w:t>Psm</w:t>
            </w:r>
            <w:r w:rsidRPr="0034022A">
              <w:rPr>
                <w:rFonts w:ascii="Calibri" w:eastAsia="Times New Roman" w:hAnsi="Calibri" w:cs="Times New Roman"/>
                <w:color w:val="000000"/>
                <w:lang w:val="de-DE" w:eastAsia="de-DE"/>
              </w:rPr>
              <w:t xml:space="preserve"> local</w:t>
            </w:r>
          </w:p>
        </w:tc>
        <w:tc>
          <w:tcPr>
            <w:tcW w:w="20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SA-independent</w:t>
            </w:r>
          </w:p>
        </w:tc>
        <w:tc>
          <w:tcPr>
            <w:tcW w:w="80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P</w:t>
            </w:r>
          </w:p>
        </w:tc>
        <w:tc>
          <w:tcPr>
            <w:tcW w:w="66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np</w:t>
            </w:r>
          </w:p>
        </w:tc>
        <w:tc>
          <w:tcPr>
            <w:tcW w:w="76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np</w:t>
            </w:r>
          </w:p>
        </w:tc>
      </w:tr>
      <w:tr w:rsidR="0034022A" w:rsidRPr="0034022A" w:rsidTr="007236D3">
        <w:trPr>
          <w:trHeight w:val="1200"/>
          <w:jc w:val="center"/>
        </w:trPr>
        <w:tc>
          <w:tcPr>
            <w:tcW w:w="1320" w:type="dxa"/>
            <w:tcBorders>
              <w:top w:val="nil"/>
              <w:left w:val="single" w:sz="4" w:space="0" w:color="auto"/>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i/>
                <w:iCs/>
                <w:color w:val="000000"/>
                <w:lang w:val="de-DE" w:eastAsia="de-DE"/>
              </w:rPr>
            </w:pPr>
            <w:r w:rsidRPr="0034022A">
              <w:rPr>
                <w:rFonts w:ascii="Calibri" w:eastAsia="Times New Roman" w:hAnsi="Calibri" w:cs="Times New Roman"/>
                <w:i/>
                <w:iCs/>
                <w:color w:val="000000"/>
                <w:lang w:val="de-DE" w:eastAsia="de-DE"/>
              </w:rPr>
              <w:t>CYP710A1</w:t>
            </w:r>
          </w:p>
        </w:tc>
        <w:tc>
          <w:tcPr>
            <w:tcW w:w="1240" w:type="dxa"/>
            <w:tcBorders>
              <w:top w:val="nil"/>
              <w:left w:val="nil"/>
              <w:bottom w:val="nil"/>
              <w:right w:val="single" w:sz="4" w:space="0" w:color="auto"/>
            </w:tcBorders>
            <w:shd w:val="clear" w:color="auto" w:fill="auto"/>
            <w:noWrap/>
            <w:vAlign w:val="center"/>
            <w:hideMark/>
          </w:tcPr>
          <w:p w:rsidR="0034022A" w:rsidRPr="001F5EB3" w:rsidRDefault="0034022A" w:rsidP="0034022A">
            <w:pPr>
              <w:spacing w:after="0" w:line="240" w:lineRule="auto"/>
              <w:jc w:val="center"/>
              <w:rPr>
                <w:rFonts w:ascii="Calibri" w:eastAsia="Times New Roman" w:hAnsi="Calibri" w:cs="Times New Roman"/>
                <w:i/>
                <w:color w:val="000000"/>
                <w:lang w:val="de-DE" w:eastAsia="de-DE"/>
              </w:rPr>
            </w:pPr>
            <w:r w:rsidRPr="001F5EB3">
              <w:rPr>
                <w:rFonts w:ascii="Calibri" w:eastAsia="Times New Roman" w:hAnsi="Calibri" w:cs="Times New Roman"/>
                <w:i/>
                <w:color w:val="000000"/>
                <w:lang w:val="de-DE" w:eastAsia="de-DE"/>
              </w:rPr>
              <w:t>At2g34500</w:t>
            </w:r>
          </w:p>
        </w:tc>
        <w:tc>
          <w:tcPr>
            <w:tcW w:w="22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en-US" w:eastAsia="de-DE"/>
              </w:rPr>
            </w:pPr>
            <w:r w:rsidRPr="0034022A">
              <w:rPr>
                <w:rFonts w:ascii="Calibri" w:eastAsia="Times New Roman" w:hAnsi="Calibri" w:cs="Times New Roman"/>
                <w:color w:val="000000"/>
                <w:lang w:val="en-US" w:eastAsia="de-DE"/>
              </w:rPr>
              <w:t>cytochrome P450;     C22-sterol desaturase activity</w:t>
            </w:r>
          </w:p>
        </w:tc>
        <w:tc>
          <w:tcPr>
            <w:tcW w:w="17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defence metabolism</w:t>
            </w:r>
          </w:p>
        </w:tc>
        <w:tc>
          <w:tcPr>
            <w:tcW w:w="15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i/>
                <w:iCs/>
                <w:color w:val="000000"/>
                <w:lang w:val="de-DE" w:eastAsia="de-DE"/>
              </w:rPr>
              <w:t>Psm</w:t>
            </w:r>
            <w:r w:rsidRPr="0034022A">
              <w:rPr>
                <w:rFonts w:ascii="Calibri" w:eastAsia="Times New Roman" w:hAnsi="Calibri" w:cs="Times New Roman"/>
                <w:color w:val="000000"/>
                <w:lang w:val="de-DE" w:eastAsia="de-DE"/>
              </w:rPr>
              <w:t xml:space="preserve"> local</w:t>
            </w:r>
          </w:p>
        </w:tc>
        <w:tc>
          <w:tcPr>
            <w:tcW w:w="20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SA-independent</w:t>
            </w:r>
          </w:p>
        </w:tc>
        <w:tc>
          <w:tcPr>
            <w:tcW w:w="80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P</w:t>
            </w:r>
          </w:p>
        </w:tc>
        <w:tc>
          <w:tcPr>
            <w:tcW w:w="66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np</w:t>
            </w:r>
          </w:p>
        </w:tc>
        <w:tc>
          <w:tcPr>
            <w:tcW w:w="76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np</w:t>
            </w:r>
          </w:p>
        </w:tc>
      </w:tr>
      <w:tr w:rsidR="0034022A" w:rsidRPr="0034022A" w:rsidTr="007236D3">
        <w:trPr>
          <w:trHeight w:val="1200"/>
          <w:jc w:val="center"/>
        </w:trPr>
        <w:tc>
          <w:tcPr>
            <w:tcW w:w="1320" w:type="dxa"/>
            <w:tcBorders>
              <w:top w:val="nil"/>
              <w:left w:val="single" w:sz="4" w:space="0" w:color="auto"/>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i/>
                <w:iCs/>
                <w:color w:val="000000"/>
                <w:lang w:val="de-DE" w:eastAsia="de-DE"/>
              </w:rPr>
            </w:pPr>
            <w:r w:rsidRPr="0034022A">
              <w:rPr>
                <w:rFonts w:ascii="Calibri" w:eastAsia="Times New Roman" w:hAnsi="Calibri" w:cs="Times New Roman"/>
                <w:i/>
                <w:iCs/>
                <w:color w:val="000000"/>
                <w:lang w:val="de-DE" w:eastAsia="de-DE"/>
              </w:rPr>
              <w:t>CYP71A13</w:t>
            </w:r>
          </w:p>
        </w:tc>
        <w:tc>
          <w:tcPr>
            <w:tcW w:w="1240" w:type="dxa"/>
            <w:tcBorders>
              <w:top w:val="nil"/>
              <w:left w:val="nil"/>
              <w:bottom w:val="nil"/>
              <w:right w:val="single" w:sz="4" w:space="0" w:color="auto"/>
            </w:tcBorders>
            <w:shd w:val="clear" w:color="auto" w:fill="auto"/>
            <w:noWrap/>
            <w:vAlign w:val="center"/>
            <w:hideMark/>
          </w:tcPr>
          <w:p w:rsidR="0034022A" w:rsidRPr="001F5EB3" w:rsidRDefault="0034022A" w:rsidP="0034022A">
            <w:pPr>
              <w:spacing w:after="0" w:line="240" w:lineRule="auto"/>
              <w:jc w:val="center"/>
              <w:rPr>
                <w:rFonts w:ascii="Calibri" w:eastAsia="Times New Roman" w:hAnsi="Calibri" w:cs="Times New Roman"/>
                <w:i/>
                <w:color w:val="000000"/>
                <w:lang w:val="de-DE" w:eastAsia="de-DE"/>
              </w:rPr>
            </w:pPr>
            <w:r w:rsidRPr="001F5EB3">
              <w:rPr>
                <w:rFonts w:ascii="Calibri" w:eastAsia="Times New Roman" w:hAnsi="Calibri" w:cs="Times New Roman"/>
                <w:i/>
                <w:color w:val="000000"/>
                <w:lang w:val="de-DE" w:eastAsia="de-DE"/>
              </w:rPr>
              <w:t>At2g30770</w:t>
            </w:r>
          </w:p>
        </w:tc>
        <w:tc>
          <w:tcPr>
            <w:tcW w:w="22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cytochrome P450; camalexin biosynthesis</w:t>
            </w:r>
          </w:p>
        </w:tc>
        <w:tc>
          <w:tcPr>
            <w:tcW w:w="17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defence metabolism</w:t>
            </w:r>
          </w:p>
        </w:tc>
        <w:tc>
          <w:tcPr>
            <w:tcW w:w="15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i/>
                <w:iCs/>
                <w:color w:val="000000"/>
                <w:lang w:val="de-DE" w:eastAsia="de-DE"/>
              </w:rPr>
              <w:t>Psm</w:t>
            </w:r>
            <w:r w:rsidRPr="0034022A">
              <w:rPr>
                <w:rFonts w:ascii="Calibri" w:eastAsia="Times New Roman" w:hAnsi="Calibri" w:cs="Times New Roman"/>
                <w:color w:val="000000"/>
                <w:lang w:val="de-DE" w:eastAsia="de-DE"/>
              </w:rPr>
              <w:t xml:space="preserve"> local; weak SAR</w:t>
            </w:r>
          </w:p>
        </w:tc>
        <w:tc>
          <w:tcPr>
            <w:tcW w:w="20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SA-independent</w:t>
            </w:r>
          </w:p>
        </w:tc>
        <w:tc>
          <w:tcPr>
            <w:tcW w:w="80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P</w:t>
            </w:r>
          </w:p>
        </w:tc>
        <w:tc>
          <w:tcPr>
            <w:tcW w:w="66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np</w:t>
            </w:r>
          </w:p>
        </w:tc>
        <w:tc>
          <w:tcPr>
            <w:tcW w:w="76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np</w:t>
            </w:r>
          </w:p>
        </w:tc>
      </w:tr>
      <w:tr w:rsidR="0034022A" w:rsidRPr="0034022A" w:rsidTr="007236D3">
        <w:trPr>
          <w:trHeight w:val="1200"/>
          <w:jc w:val="center"/>
        </w:trPr>
        <w:tc>
          <w:tcPr>
            <w:tcW w:w="1320" w:type="dxa"/>
            <w:tcBorders>
              <w:top w:val="nil"/>
              <w:left w:val="single" w:sz="4" w:space="0" w:color="auto"/>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i/>
                <w:iCs/>
                <w:color w:val="000000"/>
                <w:lang w:val="de-DE" w:eastAsia="de-DE"/>
              </w:rPr>
            </w:pPr>
            <w:r w:rsidRPr="0034022A">
              <w:rPr>
                <w:rFonts w:ascii="Calibri" w:eastAsia="Times New Roman" w:hAnsi="Calibri" w:cs="Times New Roman"/>
                <w:i/>
                <w:iCs/>
                <w:color w:val="000000"/>
                <w:lang w:val="de-DE" w:eastAsia="de-DE"/>
              </w:rPr>
              <w:t>CYP81G1</w:t>
            </w:r>
          </w:p>
        </w:tc>
        <w:tc>
          <w:tcPr>
            <w:tcW w:w="1240" w:type="dxa"/>
            <w:tcBorders>
              <w:top w:val="nil"/>
              <w:left w:val="nil"/>
              <w:bottom w:val="nil"/>
              <w:right w:val="single" w:sz="4" w:space="0" w:color="auto"/>
            </w:tcBorders>
            <w:shd w:val="clear" w:color="auto" w:fill="auto"/>
            <w:noWrap/>
            <w:vAlign w:val="center"/>
            <w:hideMark/>
          </w:tcPr>
          <w:p w:rsidR="0034022A" w:rsidRPr="001F5EB3" w:rsidRDefault="0034022A" w:rsidP="0034022A">
            <w:pPr>
              <w:spacing w:after="0" w:line="240" w:lineRule="auto"/>
              <w:jc w:val="center"/>
              <w:rPr>
                <w:rFonts w:ascii="Calibri" w:eastAsia="Times New Roman" w:hAnsi="Calibri" w:cs="Times New Roman"/>
                <w:i/>
                <w:color w:val="000000"/>
                <w:lang w:val="de-DE" w:eastAsia="de-DE"/>
              </w:rPr>
            </w:pPr>
            <w:r w:rsidRPr="001F5EB3">
              <w:rPr>
                <w:rFonts w:ascii="Calibri" w:eastAsia="Times New Roman" w:hAnsi="Calibri" w:cs="Times New Roman"/>
                <w:i/>
                <w:color w:val="000000"/>
                <w:lang w:val="de-DE" w:eastAsia="de-DE"/>
              </w:rPr>
              <w:t>At5g67310</w:t>
            </w:r>
          </w:p>
        </w:tc>
        <w:tc>
          <w:tcPr>
            <w:tcW w:w="22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cytochrome P450</w:t>
            </w:r>
          </w:p>
        </w:tc>
        <w:tc>
          <w:tcPr>
            <w:tcW w:w="17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detoxification</w:t>
            </w:r>
          </w:p>
        </w:tc>
        <w:tc>
          <w:tcPr>
            <w:tcW w:w="15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i/>
                <w:iCs/>
                <w:color w:val="000000"/>
                <w:lang w:val="de-DE" w:eastAsia="de-DE"/>
              </w:rPr>
              <w:t>Psm</w:t>
            </w:r>
            <w:r w:rsidRPr="0034022A">
              <w:rPr>
                <w:rFonts w:ascii="Calibri" w:eastAsia="Times New Roman" w:hAnsi="Calibri" w:cs="Times New Roman"/>
                <w:color w:val="000000"/>
                <w:lang w:val="de-DE" w:eastAsia="de-DE"/>
              </w:rPr>
              <w:t xml:space="preserve"> local</w:t>
            </w:r>
          </w:p>
        </w:tc>
        <w:tc>
          <w:tcPr>
            <w:tcW w:w="20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SA-independent</w:t>
            </w:r>
          </w:p>
        </w:tc>
        <w:tc>
          <w:tcPr>
            <w:tcW w:w="80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P</w:t>
            </w:r>
          </w:p>
        </w:tc>
        <w:tc>
          <w:tcPr>
            <w:tcW w:w="66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np</w:t>
            </w:r>
          </w:p>
        </w:tc>
        <w:tc>
          <w:tcPr>
            <w:tcW w:w="76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np</w:t>
            </w:r>
          </w:p>
        </w:tc>
      </w:tr>
      <w:tr w:rsidR="0034022A" w:rsidRPr="0034022A" w:rsidTr="007236D3">
        <w:trPr>
          <w:trHeight w:val="1200"/>
          <w:jc w:val="center"/>
        </w:trPr>
        <w:tc>
          <w:tcPr>
            <w:tcW w:w="1320" w:type="dxa"/>
            <w:tcBorders>
              <w:top w:val="nil"/>
              <w:left w:val="single" w:sz="4" w:space="0" w:color="auto"/>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i/>
                <w:iCs/>
                <w:color w:val="000000"/>
                <w:lang w:val="de-DE" w:eastAsia="de-DE"/>
              </w:rPr>
            </w:pPr>
            <w:r w:rsidRPr="0034022A">
              <w:rPr>
                <w:rFonts w:ascii="Calibri" w:eastAsia="Times New Roman" w:hAnsi="Calibri" w:cs="Times New Roman"/>
                <w:i/>
                <w:iCs/>
                <w:color w:val="000000"/>
                <w:lang w:val="de-DE" w:eastAsia="de-DE"/>
              </w:rPr>
              <w:t>FMO1</w:t>
            </w:r>
          </w:p>
        </w:tc>
        <w:tc>
          <w:tcPr>
            <w:tcW w:w="1240" w:type="dxa"/>
            <w:tcBorders>
              <w:top w:val="nil"/>
              <w:left w:val="nil"/>
              <w:bottom w:val="nil"/>
              <w:right w:val="single" w:sz="4" w:space="0" w:color="auto"/>
            </w:tcBorders>
            <w:shd w:val="clear" w:color="auto" w:fill="auto"/>
            <w:noWrap/>
            <w:vAlign w:val="center"/>
            <w:hideMark/>
          </w:tcPr>
          <w:p w:rsidR="0034022A" w:rsidRPr="001F5EB3" w:rsidRDefault="0034022A" w:rsidP="0034022A">
            <w:pPr>
              <w:spacing w:after="0" w:line="240" w:lineRule="auto"/>
              <w:jc w:val="center"/>
              <w:rPr>
                <w:rFonts w:ascii="Calibri" w:eastAsia="Times New Roman" w:hAnsi="Calibri" w:cs="Times New Roman"/>
                <w:i/>
                <w:color w:val="000000"/>
                <w:lang w:val="de-DE" w:eastAsia="de-DE"/>
              </w:rPr>
            </w:pPr>
            <w:r w:rsidRPr="001F5EB3">
              <w:rPr>
                <w:rFonts w:ascii="Calibri" w:eastAsia="Times New Roman" w:hAnsi="Calibri" w:cs="Times New Roman"/>
                <w:i/>
                <w:color w:val="000000"/>
                <w:lang w:val="de-DE" w:eastAsia="de-DE"/>
              </w:rPr>
              <w:t>At1g19250</w:t>
            </w:r>
          </w:p>
        </w:tc>
        <w:tc>
          <w:tcPr>
            <w:tcW w:w="22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en-US" w:eastAsia="de-DE"/>
              </w:rPr>
            </w:pPr>
            <w:r w:rsidRPr="0034022A">
              <w:rPr>
                <w:rFonts w:ascii="Calibri" w:eastAsia="Times New Roman" w:hAnsi="Calibri" w:cs="Times New Roman"/>
                <w:color w:val="000000"/>
                <w:lang w:val="en-US" w:eastAsia="de-DE"/>
              </w:rPr>
              <w:t xml:space="preserve">flavin-dependent monooxygenase;    </w:t>
            </w:r>
            <w:r w:rsidR="005F3B6E">
              <w:rPr>
                <w:rFonts w:ascii="Calibri" w:eastAsia="Times New Roman" w:hAnsi="Calibri" w:cs="Times New Roman"/>
                <w:color w:val="000000"/>
                <w:lang w:val="en-US" w:eastAsia="de-DE"/>
              </w:rPr>
              <w:t xml:space="preserve">  </w:t>
            </w:r>
            <w:r w:rsidRPr="0034022A">
              <w:rPr>
                <w:rFonts w:ascii="Calibri" w:eastAsia="Times New Roman" w:hAnsi="Calibri" w:cs="Times New Roman"/>
                <w:color w:val="000000"/>
                <w:lang w:val="en-US" w:eastAsia="de-DE"/>
              </w:rPr>
              <w:t>SAR response</w:t>
            </w:r>
          </w:p>
        </w:tc>
        <w:tc>
          <w:tcPr>
            <w:tcW w:w="1760" w:type="dxa"/>
            <w:tcBorders>
              <w:top w:val="nil"/>
              <w:left w:val="nil"/>
              <w:bottom w:val="nil"/>
              <w:right w:val="single" w:sz="4" w:space="0" w:color="auto"/>
            </w:tcBorders>
            <w:shd w:val="clear" w:color="auto" w:fill="auto"/>
            <w:vAlign w:val="center"/>
            <w:hideMark/>
          </w:tcPr>
          <w:p w:rsidR="008D163C"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defence metabolism</w:t>
            </w:r>
            <w:r w:rsidR="008D163C">
              <w:rPr>
                <w:rFonts w:ascii="Calibri" w:eastAsia="Times New Roman" w:hAnsi="Calibri" w:cs="Times New Roman"/>
                <w:color w:val="000000"/>
                <w:lang w:val="de-DE" w:eastAsia="de-DE"/>
              </w:rPr>
              <w:t>/</w:t>
            </w:r>
          </w:p>
          <w:p w:rsidR="0034022A" w:rsidRPr="0034022A" w:rsidRDefault="008D163C" w:rsidP="0034022A">
            <w:pPr>
              <w:spacing w:after="0" w:line="240" w:lineRule="auto"/>
              <w:jc w:val="center"/>
              <w:rPr>
                <w:rFonts w:ascii="Calibri" w:eastAsia="Times New Roman" w:hAnsi="Calibri" w:cs="Times New Roman"/>
                <w:color w:val="000000"/>
                <w:lang w:val="de-DE" w:eastAsia="de-DE"/>
              </w:rPr>
            </w:pPr>
            <w:r>
              <w:rPr>
                <w:rFonts w:ascii="Calibri" w:eastAsia="Times New Roman" w:hAnsi="Calibri" w:cs="Times New Roman"/>
                <w:color w:val="000000"/>
                <w:lang w:val="de-DE" w:eastAsia="de-DE"/>
              </w:rPr>
              <w:t>defence signalling</w:t>
            </w:r>
          </w:p>
        </w:tc>
        <w:tc>
          <w:tcPr>
            <w:tcW w:w="15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i/>
                <w:iCs/>
                <w:color w:val="000000"/>
                <w:lang w:val="de-DE" w:eastAsia="de-DE"/>
              </w:rPr>
              <w:t>Psm</w:t>
            </w:r>
            <w:r w:rsidRPr="0034022A">
              <w:rPr>
                <w:rFonts w:ascii="Calibri" w:eastAsia="Times New Roman" w:hAnsi="Calibri" w:cs="Times New Roman"/>
                <w:color w:val="000000"/>
                <w:lang w:val="de-DE" w:eastAsia="de-DE"/>
              </w:rPr>
              <w:t xml:space="preserve"> local; SAR</w:t>
            </w:r>
          </w:p>
        </w:tc>
        <w:tc>
          <w:tcPr>
            <w:tcW w:w="20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SA-independent</w:t>
            </w:r>
          </w:p>
        </w:tc>
        <w:tc>
          <w:tcPr>
            <w:tcW w:w="80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P</w:t>
            </w:r>
          </w:p>
        </w:tc>
        <w:tc>
          <w:tcPr>
            <w:tcW w:w="66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np</w:t>
            </w:r>
          </w:p>
        </w:tc>
        <w:tc>
          <w:tcPr>
            <w:tcW w:w="76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np</w:t>
            </w:r>
          </w:p>
        </w:tc>
      </w:tr>
      <w:tr w:rsidR="0034022A" w:rsidRPr="0034022A" w:rsidTr="007236D3">
        <w:trPr>
          <w:trHeight w:val="1200"/>
          <w:jc w:val="center"/>
        </w:trPr>
        <w:tc>
          <w:tcPr>
            <w:tcW w:w="1320" w:type="dxa"/>
            <w:tcBorders>
              <w:top w:val="nil"/>
              <w:left w:val="single" w:sz="4" w:space="0" w:color="auto"/>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i/>
                <w:iCs/>
                <w:color w:val="000000"/>
                <w:lang w:val="de-DE" w:eastAsia="de-DE"/>
              </w:rPr>
            </w:pPr>
            <w:r w:rsidRPr="0034022A">
              <w:rPr>
                <w:rFonts w:ascii="Calibri" w:eastAsia="Times New Roman" w:hAnsi="Calibri" w:cs="Times New Roman"/>
                <w:i/>
                <w:iCs/>
                <w:color w:val="000000"/>
                <w:lang w:val="de-DE" w:eastAsia="de-DE"/>
              </w:rPr>
              <w:lastRenderedPageBreak/>
              <w:t>FRK1</w:t>
            </w:r>
          </w:p>
        </w:tc>
        <w:tc>
          <w:tcPr>
            <w:tcW w:w="1240" w:type="dxa"/>
            <w:tcBorders>
              <w:top w:val="nil"/>
              <w:left w:val="nil"/>
              <w:bottom w:val="nil"/>
              <w:right w:val="single" w:sz="4" w:space="0" w:color="auto"/>
            </w:tcBorders>
            <w:shd w:val="clear" w:color="auto" w:fill="auto"/>
            <w:noWrap/>
            <w:vAlign w:val="center"/>
            <w:hideMark/>
          </w:tcPr>
          <w:p w:rsidR="0034022A" w:rsidRPr="001F5EB3" w:rsidRDefault="0034022A" w:rsidP="0034022A">
            <w:pPr>
              <w:spacing w:after="0" w:line="240" w:lineRule="auto"/>
              <w:jc w:val="center"/>
              <w:rPr>
                <w:rFonts w:ascii="Calibri" w:eastAsia="Times New Roman" w:hAnsi="Calibri" w:cs="Times New Roman"/>
                <w:i/>
                <w:color w:val="000000"/>
                <w:lang w:val="de-DE" w:eastAsia="de-DE"/>
              </w:rPr>
            </w:pPr>
            <w:r w:rsidRPr="001F5EB3">
              <w:rPr>
                <w:rFonts w:ascii="Calibri" w:eastAsia="Times New Roman" w:hAnsi="Calibri" w:cs="Times New Roman"/>
                <w:i/>
                <w:color w:val="000000"/>
                <w:lang w:val="de-DE" w:eastAsia="de-DE"/>
              </w:rPr>
              <w:t>At2g19190</w:t>
            </w:r>
          </w:p>
        </w:tc>
        <w:tc>
          <w:tcPr>
            <w:tcW w:w="2260" w:type="dxa"/>
            <w:tcBorders>
              <w:top w:val="nil"/>
              <w:left w:val="nil"/>
              <w:bottom w:val="nil"/>
              <w:right w:val="single" w:sz="4" w:space="0" w:color="auto"/>
            </w:tcBorders>
            <w:shd w:val="clear" w:color="auto" w:fill="auto"/>
            <w:vAlign w:val="center"/>
            <w:hideMark/>
          </w:tcPr>
          <w:p w:rsidR="0034022A" w:rsidRPr="0034022A" w:rsidRDefault="00384CBA" w:rsidP="0034022A">
            <w:pPr>
              <w:spacing w:after="0" w:line="240" w:lineRule="auto"/>
              <w:jc w:val="center"/>
              <w:rPr>
                <w:rFonts w:ascii="Calibri" w:eastAsia="Times New Roman" w:hAnsi="Calibri" w:cs="Times New Roman"/>
                <w:color w:val="000000"/>
                <w:lang w:val="en-US" w:eastAsia="de-DE"/>
              </w:rPr>
            </w:pPr>
            <w:r>
              <w:rPr>
                <w:rFonts w:ascii="Calibri" w:eastAsia="Times New Roman" w:hAnsi="Calibri" w:cs="Times New Roman"/>
                <w:color w:val="000000"/>
                <w:lang w:val="en-US" w:eastAsia="de-DE"/>
              </w:rPr>
              <w:t>FLG22 INDUCED RECEPTOR KINASE1</w:t>
            </w:r>
            <w:r w:rsidR="0034022A" w:rsidRPr="0034022A">
              <w:rPr>
                <w:rFonts w:ascii="Calibri" w:eastAsia="Times New Roman" w:hAnsi="Calibri" w:cs="Times New Roman"/>
                <w:color w:val="000000"/>
                <w:lang w:val="en-US" w:eastAsia="de-DE"/>
              </w:rPr>
              <w:t>; early defence signalling</w:t>
            </w:r>
          </w:p>
        </w:tc>
        <w:tc>
          <w:tcPr>
            <w:tcW w:w="17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defence signalling</w:t>
            </w:r>
          </w:p>
        </w:tc>
        <w:tc>
          <w:tcPr>
            <w:tcW w:w="15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en-US" w:eastAsia="de-DE"/>
              </w:rPr>
            </w:pPr>
            <w:r w:rsidRPr="0034022A">
              <w:rPr>
                <w:rFonts w:ascii="Calibri" w:eastAsia="Times New Roman" w:hAnsi="Calibri" w:cs="Times New Roman"/>
                <w:color w:val="000000"/>
                <w:lang w:val="en-US" w:eastAsia="de-DE"/>
              </w:rPr>
              <w:t xml:space="preserve">ex. Pip;               </w:t>
            </w:r>
            <w:r w:rsidRPr="0034022A">
              <w:rPr>
                <w:rFonts w:ascii="Calibri" w:eastAsia="Times New Roman" w:hAnsi="Calibri" w:cs="Times New Roman"/>
                <w:i/>
                <w:iCs/>
                <w:color w:val="000000"/>
                <w:lang w:val="en-US" w:eastAsia="de-DE"/>
              </w:rPr>
              <w:t>Psm</w:t>
            </w:r>
            <w:r w:rsidRPr="0034022A">
              <w:rPr>
                <w:rFonts w:ascii="Calibri" w:eastAsia="Times New Roman" w:hAnsi="Calibri" w:cs="Times New Roman"/>
                <w:color w:val="000000"/>
                <w:lang w:val="en-US" w:eastAsia="de-DE"/>
              </w:rPr>
              <w:t xml:space="preserve"> local; SAR</w:t>
            </w:r>
          </w:p>
        </w:tc>
        <w:tc>
          <w:tcPr>
            <w:tcW w:w="20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SA-dependent</w:t>
            </w:r>
          </w:p>
        </w:tc>
        <w:tc>
          <w:tcPr>
            <w:tcW w:w="80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P</w:t>
            </w:r>
          </w:p>
        </w:tc>
        <w:tc>
          <w:tcPr>
            <w:tcW w:w="66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np</w:t>
            </w:r>
          </w:p>
        </w:tc>
        <w:tc>
          <w:tcPr>
            <w:tcW w:w="76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np</w:t>
            </w:r>
          </w:p>
        </w:tc>
      </w:tr>
      <w:tr w:rsidR="0034022A" w:rsidRPr="0034022A" w:rsidTr="007236D3">
        <w:trPr>
          <w:trHeight w:val="1200"/>
          <w:jc w:val="center"/>
        </w:trPr>
        <w:tc>
          <w:tcPr>
            <w:tcW w:w="1320" w:type="dxa"/>
            <w:tcBorders>
              <w:top w:val="nil"/>
              <w:left w:val="single" w:sz="4" w:space="0" w:color="auto"/>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i/>
                <w:iCs/>
                <w:color w:val="000000"/>
                <w:lang w:val="de-DE" w:eastAsia="de-DE"/>
              </w:rPr>
            </w:pPr>
            <w:r w:rsidRPr="0034022A">
              <w:rPr>
                <w:rFonts w:ascii="Calibri" w:eastAsia="Times New Roman" w:hAnsi="Calibri" w:cs="Times New Roman"/>
                <w:i/>
                <w:iCs/>
                <w:color w:val="000000"/>
                <w:lang w:val="de-DE" w:eastAsia="de-DE"/>
              </w:rPr>
              <w:t>GH3.3</w:t>
            </w:r>
          </w:p>
        </w:tc>
        <w:tc>
          <w:tcPr>
            <w:tcW w:w="1240" w:type="dxa"/>
            <w:tcBorders>
              <w:top w:val="nil"/>
              <w:left w:val="nil"/>
              <w:bottom w:val="nil"/>
              <w:right w:val="single" w:sz="4" w:space="0" w:color="auto"/>
            </w:tcBorders>
            <w:shd w:val="clear" w:color="auto" w:fill="auto"/>
            <w:noWrap/>
            <w:vAlign w:val="center"/>
            <w:hideMark/>
          </w:tcPr>
          <w:p w:rsidR="0034022A" w:rsidRPr="001F5EB3" w:rsidRDefault="0034022A" w:rsidP="0034022A">
            <w:pPr>
              <w:spacing w:after="0" w:line="240" w:lineRule="auto"/>
              <w:jc w:val="center"/>
              <w:rPr>
                <w:rFonts w:ascii="Calibri" w:eastAsia="Times New Roman" w:hAnsi="Calibri" w:cs="Times New Roman"/>
                <w:i/>
                <w:color w:val="000000"/>
                <w:lang w:val="de-DE" w:eastAsia="de-DE"/>
              </w:rPr>
            </w:pPr>
            <w:r w:rsidRPr="001F5EB3">
              <w:rPr>
                <w:rFonts w:ascii="Calibri" w:eastAsia="Times New Roman" w:hAnsi="Calibri" w:cs="Times New Roman"/>
                <w:i/>
                <w:color w:val="000000"/>
                <w:lang w:val="de-DE" w:eastAsia="de-DE"/>
              </w:rPr>
              <w:t>At2g23170</w:t>
            </w:r>
          </w:p>
        </w:tc>
        <w:tc>
          <w:tcPr>
            <w:tcW w:w="22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en-US" w:eastAsia="de-DE"/>
              </w:rPr>
            </w:pPr>
            <w:r w:rsidRPr="0034022A">
              <w:rPr>
                <w:rFonts w:ascii="Calibri" w:eastAsia="Times New Roman" w:hAnsi="Calibri" w:cs="Times New Roman"/>
                <w:color w:val="000000"/>
                <w:lang w:val="en-US" w:eastAsia="de-DE"/>
              </w:rPr>
              <w:t>IAA-amido synthase; conjugates amino acids to auxin</w:t>
            </w:r>
          </w:p>
        </w:tc>
        <w:tc>
          <w:tcPr>
            <w:tcW w:w="17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metabolism</w:t>
            </w:r>
          </w:p>
        </w:tc>
        <w:tc>
          <w:tcPr>
            <w:tcW w:w="15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w:t>
            </w:r>
          </w:p>
        </w:tc>
        <w:tc>
          <w:tcPr>
            <w:tcW w:w="20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SA-independent</w:t>
            </w:r>
          </w:p>
        </w:tc>
        <w:tc>
          <w:tcPr>
            <w:tcW w:w="80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P</w:t>
            </w:r>
          </w:p>
        </w:tc>
        <w:tc>
          <w:tcPr>
            <w:tcW w:w="66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np</w:t>
            </w:r>
          </w:p>
        </w:tc>
        <w:tc>
          <w:tcPr>
            <w:tcW w:w="76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np</w:t>
            </w:r>
          </w:p>
        </w:tc>
      </w:tr>
      <w:tr w:rsidR="0034022A" w:rsidRPr="0034022A" w:rsidTr="007236D3">
        <w:trPr>
          <w:trHeight w:val="1200"/>
          <w:jc w:val="center"/>
        </w:trPr>
        <w:tc>
          <w:tcPr>
            <w:tcW w:w="1320" w:type="dxa"/>
            <w:tcBorders>
              <w:top w:val="nil"/>
              <w:left w:val="single" w:sz="4" w:space="0" w:color="auto"/>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i/>
                <w:iCs/>
                <w:color w:val="000000"/>
                <w:lang w:val="de-DE" w:eastAsia="de-DE"/>
              </w:rPr>
            </w:pPr>
            <w:r w:rsidRPr="0034022A">
              <w:rPr>
                <w:rFonts w:ascii="Calibri" w:eastAsia="Times New Roman" w:hAnsi="Calibri" w:cs="Times New Roman"/>
                <w:i/>
                <w:iCs/>
                <w:color w:val="000000"/>
                <w:lang w:val="de-DE" w:eastAsia="de-DE"/>
              </w:rPr>
              <w:t>GH3.4</w:t>
            </w:r>
          </w:p>
        </w:tc>
        <w:tc>
          <w:tcPr>
            <w:tcW w:w="1240" w:type="dxa"/>
            <w:tcBorders>
              <w:top w:val="nil"/>
              <w:left w:val="nil"/>
              <w:bottom w:val="nil"/>
              <w:right w:val="single" w:sz="4" w:space="0" w:color="auto"/>
            </w:tcBorders>
            <w:shd w:val="clear" w:color="auto" w:fill="auto"/>
            <w:noWrap/>
            <w:vAlign w:val="center"/>
            <w:hideMark/>
          </w:tcPr>
          <w:p w:rsidR="0034022A" w:rsidRPr="001F5EB3" w:rsidRDefault="0034022A" w:rsidP="0034022A">
            <w:pPr>
              <w:spacing w:after="0" w:line="240" w:lineRule="auto"/>
              <w:jc w:val="center"/>
              <w:rPr>
                <w:rFonts w:ascii="Calibri" w:eastAsia="Times New Roman" w:hAnsi="Calibri" w:cs="Times New Roman"/>
                <w:i/>
                <w:color w:val="000000"/>
                <w:lang w:val="de-DE" w:eastAsia="de-DE"/>
              </w:rPr>
            </w:pPr>
            <w:r w:rsidRPr="001F5EB3">
              <w:rPr>
                <w:rFonts w:ascii="Calibri" w:eastAsia="Times New Roman" w:hAnsi="Calibri" w:cs="Times New Roman"/>
                <w:i/>
                <w:color w:val="000000"/>
                <w:lang w:val="de-DE" w:eastAsia="de-DE"/>
              </w:rPr>
              <w:t>At1g59500</w:t>
            </w:r>
          </w:p>
        </w:tc>
        <w:tc>
          <w:tcPr>
            <w:tcW w:w="22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en-US" w:eastAsia="de-DE"/>
              </w:rPr>
            </w:pPr>
            <w:r w:rsidRPr="0034022A">
              <w:rPr>
                <w:rFonts w:ascii="Calibri" w:eastAsia="Times New Roman" w:hAnsi="Calibri" w:cs="Times New Roman"/>
                <w:color w:val="000000"/>
                <w:lang w:val="en-US" w:eastAsia="de-DE"/>
              </w:rPr>
              <w:t>IAA-amido synthase; conjugates amino acids to auxin</w:t>
            </w:r>
          </w:p>
        </w:tc>
        <w:tc>
          <w:tcPr>
            <w:tcW w:w="17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metabolism</w:t>
            </w:r>
          </w:p>
        </w:tc>
        <w:tc>
          <w:tcPr>
            <w:tcW w:w="15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i/>
                <w:iCs/>
                <w:color w:val="000000"/>
                <w:lang w:val="de-DE" w:eastAsia="de-DE"/>
              </w:rPr>
              <w:t>Psm</w:t>
            </w:r>
            <w:r w:rsidRPr="0034022A">
              <w:rPr>
                <w:rFonts w:ascii="Calibri" w:eastAsia="Times New Roman" w:hAnsi="Calibri" w:cs="Times New Roman"/>
                <w:color w:val="000000"/>
                <w:lang w:val="de-DE" w:eastAsia="de-DE"/>
              </w:rPr>
              <w:t xml:space="preserve"> local</w:t>
            </w:r>
          </w:p>
        </w:tc>
        <w:tc>
          <w:tcPr>
            <w:tcW w:w="20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SA-independent</w:t>
            </w:r>
          </w:p>
        </w:tc>
        <w:tc>
          <w:tcPr>
            <w:tcW w:w="80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np</w:t>
            </w:r>
          </w:p>
        </w:tc>
        <w:tc>
          <w:tcPr>
            <w:tcW w:w="66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np</w:t>
            </w:r>
          </w:p>
        </w:tc>
        <w:tc>
          <w:tcPr>
            <w:tcW w:w="76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np</w:t>
            </w:r>
          </w:p>
        </w:tc>
      </w:tr>
      <w:tr w:rsidR="0034022A" w:rsidRPr="0034022A" w:rsidTr="007236D3">
        <w:trPr>
          <w:trHeight w:val="1200"/>
          <w:jc w:val="center"/>
        </w:trPr>
        <w:tc>
          <w:tcPr>
            <w:tcW w:w="1320" w:type="dxa"/>
            <w:tcBorders>
              <w:top w:val="nil"/>
              <w:left w:val="single" w:sz="4" w:space="0" w:color="auto"/>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i/>
                <w:iCs/>
                <w:color w:val="000000"/>
                <w:lang w:val="de-DE" w:eastAsia="de-DE"/>
              </w:rPr>
            </w:pPr>
            <w:r w:rsidRPr="0034022A">
              <w:rPr>
                <w:rFonts w:ascii="Calibri" w:eastAsia="Times New Roman" w:hAnsi="Calibri" w:cs="Times New Roman"/>
                <w:i/>
                <w:iCs/>
                <w:color w:val="000000"/>
                <w:lang w:val="de-DE" w:eastAsia="de-DE"/>
              </w:rPr>
              <w:t>GPAT5</w:t>
            </w:r>
          </w:p>
        </w:tc>
        <w:tc>
          <w:tcPr>
            <w:tcW w:w="1240" w:type="dxa"/>
            <w:tcBorders>
              <w:top w:val="nil"/>
              <w:left w:val="nil"/>
              <w:bottom w:val="nil"/>
              <w:right w:val="single" w:sz="4" w:space="0" w:color="auto"/>
            </w:tcBorders>
            <w:shd w:val="clear" w:color="auto" w:fill="auto"/>
            <w:noWrap/>
            <w:vAlign w:val="center"/>
            <w:hideMark/>
          </w:tcPr>
          <w:p w:rsidR="0034022A" w:rsidRPr="001F5EB3" w:rsidRDefault="0034022A" w:rsidP="0034022A">
            <w:pPr>
              <w:spacing w:after="0" w:line="240" w:lineRule="auto"/>
              <w:jc w:val="center"/>
              <w:rPr>
                <w:rFonts w:ascii="Calibri" w:eastAsia="Times New Roman" w:hAnsi="Calibri" w:cs="Times New Roman"/>
                <w:i/>
                <w:color w:val="000000"/>
                <w:lang w:val="de-DE" w:eastAsia="de-DE"/>
              </w:rPr>
            </w:pPr>
            <w:r w:rsidRPr="001F5EB3">
              <w:rPr>
                <w:rFonts w:ascii="Calibri" w:eastAsia="Times New Roman" w:hAnsi="Calibri" w:cs="Times New Roman"/>
                <w:i/>
                <w:color w:val="000000"/>
                <w:lang w:val="de-DE" w:eastAsia="de-DE"/>
              </w:rPr>
              <w:t>At3g11430</w:t>
            </w:r>
          </w:p>
        </w:tc>
        <w:tc>
          <w:tcPr>
            <w:tcW w:w="22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en-US" w:eastAsia="de-DE"/>
              </w:rPr>
            </w:pPr>
            <w:r w:rsidRPr="0034022A">
              <w:rPr>
                <w:rFonts w:ascii="Calibri" w:eastAsia="Times New Roman" w:hAnsi="Calibri" w:cs="Times New Roman"/>
                <w:color w:val="000000"/>
                <w:lang w:val="en-US" w:eastAsia="de-DE"/>
              </w:rPr>
              <w:t>glycerol-3-phosphate acyltransferase; suberin biosynthesis</w:t>
            </w:r>
          </w:p>
        </w:tc>
        <w:tc>
          <w:tcPr>
            <w:tcW w:w="17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secondary metabolism</w:t>
            </w:r>
          </w:p>
        </w:tc>
        <w:tc>
          <w:tcPr>
            <w:tcW w:w="15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 xml:space="preserve">ex. Pip;             </w:t>
            </w:r>
            <w:r w:rsidRPr="0034022A">
              <w:rPr>
                <w:rFonts w:ascii="Calibri" w:eastAsia="Times New Roman" w:hAnsi="Calibri" w:cs="Times New Roman"/>
                <w:i/>
                <w:iCs/>
                <w:color w:val="000000"/>
                <w:lang w:val="de-DE" w:eastAsia="de-DE"/>
              </w:rPr>
              <w:t>Psm</w:t>
            </w:r>
            <w:r w:rsidRPr="0034022A">
              <w:rPr>
                <w:rFonts w:ascii="Calibri" w:eastAsia="Times New Roman" w:hAnsi="Calibri" w:cs="Times New Roman"/>
                <w:color w:val="000000"/>
                <w:lang w:val="de-DE" w:eastAsia="de-DE"/>
              </w:rPr>
              <w:t xml:space="preserve"> local</w:t>
            </w:r>
          </w:p>
        </w:tc>
        <w:tc>
          <w:tcPr>
            <w:tcW w:w="20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SA-independent</w:t>
            </w:r>
          </w:p>
        </w:tc>
        <w:tc>
          <w:tcPr>
            <w:tcW w:w="80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np</w:t>
            </w:r>
          </w:p>
        </w:tc>
        <w:tc>
          <w:tcPr>
            <w:tcW w:w="66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np</w:t>
            </w:r>
          </w:p>
        </w:tc>
        <w:tc>
          <w:tcPr>
            <w:tcW w:w="76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np</w:t>
            </w:r>
          </w:p>
        </w:tc>
      </w:tr>
      <w:tr w:rsidR="0034022A" w:rsidRPr="0034022A" w:rsidTr="007236D3">
        <w:trPr>
          <w:trHeight w:val="1200"/>
          <w:jc w:val="center"/>
        </w:trPr>
        <w:tc>
          <w:tcPr>
            <w:tcW w:w="1320" w:type="dxa"/>
            <w:tcBorders>
              <w:top w:val="nil"/>
              <w:left w:val="single" w:sz="4" w:space="0" w:color="auto"/>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i/>
                <w:iCs/>
                <w:color w:val="000000"/>
                <w:lang w:val="de-DE" w:eastAsia="de-DE"/>
              </w:rPr>
            </w:pPr>
            <w:r w:rsidRPr="0034022A">
              <w:rPr>
                <w:rFonts w:ascii="Calibri" w:eastAsia="Times New Roman" w:hAnsi="Calibri" w:cs="Times New Roman"/>
                <w:i/>
                <w:iCs/>
                <w:color w:val="000000"/>
                <w:lang w:val="de-DE" w:eastAsia="de-DE"/>
              </w:rPr>
              <w:t>GRXS13</w:t>
            </w:r>
          </w:p>
        </w:tc>
        <w:tc>
          <w:tcPr>
            <w:tcW w:w="1240" w:type="dxa"/>
            <w:tcBorders>
              <w:top w:val="nil"/>
              <w:left w:val="nil"/>
              <w:bottom w:val="nil"/>
              <w:right w:val="single" w:sz="4" w:space="0" w:color="auto"/>
            </w:tcBorders>
            <w:shd w:val="clear" w:color="auto" w:fill="auto"/>
            <w:noWrap/>
            <w:vAlign w:val="center"/>
            <w:hideMark/>
          </w:tcPr>
          <w:p w:rsidR="0034022A" w:rsidRPr="001F5EB3" w:rsidRDefault="0034022A" w:rsidP="0034022A">
            <w:pPr>
              <w:spacing w:after="0" w:line="240" w:lineRule="auto"/>
              <w:jc w:val="center"/>
              <w:rPr>
                <w:rFonts w:ascii="Calibri" w:eastAsia="Times New Roman" w:hAnsi="Calibri" w:cs="Times New Roman"/>
                <w:i/>
                <w:color w:val="000000"/>
                <w:lang w:val="de-DE" w:eastAsia="de-DE"/>
              </w:rPr>
            </w:pPr>
            <w:r w:rsidRPr="001F5EB3">
              <w:rPr>
                <w:rFonts w:ascii="Calibri" w:eastAsia="Times New Roman" w:hAnsi="Calibri" w:cs="Times New Roman"/>
                <w:i/>
                <w:color w:val="000000"/>
                <w:lang w:val="de-DE" w:eastAsia="de-DE"/>
              </w:rPr>
              <w:t>At1g03850</w:t>
            </w:r>
          </w:p>
        </w:tc>
        <w:tc>
          <w:tcPr>
            <w:tcW w:w="22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en-US" w:eastAsia="de-DE"/>
              </w:rPr>
            </w:pPr>
            <w:r w:rsidRPr="0034022A">
              <w:rPr>
                <w:rFonts w:ascii="Calibri" w:eastAsia="Times New Roman" w:hAnsi="Calibri" w:cs="Times New Roman"/>
                <w:color w:val="000000"/>
                <w:lang w:val="en-US" w:eastAsia="de-DE"/>
              </w:rPr>
              <w:t xml:space="preserve">glutaredoxin; facilitates </w:t>
            </w:r>
            <w:r w:rsidRPr="0034022A">
              <w:rPr>
                <w:rFonts w:ascii="Calibri" w:eastAsia="Times New Roman" w:hAnsi="Calibri" w:cs="Times New Roman"/>
                <w:i/>
                <w:iCs/>
                <w:color w:val="000000"/>
                <w:lang w:val="en-US" w:eastAsia="de-DE"/>
              </w:rPr>
              <w:t>B.cinerea</w:t>
            </w:r>
            <w:r w:rsidRPr="0034022A">
              <w:rPr>
                <w:rFonts w:ascii="Calibri" w:eastAsia="Times New Roman" w:hAnsi="Calibri" w:cs="Times New Roman"/>
                <w:color w:val="000000"/>
                <w:lang w:val="en-US" w:eastAsia="de-DE"/>
              </w:rPr>
              <w:t xml:space="preserve"> infection of </w:t>
            </w:r>
            <w:r w:rsidRPr="0034022A">
              <w:rPr>
                <w:rFonts w:ascii="Calibri" w:eastAsia="Times New Roman" w:hAnsi="Calibri" w:cs="Times New Roman"/>
                <w:i/>
                <w:iCs/>
                <w:color w:val="000000"/>
                <w:lang w:val="en-US" w:eastAsia="de-DE"/>
              </w:rPr>
              <w:t>A.thaliana</w:t>
            </w:r>
          </w:p>
        </w:tc>
        <w:tc>
          <w:tcPr>
            <w:tcW w:w="17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detoxification/  defence signalling</w:t>
            </w:r>
          </w:p>
        </w:tc>
        <w:tc>
          <w:tcPr>
            <w:tcW w:w="15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en-US" w:eastAsia="de-DE"/>
              </w:rPr>
            </w:pPr>
            <w:r w:rsidRPr="0034022A">
              <w:rPr>
                <w:rFonts w:ascii="Calibri" w:eastAsia="Times New Roman" w:hAnsi="Calibri" w:cs="Times New Roman"/>
                <w:color w:val="000000"/>
                <w:lang w:val="en-US" w:eastAsia="de-DE"/>
              </w:rPr>
              <w:t xml:space="preserve">ex. Pip;               </w:t>
            </w:r>
            <w:r w:rsidRPr="0034022A">
              <w:rPr>
                <w:rFonts w:ascii="Calibri" w:eastAsia="Times New Roman" w:hAnsi="Calibri" w:cs="Times New Roman"/>
                <w:i/>
                <w:iCs/>
                <w:color w:val="000000"/>
                <w:lang w:val="en-US" w:eastAsia="de-DE"/>
              </w:rPr>
              <w:t xml:space="preserve">Psm </w:t>
            </w:r>
            <w:r w:rsidRPr="0034022A">
              <w:rPr>
                <w:rFonts w:ascii="Calibri" w:eastAsia="Times New Roman" w:hAnsi="Calibri" w:cs="Times New Roman"/>
                <w:color w:val="000000"/>
                <w:lang w:val="en-US" w:eastAsia="de-DE"/>
              </w:rPr>
              <w:t>local; SAR</w:t>
            </w:r>
          </w:p>
        </w:tc>
        <w:tc>
          <w:tcPr>
            <w:tcW w:w="20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SA-dependent</w:t>
            </w:r>
          </w:p>
        </w:tc>
        <w:tc>
          <w:tcPr>
            <w:tcW w:w="80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P</w:t>
            </w:r>
          </w:p>
        </w:tc>
        <w:tc>
          <w:tcPr>
            <w:tcW w:w="66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np</w:t>
            </w:r>
          </w:p>
        </w:tc>
        <w:tc>
          <w:tcPr>
            <w:tcW w:w="76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np</w:t>
            </w:r>
          </w:p>
        </w:tc>
      </w:tr>
      <w:tr w:rsidR="0034022A" w:rsidRPr="0034022A" w:rsidTr="007236D3">
        <w:trPr>
          <w:trHeight w:val="1200"/>
          <w:jc w:val="center"/>
        </w:trPr>
        <w:tc>
          <w:tcPr>
            <w:tcW w:w="1320" w:type="dxa"/>
            <w:tcBorders>
              <w:top w:val="nil"/>
              <w:left w:val="single" w:sz="4" w:space="0" w:color="auto"/>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i/>
                <w:iCs/>
                <w:color w:val="000000"/>
                <w:lang w:val="de-DE" w:eastAsia="de-DE"/>
              </w:rPr>
            </w:pPr>
            <w:r w:rsidRPr="0034022A">
              <w:rPr>
                <w:rFonts w:ascii="Calibri" w:eastAsia="Times New Roman" w:hAnsi="Calibri" w:cs="Times New Roman"/>
                <w:i/>
                <w:iCs/>
                <w:color w:val="000000"/>
                <w:lang w:val="de-DE" w:eastAsia="de-DE"/>
              </w:rPr>
              <w:t>GSTU1</w:t>
            </w:r>
          </w:p>
        </w:tc>
        <w:tc>
          <w:tcPr>
            <w:tcW w:w="1240" w:type="dxa"/>
            <w:tcBorders>
              <w:top w:val="nil"/>
              <w:left w:val="nil"/>
              <w:bottom w:val="nil"/>
              <w:right w:val="single" w:sz="4" w:space="0" w:color="auto"/>
            </w:tcBorders>
            <w:shd w:val="clear" w:color="auto" w:fill="auto"/>
            <w:noWrap/>
            <w:vAlign w:val="center"/>
            <w:hideMark/>
          </w:tcPr>
          <w:p w:rsidR="0034022A" w:rsidRPr="001F5EB3" w:rsidRDefault="0034022A" w:rsidP="0034022A">
            <w:pPr>
              <w:spacing w:after="0" w:line="240" w:lineRule="auto"/>
              <w:jc w:val="center"/>
              <w:rPr>
                <w:rFonts w:ascii="Calibri" w:eastAsia="Times New Roman" w:hAnsi="Calibri" w:cs="Times New Roman"/>
                <w:i/>
                <w:color w:val="000000"/>
                <w:lang w:val="de-DE" w:eastAsia="de-DE"/>
              </w:rPr>
            </w:pPr>
            <w:r w:rsidRPr="001F5EB3">
              <w:rPr>
                <w:rFonts w:ascii="Calibri" w:eastAsia="Times New Roman" w:hAnsi="Calibri" w:cs="Times New Roman"/>
                <w:i/>
                <w:color w:val="000000"/>
                <w:lang w:val="de-DE" w:eastAsia="de-DE"/>
              </w:rPr>
              <w:t>At2g29490</w:t>
            </w:r>
          </w:p>
        </w:tc>
        <w:tc>
          <w:tcPr>
            <w:tcW w:w="22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glutathione                                  s-transferase</w:t>
            </w:r>
          </w:p>
        </w:tc>
        <w:tc>
          <w:tcPr>
            <w:tcW w:w="17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detoxification</w:t>
            </w:r>
          </w:p>
        </w:tc>
        <w:tc>
          <w:tcPr>
            <w:tcW w:w="15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 xml:space="preserve">ex. Pip;              </w:t>
            </w:r>
            <w:r w:rsidRPr="0034022A">
              <w:rPr>
                <w:rFonts w:ascii="Calibri" w:eastAsia="Times New Roman" w:hAnsi="Calibri" w:cs="Times New Roman"/>
                <w:i/>
                <w:iCs/>
                <w:color w:val="000000"/>
                <w:lang w:val="de-DE" w:eastAsia="de-DE"/>
              </w:rPr>
              <w:t>Psm</w:t>
            </w:r>
            <w:r w:rsidRPr="0034022A">
              <w:rPr>
                <w:rFonts w:ascii="Calibri" w:eastAsia="Times New Roman" w:hAnsi="Calibri" w:cs="Times New Roman"/>
                <w:color w:val="000000"/>
                <w:lang w:val="de-DE" w:eastAsia="de-DE"/>
              </w:rPr>
              <w:t xml:space="preserve"> local</w:t>
            </w:r>
          </w:p>
        </w:tc>
        <w:tc>
          <w:tcPr>
            <w:tcW w:w="20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SA-independent</w:t>
            </w:r>
          </w:p>
        </w:tc>
        <w:tc>
          <w:tcPr>
            <w:tcW w:w="80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np</w:t>
            </w:r>
          </w:p>
        </w:tc>
        <w:tc>
          <w:tcPr>
            <w:tcW w:w="66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np</w:t>
            </w:r>
          </w:p>
        </w:tc>
        <w:tc>
          <w:tcPr>
            <w:tcW w:w="76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P</w:t>
            </w:r>
          </w:p>
        </w:tc>
      </w:tr>
      <w:tr w:rsidR="0034022A" w:rsidRPr="0034022A" w:rsidTr="007236D3">
        <w:trPr>
          <w:trHeight w:val="1200"/>
          <w:jc w:val="center"/>
        </w:trPr>
        <w:tc>
          <w:tcPr>
            <w:tcW w:w="1320" w:type="dxa"/>
            <w:tcBorders>
              <w:top w:val="nil"/>
              <w:left w:val="single" w:sz="4" w:space="0" w:color="auto"/>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i/>
                <w:iCs/>
                <w:color w:val="000000"/>
                <w:lang w:val="de-DE" w:eastAsia="de-DE"/>
              </w:rPr>
            </w:pPr>
            <w:r w:rsidRPr="0034022A">
              <w:rPr>
                <w:rFonts w:ascii="Calibri" w:eastAsia="Times New Roman" w:hAnsi="Calibri" w:cs="Times New Roman"/>
                <w:i/>
                <w:iCs/>
                <w:color w:val="000000"/>
                <w:lang w:val="de-DE" w:eastAsia="de-DE"/>
              </w:rPr>
              <w:t>IPT7</w:t>
            </w:r>
          </w:p>
        </w:tc>
        <w:tc>
          <w:tcPr>
            <w:tcW w:w="1240" w:type="dxa"/>
            <w:tcBorders>
              <w:top w:val="nil"/>
              <w:left w:val="nil"/>
              <w:bottom w:val="nil"/>
              <w:right w:val="single" w:sz="4" w:space="0" w:color="auto"/>
            </w:tcBorders>
            <w:shd w:val="clear" w:color="auto" w:fill="auto"/>
            <w:noWrap/>
            <w:vAlign w:val="center"/>
            <w:hideMark/>
          </w:tcPr>
          <w:p w:rsidR="0034022A" w:rsidRPr="001F5EB3" w:rsidRDefault="0034022A" w:rsidP="0034022A">
            <w:pPr>
              <w:spacing w:after="0" w:line="240" w:lineRule="auto"/>
              <w:jc w:val="center"/>
              <w:rPr>
                <w:rFonts w:ascii="Calibri" w:eastAsia="Times New Roman" w:hAnsi="Calibri" w:cs="Times New Roman"/>
                <w:i/>
                <w:color w:val="000000"/>
                <w:lang w:val="de-DE" w:eastAsia="de-DE"/>
              </w:rPr>
            </w:pPr>
            <w:r w:rsidRPr="001F5EB3">
              <w:rPr>
                <w:rFonts w:ascii="Calibri" w:eastAsia="Times New Roman" w:hAnsi="Calibri" w:cs="Times New Roman"/>
                <w:i/>
                <w:color w:val="000000"/>
                <w:lang w:val="de-DE" w:eastAsia="de-DE"/>
              </w:rPr>
              <w:t>At3g23630</w:t>
            </w:r>
          </w:p>
        </w:tc>
        <w:tc>
          <w:tcPr>
            <w:tcW w:w="22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isopentenyl transferase;          cytokinin biosynthesis</w:t>
            </w:r>
          </w:p>
        </w:tc>
        <w:tc>
          <w:tcPr>
            <w:tcW w:w="17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metabolism</w:t>
            </w:r>
          </w:p>
        </w:tc>
        <w:tc>
          <w:tcPr>
            <w:tcW w:w="15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i/>
                <w:iCs/>
                <w:color w:val="000000"/>
                <w:lang w:val="de-DE" w:eastAsia="de-DE"/>
              </w:rPr>
              <w:t>Psm</w:t>
            </w:r>
            <w:r w:rsidRPr="0034022A">
              <w:rPr>
                <w:rFonts w:ascii="Calibri" w:eastAsia="Times New Roman" w:hAnsi="Calibri" w:cs="Times New Roman"/>
                <w:color w:val="000000"/>
                <w:lang w:val="de-DE" w:eastAsia="de-DE"/>
              </w:rPr>
              <w:t xml:space="preserve"> local</w:t>
            </w:r>
          </w:p>
        </w:tc>
        <w:tc>
          <w:tcPr>
            <w:tcW w:w="20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SA-dependent</w:t>
            </w:r>
          </w:p>
        </w:tc>
        <w:tc>
          <w:tcPr>
            <w:tcW w:w="80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np</w:t>
            </w:r>
          </w:p>
        </w:tc>
        <w:tc>
          <w:tcPr>
            <w:tcW w:w="66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np</w:t>
            </w:r>
          </w:p>
        </w:tc>
        <w:tc>
          <w:tcPr>
            <w:tcW w:w="76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np</w:t>
            </w:r>
          </w:p>
        </w:tc>
      </w:tr>
      <w:tr w:rsidR="0034022A" w:rsidRPr="0034022A" w:rsidTr="007236D3">
        <w:trPr>
          <w:trHeight w:val="1200"/>
          <w:jc w:val="center"/>
        </w:trPr>
        <w:tc>
          <w:tcPr>
            <w:tcW w:w="1320" w:type="dxa"/>
            <w:tcBorders>
              <w:top w:val="nil"/>
              <w:left w:val="single" w:sz="4" w:space="0" w:color="auto"/>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i/>
                <w:iCs/>
                <w:color w:val="000000"/>
                <w:lang w:val="de-DE" w:eastAsia="de-DE"/>
              </w:rPr>
            </w:pPr>
            <w:r w:rsidRPr="0034022A">
              <w:rPr>
                <w:rFonts w:ascii="Calibri" w:eastAsia="Times New Roman" w:hAnsi="Calibri" w:cs="Times New Roman"/>
                <w:i/>
                <w:iCs/>
                <w:color w:val="000000"/>
                <w:lang w:val="de-DE" w:eastAsia="de-DE"/>
              </w:rPr>
              <w:lastRenderedPageBreak/>
              <w:t>KNAT1</w:t>
            </w:r>
          </w:p>
        </w:tc>
        <w:tc>
          <w:tcPr>
            <w:tcW w:w="1240" w:type="dxa"/>
            <w:tcBorders>
              <w:top w:val="nil"/>
              <w:left w:val="nil"/>
              <w:bottom w:val="nil"/>
              <w:right w:val="single" w:sz="4" w:space="0" w:color="auto"/>
            </w:tcBorders>
            <w:shd w:val="clear" w:color="auto" w:fill="auto"/>
            <w:noWrap/>
            <w:vAlign w:val="center"/>
            <w:hideMark/>
          </w:tcPr>
          <w:p w:rsidR="0034022A" w:rsidRPr="001F5EB3" w:rsidRDefault="0034022A" w:rsidP="0034022A">
            <w:pPr>
              <w:spacing w:after="0" w:line="240" w:lineRule="auto"/>
              <w:jc w:val="center"/>
              <w:rPr>
                <w:rFonts w:ascii="Calibri" w:eastAsia="Times New Roman" w:hAnsi="Calibri" w:cs="Times New Roman"/>
                <w:i/>
                <w:color w:val="000000"/>
                <w:lang w:val="de-DE" w:eastAsia="de-DE"/>
              </w:rPr>
            </w:pPr>
            <w:r w:rsidRPr="001F5EB3">
              <w:rPr>
                <w:rFonts w:ascii="Calibri" w:eastAsia="Times New Roman" w:hAnsi="Calibri" w:cs="Times New Roman"/>
                <w:i/>
                <w:color w:val="000000"/>
                <w:lang w:val="de-DE" w:eastAsia="de-DE"/>
              </w:rPr>
              <w:t>At4g08150</w:t>
            </w:r>
          </w:p>
        </w:tc>
        <w:tc>
          <w:tcPr>
            <w:tcW w:w="22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en-US" w:eastAsia="de-DE"/>
              </w:rPr>
            </w:pPr>
            <w:r w:rsidRPr="0034022A">
              <w:rPr>
                <w:rFonts w:ascii="Calibri" w:eastAsia="Times New Roman" w:hAnsi="Calibri" w:cs="Times New Roman"/>
                <w:color w:val="000000"/>
                <w:lang w:val="en-US" w:eastAsia="de-DE"/>
              </w:rPr>
              <w:t>class I knotted 1-like homeobox gene family</w:t>
            </w:r>
          </w:p>
        </w:tc>
        <w:tc>
          <w:tcPr>
            <w:tcW w:w="17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development</w:t>
            </w:r>
          </w:p>
        </w:tc>
        <w:tc>
          <w:tcPr>
            <w:tcW w:w="15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ex. Pip</w:t>
            </w:r>
          </w:p>
        </w:tc>
        <w:tc>
          <w:tcPr>
            <w:tcW w:w="20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SA-dependent</w:t>
            </w:r>
          </w:p>
        </w:tc>
        <w:tc>
          <w:tcPr>
            <w:tcW w:w="80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np</w:t>
            </w:r>
          </w:p>
        </w:tc>
        <w:tc>
          <w:tcPr>
            <w:tcW w:w="66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np</w:t>
            </w:r>
          </w:p>
        </w:tc>
        <w:tc>
          <w:tcPr>
            <w:tcW w:w="76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np</w:t>
            </w:r>
          </w:p>
        </w:tc>
      </w:tr>
      <w:tr w:rsidR="0034022A" w:rsidRPr="0034022A" w:rsidTr="007236D3">
        <w:trPr>
          <w:trHeight w:val="1200"/>
          <w:jc w:val="center"/>
        </w:trPr>
        <w:tc>
          <w:tcPr>
            <w:tcW w:w="1320" w:type="dxa"/>
            <w:tcBorders>
              <w:top w:val="nil"/>
              <w:left w:val="single" w:sz="4" w:space="0" w:color="auto"/>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i/>
                <w:iCs/>
                <w:color w:val="000000"/>
                <w:lang w:val="de-DE" w:eastAsia="de-DE"/>
              </w:rPr>
            </w:pPr>
            <w:r w:rsidRPr="0034022A">
              <w:rPr>
                <w:rFonts w:ascii="Calibri" w:eastAsia="Times New Roman" w:hAnsi="Calibri" w:cs="Times New Roman"/>
                <w:i/>
                <w:iCs/>
                <w:color w:val="000000"/>
                <w:lang w:val="de-DE" w:eastAsia="de-DE"/>
              </w:rPr>
              <w:t>KTI1</w:t>
            </w:r>
          </w:p>
        </w:tc>
        <w:tc>
          <w:tcPr>
            <w:tcW w:w="1240" w:type="dxa"/>
            <w:tcBorders>
              <w:top w:val="nil"/>
              <w:left w:val="nil"/>
              <w:bottom w:val="nil"/>
              <w:right w:val="single" w:sz="4" w:space="0" w:color="auto"/>
            </w:tcBorders>
            <w:shd w:val="clear" w:color="auto" w:fill="auto"/>
            <w:noWrap/>
            <w:vAlign w:val="center"/>
            <w:hideMark/>
          </w:tcPr>
          <w:p w:rsidR="0034022A" w:rsidRPr="001F5EB3" w:rsidRDefault="0034022A" w:rsidP="0034022A">
            <w:pPr>
              <w:spacing w:after="0" w:line="240" w:lineRule="auto"/>
              <w:jc w:val="center"/>
              <w:rPr>
                <w:rFonts w:ascii="Calibri" w:eastAsia="Times New Roman" w:hAnsi="Calibri" w:cs="Times New Roman"/>
                <w:i/>
                <w:color w:val="000000"/>
                <w:lang w:val="de-DE" w:eastAsia="de-DE"/>
              </w:rPr>
            </w:pPr>
            <w:r w:rsidRPr="001F5EB3">
              <w:rPr>
                <w:rFonts w:ascii="Calibri" w:eastAsia="Times New Roman" w:hAnsi="Calibri" w:cs="Times New Roman"/>
                <w:i/>
                <w:color w:val="000000"/>
                <w:lang w:val="de-DE" w:eastAsia="de-DE"/>
              </w:rPr>
              <w:t>At1g73260</w:t>
            </w:r>
          </w:p>
        </w:tc>
        <w:tc>
          <w:tcPr>
            <w:tcW w:w="22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en-US" w:eastAsia="de-DE"/>
              </w:rPr>
            </w:pPr>
            <w:r w:rsidRPr="0034022A">
              <w:rPr>
                <w:rFonts w:ascii="Calibri" w:eastAsia="Times New Roman" w:hAnsi="Calibri" w:cs="Times New Roman"/>
                <w:color w:val="000000"/>
                <w:lang w:val="en-US" w:eastAsia="de-DE"/>
              </w:rPr>
              <w:t>trypsin inhibitor; modulates PCD in plant-pathogen interactions</w:t>
            </w:r>
          </w:p>
        </w:tc>
        <w:tc>
          <w:tcPr>
            <w:tcW w:w="17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cell death</w:t>
            </w:r>
          </w:p>
        </w:tc>
        <w:tc>
          <w:tcPr>
            <w:tcW w:w="15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w:t>
            </w:r>
          </w:p>
        </w:tc>
        <w:tc>
          <w:tcPr>
            <w:tcW w:w="20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SA-independent</w:t>
            </w:r>
          </w:p>
        </w:tc>
        <w:tc>
          <w:tcPr>
            <w:tcW w:w="80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P</w:t>
            </w:r>
          </w:p>
        </w:tc>
        <w:tc>
          <w:tcPr>
            <w:tcW w:w="66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np</w:t>
            </w:r>
          </w:p>
        </w:tc>
        <w:tc>
          <w:tcPr>
            <w:tcW w:w="76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np</w:t>
            </w:r>
          </w:p>
        </w:tc>
      </w:tr>
      <w:tr w:rsidR="0034022A" w:rsidRPr="0034022A" w:rsidTr="007236D3">
        <w:trPr>
          <w:trHeight w:val="1200"/>
          <w:jc w:val="center"/>
        </w:trPr>
        <w:tc>
          <w:tcPr>
            <w:tcW w:w="1320" w:type="dxa"/>
            <w:tcBorders>
              <w:top w:val="nil"/>
              <w:left w:val="single" w:sz="4" w:space="0" w:color="auto"/>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i/>
                <w:iCs/>
                <w:color w:val="000000"/>
                <w:lang w:val="de-DE" w:eastAsia="de-DE"/>
              </w:rPr>
            </w:pPr>
            <w:r w:rsidRPr="0034022A">
              <w:rPr>
                <w:rFonts w:ascii="Calibri" w:eastAsia="Times New Roman" w:hAnsi="Calibri" w:cs="Times New Roman"/>
                <w:i/>
                <w:iCs/>
                <w:color w:val="000000"/>
                <w:lang w:val="de-DE" w:eastAsia="de-DE"/>
              </w:rPr>
              <w:t>LAC7</w:t>
            </w:r>
          </w:p>
        </w:tc>
        <w:tc>
          <w:tcPr>
            <w:tcW w:w="1240" w:type="dxa"/>
            <w:tcBorders>
              <w:top w:val="nil"/>
              <w:left w:val="nil"/>
              <w:bottom w:val="nil"/>
              <w:right w:val="single" w:sz="4" w:space="0" w:color="auto"/>
            </w:tcBorders>
            <w:shd w:val="clear" w:color="auto" w:fill="auto"/>
            <w:noWrap/>
            <w:vAlign w:val="center"/>
            <w:hideMark/>
          </w:tcPr>
          <w:p w:rsidR="0034022A" w:rsidRPr="001F5EB3" w:rsidRDefault="0034022A" w:rsidP="0034022A">
            <w:pPr>
              <w:spacing w:after="0" w:line="240" w:lineRule="auto"/>
              <w:jc w:val="center"/>
              <w:rPr>
                <w:rFonts w:ascii="Calibri" w:eastAsia="Times New Roman" w:hAnsi="Calibri" w:cs="Times New Roman"/>
                <w:i/>
                <w:color w:val="000000"/>
                <w:lang w:val="de-DE" w:eastAsia="de-DE"/>
              </w:rPr>
            </w:pPr>
            <w:r w:rsidRPr="001F5EB3">
              <w:rPr>
                <w:rFonts w:ascii="Calibri" w:eastAsia="Times New Roman" w:hAnsi="Calibri" w:cs="Times New Roman"/>
                <w:i/>
                <w:color w:val="000000"/>
                <w:lang w:val="de-DE" w:eastAsia="de-DE"/>
              </w:rPr>
              <w:t>At3g09220</w:t>
            </w:r>
          </w:p>
        </w:tc>
        <w:tc>
          <w:tcPr>
            <w:tcW w:w="22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laccase</w:t>
            </w:r>
          </w:p>
        </w:tc>
        <w:tc>
          <w:tcPr>
            <w:tcW w:w="17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metabolism</w:t>
            </w:r>
          </w:p>
        </w:tc>
        <w:tc>
          <w:tcPr>
            <w:tcW w:w="15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i/>
                <w:iCs/>
                <w:color w:val="000000"/>
                <w:lang w:val="de-DE" w:eastAsia="de-DE"/>
              </w:rPr>
              <w:t>Psm</w:t>
            </w:r>
            <w:r w:rsidRPr="0034022A">
              <w:rPr>
                <w:rFonts w:ascii="Calibri" w:eastAsia="Times New Roman" w:hAnsi="Calibri" w:cs="Times New Roman"/>
                <w:color w:val="000000"/>
                <w:lang w:val="de-DE" w:eastAsia="de-DE"/>
              </w:rPr>
              <w:t xml:space="preserve"> local</w:t>
            </w:r>
          </w:p>
        </w:tc>
        <w:tc>
          <w:tcPr>
            <w:tcW w:w="20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SA-dependent</w:t>
            </w:r>
          </w:p>
        </w:tc>
        <w:tc>
          <w:tcPr>
            <w:tcW w:w="80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np</w:t>
            </w:r>
          </w:p>
        </w:tc>
        <w:tc>
          <w:tcPr>
            <w:tcW w:w="66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np</w:t>
            </w:r>
          </w:p>
        </w:tc>
        <w:tc>
          <w:tcPr>
            <w:tcW w:w="76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np</w:t>
            </w:r>
          </w:p>
        </w:tc>
      </w:tr>
      <w:tr w:rsidR="0034022A" w:rsidRPr="0034022A" w:rsidTr="007236D3">
        <w:trPr>
          <w:trHeight w:val="1200"/>
          <w:jc w:val="center"/>
        </w:trPr>
        <w:tc>
          <w:tcPr>
            <w:tcW w:w="1320" w:type="dxa"/>
            <w:tcBorders>
              <w:top w:val="nil"/>
              <w:left w:val="single" w:sz="4" w:space="0" w:color="auto"/>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i/>
                <w:iCs/>
                <w:color w:val="000000"/>
                <w:lang w:val="de-DE" w:eastAsia="de-DE"/>
              </w:rPr>
            </w:pPr>
            <w:r w:rsidRPr="0034022A">
              <w:rPr>
                <w:rFonts w:ascii="Calibri" w:eastAsia="Times New Roman" w:hAnsi="Calibri" w:cs="Times New Roman"/>
                <w:i/>
                <w:iCs/>
                <w:color w:val="000000"/>
                <w:lang w:val="de-DE" w:eastAsia="de-DE"/>
              </w:rPr>
              <w:t>LHY</w:t>
            </w:r>
          </w:p>
        </w:tc>
        <w:tc>
          <w:tcPr>
            <w:tcW w:w="1240" w:type="dxa"/>
            <w:tcBorders>
              <w:top w:val="nil"/>
              <w:left w:val="nil"/>
              <w:bottom w:val="nil"/>
              <w:right w:val="single" w:sz="4" w:space="0" w:color="auto"/>
            </w:tcBorders>
            <w:shd w:val="clear" w:color="auto" w:fill="auto"/>
            <w:noWrap/>
            <w:vAlign w:val="center"/>
            <w:hideMark/>
          </w:tcPr>
          <w:p w:rsidR="0034022A" w:rsidRPr="001F5EB3" w:rsidRDefault="0034022A" w:rsidP="0034022A">
            <w:pPr>
              <w:spacing w:after="0" w:line="240" w:lineRule="auto"/>
              <w:jc w:val="center"/>
              <w:rPr>
                <w:rFonts w:ascii="Calibri" w:eastAsia="Times New Roman" w:hAnsi="Calibri" w:cs="Times New Roman"/>
                <w:i/>
                <w:color w:val="000000"/>
                <w:lang w:val="de-DE" w:eastAsia="de-DE"/>
              </w:rPr>
            </w:pPr>
            <w:r w:rsidRPr="001F5EB3">
              <w:rPr>
                <w:rFonts w:ascii="Calibri" w:eastAsia="Times New Roman" w:hAnsi="Calibri" w:cs="Times New Roman"/>
                <w:i/>
                <w:color w:val="000000"/>
                <w:lang w:val="de-DE" w:eastAsia="de-DE"/>
              </w:rPr>
              <w:t>At1g01060</w:t>
            </w:r>
          </w:p>
        </w:tc>
        <w:tc>
          <w:tcPr>
            <w:tcW w:w="22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en-US" w:eastAsia="de-DE"/>
              </w:rPr>
            </w:pPr>
            <w:r w:rsidRPr="0034022A">
              <w:rPr>
                <w:rFonts w:ascii="Calibri" w:eastAsia="Times New Roman" w:hAnsi="Calibri" w:cs="Times New Roman"/>
                <w:color w:val="000000"/>
                <w:lang w:val="en-US" w:eastAsia="de-DE"/>
              </w:rPr>
              <w:t>myb-related transcription factor; circadian clock</w:t>
            </w:r>
          </w:p>
        </w:tc>
        <w:tc>
          <w:tcPr>
            <w:tcW w:w="17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signalling</w:t>
            </w:r>
          </w:p>
        </w:tc>
        <w:tc>
          <w:tcPr>
            <w:tcW w:w="15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ex. Pip</w:t>
            </w:r>
          </w:p>
        </w:tc>
        <w:tc>
          <w:tcPr>
            <w:tcW w:w="20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SA-independent</w:t>
            </w:r>
          </w:p>
        </w:tc>
        <w:tc>
          <w:tcPr>
            <w:tcW w:w="80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np</w:t>
            </w:r>
          </w:p>
        </w:tc>
        <w:tc>
          <w:tcPr>
            <w:tcW w:w="66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np</w:t>
            </w:r>
          </w:p>
        </w:tc>
        <w:tc>
          <w:tcPr>
            <w:tcW w:w="76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np</w:t>
            </w:r>
          </w:p>
        </w:tc>
      </w:tr>
      <w:tr w:rsidR="0034022A" w:rsidRPr="0034022A" w:rsidTr="007236D3">
        <w:trPr>
          <w:trHeight w:val="1200"/>
          <w:jc w:val="center"/>
        </w:trPr>
        <w:tc>
          <w:tcPr>
            <w:tcW w:w="1320" w:type="dxa"/>
            <w:tcBorders>
              <w:top w:val="nil"/>
              <w:left w:val="single" w:sz="4" w:space="0" w:color="auto"/>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i/>
                <w:iCs/>
                <w:color w:val="000000"/>
                <w:lang w:val="de-DE" w:eastAsia="de-DE"/>
              </w:rPr>
            </w:pPr>
            <w:r w:rsidRPr="0034022A">
              <w:rPr>
                <w:rFonts w:ascii="Calibri" w:eastAsia="Times New Roman" w:hAnsi="Calibri" w:cs="Times New Roman"/>
                <w:i/>
                <w:iCs/>
                <w:color w:val="000000"/>
                <w:lang w:val="de-DE" w:eastAsia="de-DE"/>
              </w:rPr>
              <w:t>MAPKKK18</w:t>
            </w:r>
          </w:p>
        </w:tc>
        <w:tc>
          <w:tcPr>
            <w:tcW w:w="1240" w:type="dxa"/>
            <w:tcBorders>
              <w:top w:val="nil"/>
              <w:left w:val="nil"/>
              <w:bottom w:val="nil"/>
              <w:right w:val="single" w:sz="4" w:space="0" w:color="auto"/>
            </w:tcBorders>
            <w:shd w:val="clear" w:color="auto" w:fill="auto"/>
            <w:noWrap/>
            <w:vAlign w:val="center"/>
            <w:hideMark/>
          </w:tcPr>
          <w:p w:rsidR="0034022A" w:rsidRPr="001F5EB3" w:rsidRDefault="0034022A" w:rsidP="0034022A">
            <w:pPr>
              <w:spacing w:after="0" w:line="240" w:lineRule="auto"/>
              <w:jc w:val="center"/>
              <w:rPr>
                <w:rFonts w:ascii="Calibri" w:eastAsia="Times New Roman" w:hAnsi="Calibri" w:cs="Times New Roman"/>
                <w:i/>
                <w:color w:val="000000"/>
                <w:lang w:val="de-DE" w:eastAsia="de-DE"/>
              </w:rPr>
            </w:pPr>
            <w:r w:rsidRPr="001F5EB3">
              <w:rPr>
                <w:rFonts w:ascii="Calibri" w:eastAsia="Times New Roman" w:hAnsi="Calibri" w:cs="Times New Roman"/>
                <w:i/>
                <w:color w:val="000000"/>
                <w:lang w:val="de-DE" w:eastAsia="de-DE"/>
              </w:rPr>
              <w:t>At1g05100</w:t>
            </w:r>
          </w:p>
        </w:tc>
        <w:tc>
          <w:tcPr>
            <w:tcW w:w="22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mitogen activated protein kinase kinase kinase</w:t>
            </w:r>
          </w:p>
        </w:tc>
        <w:tc>
          <w:tcPr>
            <w:tcW w:w="17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cell signalling</w:t>
            </w:r>
          </w:p>
        </w:tc>
        <w:tc>
          <w:tcPr>
            <w:tcW w:w="15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w:t>
            </w:r>
          </w:p>
        </w:tc>
        <w:tc>
          <w:tcPr>
            <w:tcW w:w="20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SA-independent</w:t>
            </w:r>
          </w:p>
        </w:tc>
        <w:tc>
          <w:tcPr>
            <w:tcW w:w="80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P</w:t>
            </w:r>
          </w:p>
        </w:tc>
        <w:tc>
          <w:tcPr>
            <w:tcW w:w="66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np</w:t>
            </w:r>
          </w:p>
        </w:tc>
        <w:tc>
          <w:tcPr>
            <w:tcW w:w="76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np</w:t>
            </w:r>
          </w:p>
        </w:tc>
      </w:tr>
      <w:tr w:rsidR="0034022A" w:rsidRPr="0034022A" w:rsidTr="007236D3">
        <w:trPr>
          <w:trHeight w:val="1200"/>
          <w:jc w:val="center"/>
        </w:trPr>
        <w:tc>
          <w:tcPr>
            <w:tcW w:w="1320" w:type="dxa"/>
            <w:tcBorders>
              <w:top w:val="nil"/>
              <w:left w:val="single" w:sz="4" w:space="0" w:color="auto"/>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i/>
                <w:iCs/>
                <w:color w:val="000000"/>
                <w:lang w:val="de-DE" w:eastAsia="de-DE"/>
              </w:rPr>
            </w:pPr>
            <w:r w:rsidRPr="0034022A">
              <w:rPr>
                <w:rFonts w:ascii="Calibri" w:eastAsia="Times New Roman" w:hAnsi="Calibri" w:cs="Times New Roman"/>
                <w:i/>
                <w:iCs/>
                <w:color w:val="000000"/>
                <w:lang w:val="de-DE" w:eastAsia="de-DE"/>
              </w:rPr>
              <w:t>MRP7</w:t>
            </w:r>
          </w:p>
        </w:tc>
        <w:tc>
          <w:tcPr>
            <w:tcW w:w="1240" w:type="dxa"/>
            <w:tcBorders>
              <w:top w:val="nil"/>
              <w:left w:val="nil"/>
              <w:bottom w:val="nil"/>
              <w:right w:val="single" w:sz="4" w:space="0" w:color="auto"/>
            </w:tcBorders>
            <w:shd w:val="clear" w:color="auto" w:fill="auto"/>
            <w:noWrap/>
            <w:vAlign w:val="center"/>
            <w:hideMark/>
          </w:tcPr>
          <w:p w:rsidR="0034022A" w:rsidRPr="001F5EB3" w:rsidRDefault="0034022A" w:rsidP="0034022A">
            <w:pPr>
              <w:spacing w:after="0" w:line="240" w:lineRule="auto"/>
              <w:jc w:val="center"/>
              <w:rPr>
                <w:rFonts w:ascii="Calibri" w:eastAsia="Times New Roman" w:hAnsi="Calibri" w:cs="Times New Roman"/>
                <w:i/>
                <w:color w:val="000000"/>
                <w:lang w:val="de-DE" w:eastAsia="de-DE"/>
              </w:rPr>
            </w:pPr>
            <w:r w:rsidRPr="001F5EB3">
              <w:rPr>
                <w:rFonts w:ascii="Calibri" w:eastAsia="Times New Roman" w:hAnsi="Calibri" w:cs="Times New Roman"/>
                <w:i/>
                <w:color w:val="000000"/>
                <w:lang w:val="de-DE" w:eastAsia="de-DE"/>
              </w:rPr>
              <w:t>At3g13100</w:t>
            </w:r>
          </w:p>
        </w:tc>
        <w:tc>
          <w:tcPr>
            <w:tcW w:w="22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en-US" w:eastAsia="de-DE"/>
              </w:rPr>
            </w:pPr>
            <w:r w:rsidRPr="0034022A">
              <w:rPr>
                <w:rFonts w:ascii="Calibri" w:eastAsia="Times New Roman" w:hAnsi="Calibri" w:cs="Times New Roman"/>
                <w:color w:val="000000"/>
                <w:lang w:val="en-US" w:eastAsia="de-DE"/>
              </w:rPr>
              <w:t xml:space="preserve">multidrug resistance-associated protein; </w:t>
            </w:r>
            <w:r w:rsidR="005F3B6E">
              <w:rPr>
                <w:rFonts w:ascii="Calibri" w:eastAsia="Times New Roman" w:hAnsi="Calibri" w:cs="Times New Roman"/>
                <w:color w:val="000000"/>
                <w:lang w:val="en-US" w:eastAsia="de-DE"/>
              </w:rPr>
              <w:t xml:space="preserve">   </w:t>
            </w:r>
            <w:r w:rsidRPr="0034022A">
              <w:rPr>
                <w:rFonts w:ascii="Calibri" w:eastAsia="Times New Roman" w:hAnsi="Calibri" w:cs="Times New Roman"/>
                <w:color w:val="000000"/>
                <w:lang w:val="en-US" w:eastAsia="de-DE"/>
              </w:rPr>
              <w:t>SA biosynthesis</w:t>
            </w:r>
          </w:p>
        </w:tc>
        <w:tc>
          <w:tcPr>
            <w:tcW w:w="17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transporter</w:t>
            </w:r>
          </w:p>
        </w:tc>
        <w:tc>
          <w:tcPr>
            <w:tcW w:w="15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en-US" w:eastAsia="de-DE"/>
              </w:rPr>
            </w:pPr>
            <w:r w:rsidRPr="0034022A">
              <w:rPr>
                <w:rFonts w:ascii="Calibri" w:eastAsia="Times New Roman" w:hAnsi="Calibri" w:cs="Times New Roman"/>
                <w:color w:val="000000"/>
                <w:lang w:val="en-US" w:eastAsia="de-DE"/>
              </w:rPr>
              <w:t xml:space="preserve">ex. Pip;                </w:t>
            </w:r>
            <w:r w:rsidRPr="0034022A">
              <w:rPr>
                <w:rFonts w:ascii="Calibri" w:eastAsia="Times New Roman" w:hAnsi="Calibri" w:cs="Times New Roman"/>
                <w:i/>
                <w:iCs/>
                <w:color w:val="000000"/>
                <w:lang w:val="en-US" w:eastAsia="de-DE"/>
              </w:rPr>
              <w:t>Psm</w:t>
            </w:r>
            <w:r w:rsidRPr="0034022A">
              <w:rPr>
                <w:rFonts w:ascii="Calibri" w:eastAsia="Times New Roman" w:hAnsi="Calibri" w:cs="Times New Roman"/>
                <w:color w:val="000000"/>
                <w:lang w:val="en-US" w:eastAsia="de-DE"/>
              </w:rPr>
              <w:t xml:space="preserve"> local; SAR</w:t>
            </w:r>
          </w:p>
        </w:tc>
        <w:tc>
          <w:tcPr>
            <w:tcW w:w="2060" w:type="dxa"/>
            <w:tcBorders>
              <w:top w:val="nil"/>
              <w:left w:val="nil"/>
              <w:bottom w:val="nil"/>
              <w:right w:val="single" w:sz="4" w:space="0" w:color="auto"/>
            </w:tcBorders>
            <w:shd w:val="clear" w:color="auto" w:fill="auto"/>
            <w:vAlign w:val="center"/>
            <w:hideMark/>
          </w:tcPr>
          <w:p w:rsidR="0034022A" w:rsidRPr="0034022A" w:rsidRDefault="00F875EB" w:rsidP="0034022A">
            <w:pPr>
              <w:spacing w:after="0" w:line="240" w:lineRule="auto"/>
              <w:jc w:val="center"/>
              <w:rPr>
                <w:rFonts w:ascii="Calibri" w:eastAsia="Times New Roman" w:hAnsi="Calibri" w:cs="Times New Roman"/>
                <w:color w:val="000000"/>
                <w:lang w:val="de-DE" w:eastAsia="de-DE"/>
              </w:rPr>
            </w:pPr>
            <w:r>
              <w:rPr>
                <w:rFonts w:ascii="Calibri" w:eastAsia="Times New Roman" w:hAnsi="Calibri" w:cs="Times New Roman"/>
                <w:color w:val="000000"/>
                <w:lang w:val="de-DE" w:eastAsia="de-DE"/>
              </w:rPr>
              <w:t>partially</w:t>
            </w:r>
            <w:r w:rsidR="0034022A" w:rsidRPr="0034022A">
              <w:rPr>
                <w:rFonts w:ascii="Calibri" w:eastAsia="Times New Roman" w:hAnsi="Calibri" w:cs="Times New Roman"/>
                <w:color w:val="000000"/>
                <w:lang w:val="de-DE" w:eastAsia="de-DE"/>
              </w:rPr>
              <w:t xml:space="preserve">                                SA-dependent</w:t>
            </w:r>
          </w:p>
        </w:tc>
        <w:tc>
          <w:tcPr>
            <w:tcW w:w="80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np</w:t>
            </w:r>
          </w:p>
        </w:tc>
        <w:tc>
          <w:tcPr>
            <w:tcW w:w="66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np</w:t>
            </w:r>
          </w:p>
        </w:tc>
        <w:tc>
          <w:tcPr>
            <w:tcW w:w="76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np</w:t>
            </w:r>
          </w:p>
        </w:tc>
      </w:tr>
      <w:tr w:rsidR="0034022A" w:rsidRPr="0034022A" w:rsidTr="007236D3">
        <w:trPr>
          <w:trHeight w:val="1200"/>
          <w:jc w:val="center"/>
        </w:trPr>
        <w:tc>
          <w:tcPr>
            <w:tcW w:w="1320" w:type="dxa"/>
            <w:tcBorders>
              <w:top w:val="nil"/>
              <w:left w:val="single" w:sz="4" w:space="0" w:color="auto"/>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i/>
                <w:iCs/>
                <w:color w:val="000000"/>
                <w:lang w:val="de-DE" w:eastAsia="de-DE"/>
              </w:rPr>
            </w:pPr>
            <w:r w:rsidRPr="0034022A">
              <w:rPr>
                <w:rFonts w:ascii="Calibri" w:eastAsia="Times New Roman" w:hAnsi="Calibri" w:cs="Times New Roman"/>
                <w:i/>
                <w:iCs/>
                <w:color w:val="000000"/>
                <w:lang w:val="de-DE" w:eastAsia="de-DE"/>
              </w:rPr>
              <w:t>MYB122</w:t>
            </w:r>
          </w:p>
        </w:tc>
        <w:tc>
          <w:tcPr>
            <w:tcW w:w="1240" w:type="dxa"/>
            <w:tcBorders>
              <w:top w:val="nil"/>
              <w:left w:val="nil"/>
              <w:bottom w:val="nil"/>
              <w:right w:val="single" w:sz="4" w:space="0" w:color="auto"/>
            </w:tcBorders>
            <w:shd w:val="clear" w:color="auto" w:fill="auto"/>
            <w:noWrap/>
            <w:vAlign w:val="center"/>
            <w:hideMark/>
          </w:tcPr>
          <w:p w:rsidR="0034022A" w:rsidRPr="001F5EB3" w:rsidRDefault="0034022A" w:rsidP="0034022A">
            <w:pPr>
              <w:spacing w:after="0" w:line="240" w:lineRule="auto"/>
              <w:jc w:val="center"/>
              <w:rPr>
                <w:rFonts w:ascii="Calibri" w:eastAsia="Times New Roman" w:hAnsi="Calibri" w:cs="Times New Roman"/>
                <w:i/>
                <w:color w:val="000000"/>
                <w:lang w:val="de-DE" w:eastAsia="de-DE"/>
              </w:rPr>
            </w:pPr>
            <w:r w:rsidRPr="001F5EB3">
              <w:rPr>
                <w:rFonts w:ascii="Calibri" w:eastAsia="Times New Roman" w:hAnsi="Calibri" w:cs="Times New Roman"/>
                <w:i/>
                <w:color w:val="000000"/>
                <w:lang w:val="de-DE" w:eastAsia="de-DE"/>
              </w:rPr>
              <w:t>At1g74080</w:t>
            </w:r>
          </w:p>
        </w:tc>
        <w:tc>
          <w:tcPr>
            <w:tcW w:w="22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en-US" w:eastAsia="de-DE"/>
              </w:rPr>
            </w:pPr>
            <w:r w:rsidRPr="0034022A">
              <w:rPr>
                <w:rFonts w:ascii="Calibri" w:eastAsia="Times New Roman" w:hAnsi="Calibri" w:cs="Times New Roman"/>
                <w:color w:val="000000"/>
                <w:lang w:val="en-US" w:eastAsia="de-DE"/>
              </w:rPr>
              <w:t>transcription factor of the R2R3 factor gene family</w:t>
            </w:r>
          </w:p>
        </w:tc>
        <w:tc>
          <w:tcPr>
            <w:tcW w:w="17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defence metabolism</w:t>
            </w:r>
          </w:p>
        </w:tc>
        <w:tc>
          <w:tcPr>
            <w:tcW w:w="15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i/>
                <w:iCs/>
                <w:color w:val="000000"/>
                <w:lang w:val="de-DE" w:eastAsia="de-DE"/>
              </w:rPr>
              <w:t>Psm</w:t>
            </w:r>
            <w:r w:rsidRPr="0034022A">
              <w:rPr>
                <w:rFonts w:ascii="Calibri" w:eastAsia="Times New Roman" w:hAnsi="Calibri" w:cs="Times New Roman"/>
                <w:color w:val="000000"/>
                <w:lang w:val="de-DE" w:eastAsia="de-DE"/>
              </w:rPr>
              <w:t xml:space="preserve"> local</w:t>
            </w:r>
          </w:p>
        </w:tc>
        <w:tc>
          <w:tcPr>
            <w:tcW w:w="2060" w:type="dxa"/>
            <w:tcBorders>
              <w:top w:val="nil"/>
              <w:left w:val="nil"/>
              <w:bottom w:val="nil"/>
              <w:right w:val="single" w:sz="4" w:space="0" w:color="auto"/>
            </w:tcBorders>
            <w:shd w:val="clear" w:color="auto" w:fill="auto"/>
            <w:vAlign w:val="center"/>
            <w:hideMark/>
          </w:tcPr>
          <w:p w:rsidR="0034022A" w:rsidRPr="0034022A" w:rsidRDefault="00F875EB" w:rsidP="0034022A">
            <w:pPr>
              <w:spacing w:after="0" w:line="240" w:lineRule="auto"/>
              <w:jc w:val="center"/>
              <w:rPr>
                <w:rFonts w:ascii="Calibri" w:eastAsia="Times New Roman" w:hAnsi="Calibri" w:cs="Times New Roman"/>
                <w:color w:val="000000"/>
                <w:lang w:val="de-DE" w:eastAsia="de-DE"/>
              </w:rPr>
            </w:pPr>
            <w:r>
              <w:rPr>
                <w:rFonts w:ascii="Calibri" w:eastAsia="Times New Roman" w:hAnsi="Calibri" w:cs="Times New Roman"/>
                <w:color w:val="000000"/>
                <w:lang w:val="de-DE" w:eastAsia="de-DE"/>
              </w:rPr>
              <w:t>partially</w:t>
            </w:r>
            <w:r w:rsidR="0034022A" w:rsidRPr="0034022A">
              <w:rPr>
                <w:rFonts w:ascii="Calibri" w:eastAsia="Times New Roman" w:hAnsi="Calibri" w:cs="Times New Roman"/>
                <w:color w:val="000000"/>
                <w:lang w:val="de-DE" w:eastAsia="de-DE"/>
              </w:rPr>
              <w:t xml:space="preserve">                                         SA-dependent</w:t>
            </w:r>
          </w:p>
        </w:tc>
        <w:tc>
          <w:tcPr>
            <w:tcW w:w="80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P</w:t>
            </w:r>
          </w:p>
        </w:tc>
        <w:tc>
          <w:tcPr>
            <w:tcW w:w="66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np</w:t>
            </w:r>
          </w:p>
        </w:tc>
        <w:tc>
          <w:tcPr>
            <w:tcW w:w="76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np</w:t>
            </w:r>
          </w:p>
        </w:tc>
      </w:tr>
      <w:tr w:rsidR="0034022A" w:rsidRPr="0034022A" w:rsidTr="007236D3">
        <w:trPr>
          <w:trHeight w:val="1200"/>
          <w:jc w:val="center"/>
        </w:trPr>
        <w:tc>
          <w:tcPr>
            <w:tcW w:w="1320" w:type="dxa"/>
            <w:tcBorders>
              <w:top w:val="nil"/>
              <w:left w:val="single" w:sz="4" w:space="0" w:color="auto"/>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i/>
                <w:iCs/>
                <w:color w:val="000000"/>
                <w:lang w:val="de-DE" w:eastAsia="de-DE"/>
              </w:rPr>
            </w:pPr>
            <w:r w:rsidRPr="0034022A">
              <w:rPr>
                <w:rFonts w:ascii="Calibri" w:eastAsia="Times New Roman" w:hAnsi="Calibri" w:cs="Times New Roman"/>
                <w:i/>
                <w:iCs/>
                <w:color w:val="000000"/>
                <w:lang w:val="de-DE" w:eastAsia="de-DE"/>
              </w:rPr>
              <w:lastRenderedPageBreak/>
              <w:t>NCED5</w:t>
            </w:r>
          </w:p>
        </w:tc>
        <w:tc>
          <w:tcPr>
            <w:tcW w:w="1240" w:type="dxa"/>
            <w:tcBorders>
              <w:top w:val="nil"/>
              <w:left w:val="nil"/>
              <w:bottom w:val="nil"/>
              <w:right w:val="single" w:sz="4" w:space="0" w:color="auto"/>
            </w:tcBorders>
            <w:shd w:val="clear" w:color="auto" w:fill="auto"/>
            <w:noWrap/>
            <w:vAlign w:val="center"/>
            <w:hideMark/>
          </w:tcPr>
          <w:p w:rsidR="0034022A" w:rsidRPr="001F5EB3" w:rsidRDefault="0034022A" w:rsidP="0034022A">
            <w:pPr>
              <w:spacing w:after="0" w:line="240" w:lineRule="auto"/>
              <w:jc w:val="center"/>
              <w:rPr>
                <w:rFonts w:ascii="Calibri" w:eastAsia="Times New Roman" w:hAnsi="Calibri" w:cs="Times New Roman"/>
                <w:i/>
                <w:color w:val="000000"/>
                <w:lang w:val="de-DE" w:eastAsia="de-DE"/>
              </w:rPr>
            </w:pPr>
            <w:r w:rsidRPr="001F5EB3">
              <w:rPr>
                <w:rFonts w:ascii="Calibri" w:eastAsia="Times New Roman" w:hAnsi="Calibri" w:cs="Times New Roman"/>
                <w:i/>
                <w:color w:val="000000"/>
                <w:lang w:val="de-DE" w:eastAsia="de-DE"/>
              </w:rPr>
              <w:t>At1g30100</w:t>
            </w:r>
          </w:p>
        </w:tc>
        <w:tc>
          <w:tcPr>
            <w:tcW w:w="22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9-</w:t>
            </w:r>
            <w:r w:rsidRPr="0034022A">
              <w:rPr>
                <w:rFonts w:ascii="Calibri" w:eastAsia="Times New Roman" w:hAnsi="Calibri" w:cs="Times New Roman"/>
                <w:i/>
                <w:iCs/>
                <w:color w:val="000000"/>
                <w:lang w:val="de-DE" w:eastAsia="de-DE"/>
              </w:rPr>
              <w:t>cis</w:t>
            </w:r>
            <w:r w:rsidRPr="0034022A">
              <w:rPr>
                <w:rFonts w:ascii="Calibri" w:eastAsia="Times New Roman" w:hAnsi="Calibri" w:cs="Times New Roman"/>
                <w:color w:val="000000"/>
                <w:lang w:val="de-DE" w:eastAsia="de-DE"/>
              </w:rPr>
              <w:t>-epoxycarotenoid dioxygenase</w:t>
            </w:r>
          </w:p>
        </w:tc>
        <w:tc>
          <w:tcPr>
            <w:tcW w:w="17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metabolism</w:t>
            </w:r>
          </w:p>
        </w:tc>
        <w:tc>
          <w:tcPr>
            <w:tcW w:w="15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i/>
                <w:iCs/>
                <w:color w:val="000000"/>
                <w:lang w:val="de-DE" w:eastAsia="de-DE"/>
              </w:rPr>
              <w:t>Psm</w:t>
            </w:r>
            <w:r w:rsidRPr="0034022A">
              <w:rPr>
                <w:rFonts w:ascii="Calibri" w:eastAsia="Times New Roman" w:hAnsi="Calibri" w:cs="Times New Roman"/>
                <w:color w:val="000000"/>
                <w:lang w:val="de-DE" w:eastAsia="de-DE"/>
              </w:rPr>
              <w:t xml:space="preserve"> local</w:t>
            </w:r>
          </w:p>
        </w:tc>
        <w:tc>
          <w:tcPr>
            <w:tcW w:w="2060" w:type="dxa"/>
            <w:tcBorders>
              <w:top w:val="nil"/>
              <w:left w:val="nil"/>
              <w:bottom w:val="nil"/>
              <w:right w:val="single" w:sz="4" w:space="0" w:color="auto"/>
            </w:tcBorders>
            <w:shd w:val="clear" w:color="auto" w:fill="auto"/>
            <w:vAlign w:val="center"/>
            <w:hideMark/>
          </w:tcPr>
          <w:p w:rsidR="0034022A" w:rsidRPr="0034022A" w:rsidRDefault="00F875EB" w:rsidP="0034022A">
            <w:pPr>
              <w:spacing w:after="0" w:line="240" w:lineRule="auto"/>
              <w:jc w:val="center"/>
              <w:rPr>
                <w:rFonts w:ascii="Calibri" w:eastAsia="Times New Roman" w:hAnsi="Calibri" w:cs="Times New Roman"/>
                <w:color w:val="000000"/>
                <w:lang w:val="de-DE" w:eastAsia="de-DE"/>
              </w:rPr>
            </w:pPr>
            <w:r>
              <w:rPr>
                <w:rFonts w:ascii="Calibri" w:eastAsia="Times New Roman" w:hAnsi="Calibri" w:cs="Times New Roman"/>
                <w:color w:val="000000"/>
                <w:lang w:val="de-DE" w:eastAsia="de-DE"/>
              </w:rPr>
              <w:t>partially</w:t>
            </w:r>
            <w:r w:rsidR="0034022A" w:rsidRPr="0034022A">
              <w:rPr>
                <w:rFonts w:ascii="Calibri" w:eastAsia="Times New Roman" w:hAnsi="Calibri" w:cs="Times New Roman"/>
                <w:color w:val="000000"/>
                <w:lang w:val="de-DE" w:eastAsia="de-DE"/>
              </w:rPr>
              <w:t xml:space="preserve">                                  SA-dependent</w:t>
            </w:r>
          </w:p>
        </w:tc>
        <w:tc>
          <w:tcPr>
            <w:tcW w:w="80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np</w:t>
            </w:r>
          </w:p>
        </w:tc>
        <w:tc>
          <w:tcPr>
            <w:tcW w:w="66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np</w:t>
            </w:r>
          </w:p>
        </w:tc>
        <w:tc>
          <w:tcPr>
            <w:tcW w:w="76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np</w:t>
            </w:r>
          </w:p>
        </w:tc>
      </w:tr>
      <w:tr w:rsidR="0034022A" w:rsidRPr="0034022A" w:rsidTr="007236D3">
        <w:trPr>
          <w:trHeight w:val="1200"/>
          <w:jc w:val="center"/>
        </w:trPr>
        <w:tc>
          <w:tcPr>
            <w:tcW w:w="1320" w:type="dxa"/>
            <w:tcBorders>
              <w:top w:val="nil"/>
              <w:left w:val="single" w:sz="4" w:space="0" w:color="auto"/>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i/>
                <w:iCs/>
                <w:color w:val="000000"/>
                <w:lang w:val="de-DE" w:eastAsia="de-DE"/>
              </w:rPr>
            </w:pPr>
            <w:r w:rsidRPr="0034022A">
              <w:rPr>
                <w:rFonts w:ascii="Calibri" w:eastAsia="Times New Roman" w:hAnsi="Calibri" w:cs="Times New Roman"/>
                <w:i/>
                <w:iCs/>
                <w:color w:val="000000"/>
                <w:lang w:val="de-DE" w:eastAsia="de-DE"/>
              </w:rPr>
              <w:t>NPR1</w:t>
            </w:r>
          </w:p>
        </w:tc>
        <w:tc>
          <w:tcPr>
            <w:tcW w:w="1240" w:type="dxa"/>
            <w:tcBorders>
              <w:top w:val="nil"/>
              <w:left w:val="nil"/>
              <w:bottom w:val="nil"/>
              <w:right w:val="single" w:sz="4" w:space="0" w:color="auto"/>
            </w:tcBorders>
            <w:shd w:val="clear" w:color="auto" w:fill="auto"/>
            <w:noWrap/>
            <w:vAlign w:val="center"/>
            <w:hideMark/>
          </w:tcPr>
          <w:p w:rsidR="0034022A" w:rsidRPr="001F5EB3" w:rsidRDefault="0034022A" w:rsidP="0034022A">
            <w:pPr>
              <w:spacing w:after="0" w:line="240" w:lineRule="auto"/>
              <w:jc w:val="center"/>
              <w:rPr>
                <w:rFonts w:ascii="Calibri" w:eastAsia="Times New Roman" w:hAnsi="Calibri" w:cs="Times New Roman"/>
                <w:i/>
                <w:color w:val="000000"/>
                <w:lang w:val="de-DE" w:eastAsia="de-DE"/>
              </w:rPr>
            </w:pPr>
            <w:r w:rsidRPr="001F5EB3">
              <w:rPr>
                <w:rFonts w:ascii="Calibri" w:eastAsia="Times New Roman" w:hAnsi="Calibri" w:cs="Times New Roman"/>
                <w:i/>
                <w:color w:val="000000"/>
                <w:lang w:val="de-DE" w:eastAsia="de-DE"/>
              </w:rPr>
              <w:t>At1g64280</w:t>
            </w:r>
          </w:p>
        </w:tc>
        <w:tc>
          <w:tcPr>
            <w:tcW w:w="22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en-US" w:eastAsia="de-DE"/>
              </w:rPr>
            </w:pPr>
            <w:r w:rsidRPr="0034022A">
              <w:rPr>
                <w:rFonts w:ascii="Calibri" w:eastAsia="Times New Roman" w:hAnsi="Calibri" w:cs="Times New Roman"/>
                <w:color w:val="000000"/>
                <w:lang w:val="en-US" w:eastAsia="de-DE"/>
              </w:rPr>
              <w:t>key regulator of SA-mediated SAR pathway</w:t>
            </w:r>
          </w:p>
        </w:tc>
        <w:tc>
          <w:tcPr>
            <w:tcW w:w="17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signalling</w:t>
            </w:r>
          </w:p>
        </w:tc>
        <w:tc>
          <w:tcPr>
            <w:tcW w:w="15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ex. Pip; SAR</w:t>
            </w:r>
          </w:p>
        </w:tc>
        <w:tc>
          <w:tcPr>
            <w:tcW w:w="20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SA-dependent</w:t>
            </w:r>
          </w:p>
        </w:tc>
        <w:tc>
          <w:tcPr>
            <w:tcW w:w="80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np</w:t>
            </w:r>
          </w:p>
        </w:tc>
        <w:tc>
          <w:tcPr>
            <w:tcW w:w="66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np</w:t>
            </w:r>
          </w:p>
        </w:tc>
        <w:tc>
          <w:tcPr>
            <w:tcW w:w="76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np</w:t>
            </w:r>
          </w:p>
        </w:tc>
      </w:tr>
      <w:tr w:rsidR="0034022A" w:rsidRPr="0034022A" w:rsidTr="007236D3">
        <w:trPr>
          <w:trHeight w:val="1200"/>
          <w:jc w:val="center"/>
        </w:trPr>
        <w:tc>
          <w:tcPr>
            <w:tcW w:w="1320" w:type="dxa"/>
            <w:tcBorders>
              <w:top w:val="nil"/>
              <w:left w:val="single" w:sz="4" w:space="0" w:color="auto"/>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i/>
                <w:iCs/>
                <w:color w:val="000000"/>
                <w:lang w:val="de-DE" w:eastAsia="de-DE"/>
              </w:rPr>
            </w:pPr>
            <w:r w:rsidRPr="0034022A">
              <w:rPr>
                <w:rFonts w:ascii="Calibri" w:eastAsia="Times New Roman" w:hAnsi="Calibri" w:cs="Times New Roman"/>
                <w:i/>
                <w:iCs/>
                <w:color w:val="000000"/>
                <w:lang w:val="de-DE" w:eastAsia="de-DE"/>
              </w:rPr>
              <w:t>NPR3</w:t>
            </w:r>
          </w:p>
        </w:tc>
        <w:tc>
          <w:tcPr>
            <w:tcW w:w="1240" w:type="dxa"/>
            <w:tcBorders>
              <w:top w:val="nil"/>
              <w:left w:val="nil"/>
              <w:bottom w:val="nil"/>
              <w:right w:val="single" w:sz="4" w:space="0" w:color="auto"/>
            </w:tcBorders>
            <w:shd w:val="clear" w:color="auto" w:fill="auto"/>
            <w:noWrap/>
            <w:vAlign w:val="center"/>
            <w:hideMark/>
          </w:tcPr>
          <w:p w:rsidR="0034022A" w:rsidRPr="001F5EB3" w:rsidRDefault="0034022A" w:rsidP="0034022A">
            <w:pPr>
              <w:spacing w:after="0" w:line="240" w:lineRule="auto"/>
              <w:jc w:val="center"/>
              <w:rPr>
                <w:rFonts w:ascii="Calibri" w:eastAsia="Times New Roman" w:hAnsi="Calibri" w:cs="Times New Roman"/>
                <w:i/>
                <w:color w:val="000000"/>
                <w:lang w:val="de-DE" w:eastAsia="de-DE"/>
              </w:rPr>
            </w:pPr>
            <w:r w:rsidRPr="001F5EB3">
              <w:rPr>
                <w:rFonts w:ascii="Calibri" w:eastAsia="Times New Roman" w:hAnsi="Calibri" w:cs="Times New Roman"/>
                <w:i/>
                <w:color w:val="000000"/>
                <w:lang w:val="de-DE" w:eastAsia="de-DE"/>
              </w:rPr>
              <w:t>At5g45110</w:t>
            </w:r>
          </w:p>
        </w:tc>
        <w:tc>
          <w:tcPr>
            <w:tcW w:w="2260" w:type="dxa"/>
            <w:tcBorders>
              <w:top w:val="nil"/>
              <w:left w:val="nil"/>
              <w:bottom w:val="nil"/>
              <w:right w:val="single" w:sz="4" w:space="0" w:color="auto"/>
            </w:tcBorders>
            <w:shd w:val="clear" w:color="auto" w:fill="auto"/>
            <w:vAlign w:val="center"/>
            <w:hideMark/>
          </w:tcPr>
          <w:p w:rsidR="0034022A" w:rsidRPr="0034022A" w:rsidRDefault="00862CE6" w:rsidP="0034022A">
            <w:pPr>
              <w:spacing w:after="0" w:line="240" w:lineRule="auto"/>
              <w:jc w:val="center"/>
              <w:rPr>
                <w:rFonts w:ascii="Calibri" w:eastAsia="Times New Roman" w:hAnsi="Calibri" w:cs="Times New Roman"/>
                <w:color w:val="000000"/>
                <w:lang w:val="de-DE" w:eastAsia="de-DE"/>
              </w:rPr>
            </w:pPr>
            <w:r>
              <w:rPr>
                <w:rFonts w:ascii="Calibri" w:eastAsia="Times New Roman" w:hAnsi="Calibri" w:cs="Times New Roman"/>
                <w:color w:val="000000"/>
                <w:lang w:val="de-DE" w:eastAsia="de-DE"/>
              </w:rPr>
              <w:t>SA-receptor</w:t>
            </w:r>
          </w:p>
        </w:tc>
        <w:tc>
          <w:tcPr>
            <w:tcW w:w="17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signalling</w:t>
            </w:r>
          </w:p>
        </w:tc>
        <w:tc>
          <w:tcPr>
            <w:tcW w:w="15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en-US" w:eastAsia="de-DE"/>
              </w:rPr>
            </w:pPr>
            <w:r w:rsidRPr="0034022A">
              <w:rPr>
                <w:rFonts w:ascii="Calibri" w:eastAsia="Times New Roman" w:hAnsi="Calibri" w:cs="Times New Roman"/>
                <w:color w:val="000000"/>
                <w:lang w:val="en-US" w:eastAsia="de-DE"/>
              </w:rPr>
              <w:t xml:space="preserve">ex. Pip;                   </w:t>
            </w:r>
            <w:r w:rsidRPr="0034022A">
              <w:rPr>
                <w:rFonts w:ascii="Calibri" w:eastAsia="Times New Roman" w:hAnsi="Calibri" w:cs="Times New Roman"/>
                <w:i/>
                <w:iCs/>
                <w:color w:val="000000"/>
                <w:lang w:val="en-US" w:eastAsia="de-DE"/>
              </w:rPr>
              <w:t xml:space="preserve">Psm </w:t>
            </w:r>
            <w:r w:rsidRPr="0034022A">
              <w:rPr>
                <w:rFonts w:ascii="Calibri" w:eastAsia="Times New Roman" w:hAnsi="Calibri" w:cs="Times New Roman"/>
                <w:color w:val="000000"/>
                <w:lang w:val="en-US" w:eastAsia="de-DE"/>
              </w:rPr>
              <w:t>local; SAR</w:t>
            </w:r>
          </w:p>
        </w:tc>
        <w:tc>
          <w:tcPr>
            <w:tcW w:w="20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SA-dependent</w:t>
            </w:r>
          </w:p>
        </w:tc>
        <w:tc>
          <w:tcPr>
            <w:tcW w:w="80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np</w:t>
            </w:r>
          </w:p>
        </w:tc>
        <w:tc>
          <w:tcPr>
            <w:tcW w:w="66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np</w:t>
            </w:r>
          </w:p>
        </w:tc>
        <w:tc>
          <w:tcPr>
            <w:tcW w:w="76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np</w:t>
            </w:r>
          </w:p>
        </w:tc>
      </w:tr>
      <w:tr w:rsidR="0034022A" w:rsidRPr="0034022A" w:rsidTr="007236D3">
        <w:trPr>
          <w:trHeight w:val="1200"/>
          <w:jc w:val="center"/>
        </w:trPr>
        <w:tc>
          <w:tcPr>
            <w:tcW w:w="1320" w:type="dxa"/>
            <w:tcBorders>
              <w:top w:val="nil"/>
              <w:left w:val="single" w:sz="4" w:space="0" w:color="auto"/>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i/>
                <w:iCs/>
                <w:color w:val="000000"/>
                <w:lang w:val="de-DE" w:eastAsia="de-DE"/>
              </w:rPr>
            </w:pPr>
            <w:r w:rsidRPr="0034022A">
              <w:rPr>
                <w:rFonts w:ascii="Calibri" w:eastAsia="Times New Roman" w:hAnsi="Calibri" w:cs="Times New Roman"/>
                <w:i/>
                <w:iCs/>
                <w:color w:val="000000"/>
                <w:lang w:val="de-DE" w:eastAsia="de-DE"/>
              </w:rPr>
              <w:t>NPR4</w:t>
            </w:r>
          </w:p>
        </w:tc>
        <w:tc>
          <w:tcPr>
            <w:tcW w:w="1240" w:type="dxa"/>
            <w:tcBorders>
              <w:top w:val="nil"/>
              <w:left w:val="nil"/>
              <w:bottom w:val="nil"/>
              <w:right w:val="single" w:sz="4" w:space="0" w:color="auto"/>
            </w:tcBorders>
            <w:shd w:val="clear" w:color="auto" w:fill="auto"/>
            <w:noWrap/>
            <w:vAlign w:val="center"/>
            <w:hideMark/>
          </w:tcPr>
          <w:p w:rsidR="0034022A" w:rsidRPr="001F5EB3" w:rsidRDefault="0034022A" w:rsidP="0034022A">
            <w:pPr>
              <w:spacing w:after="0" w:line="240" w:lineRule="auto"/>
              <w:jc w:val="center"/>
              <w:rPr>
                <w:rFonts w:ascii="Calibri" w:eastAsia="Times New Roman" w:hAnsi="Calibri" w:cs="Times New Roman"/>
                <w:i/>
                <w:color w:val="000000"/>
                <w:lang w:val="de-DE" w:eastAsia="de-DE"/>
              </w:rPr>
            </w:pPr>
            <w:r w:rsidRPr="001F5EB3">
              <w:rPr>
                <w:rFonts w:ascii="Calibri" w:eastAsia="Times New Roman" w:hAnsi="Calibri" w:cs="Times New Roman"/>
                <w:i/>
                <w:color w:val="000000"/>
                <w:lang w:val="de-DE" w:eastAsia="de-DE"/>
              </w:rPr>
              <w:t>At4g19660</w:t>
            </w:r>
          </w:p>
        </w:tc>
        <w:tc>
          <w:tcPr>
            <w:tcW w:w="22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en-US" w:eastAsia="de-DE"/>
              </w:rPr>
            </w:pPr>
            <w:r w:rsidRPr="0034022A">
              <w:rPr>
                <w:rFonts w:ascii="Calibri" w:eastAsia="Times New Roman" w:hAnsi="Calibri" w:cs="Times New Roman"/>
                <w:color w:val="000000"/>
                <w:lang w:val="en-US" w:eastAsia="de-DE"/>
              </w:rPr>
              <w:t xml:space="preserve">required for basal resistance in </w:t>
            </w:r>
            <w:r w:rsidRPr="0034022A">
              <w:rPr>
                <w:rFonts w:ascii="Calibri" w:eastAsia="Times New Roman" w:hAnsi="Calibri" w:cs="Times New Roman"/>
                <w:i/>
                <w:iCs/>
                <w:color w:val="000000"/>
                <w:lang w:val="en-US" w:eastAsia="de-DE"/>
              </w:rPr>
              <w:t>A.thaliana</w:t>
            </w:r>
            <w:r w:rsidRPr="0034022A">
              <w:rPr>
                <w:rFonts w:ascii="Calibri" w:eastAsia="Times New Roman" w:hAnsi="Calibri" w:cs="Times New Roman"/>
                <w:color w:val="000000"/>
                <w:lang w:val="en-US" w:eastAsia="de-DE"/>
              </w:rPr>
              <w:t xml:space="preserve">; </w:t>
            </w:r>
            <w:r w:rsidR="00862CE6">
              <w:rPr>
                <w:rFonts w:ascii="Calibri" w:eastAsia="Times New Roman" w:hAnsi="Calibri" w:cs="Times New Roman"/>
                <w:color w:val="000000"/>
                <w:lang w:val="en-US" w:eastAsia="de-DE"/>
              </w:rPr>
              <w:t>SA-receptor</w:t>
            </w:r>
          </w:p>
        </w:tc>
        <w:tc>
          <w:tcPr>
            <w:tcW w:w="17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defence signalling</w:t>
            </w:r>
          </w:p>
        </w:tc>
        <w:tc>
          <w:tcPr>
            <w:tcW w:w="15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SAR</w:t>
            </w:r>
          </w:p>
        </w:tc>
        <w:tc>
          <w:tcPr>
            <w:tcW w:w="20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SA-dependent</w:t>
            </w:r>
          </w:p>
        </w:tc>
        <w:tc>
          <w:tcPr>
            <w:tcW w:w="80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np</w:t>
            </w:r>
          </w:p>
        </w:tc>
        <w:tc>
          <w:tcPr>
            <w:tcW w:w="66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np</w:t>
            </w:r>
          </w:p>
        </w:tc>
        <w:tc>
          <w:tcPr>
            <w:tcW w:w="76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np</w:t>
            </w:r>
          </w:p>
        </w:tc>
      </w:tr>
      <w:tr w:rsidR="0034022A" w:rsidRPr="0034022A" w:rsidTr="007236D3">
        <w:trPr>
          <w:trHeight w:val="1200"/>
          <w:jc w:val="center"/>
        </w:trPr>
        <w:tc>
          <w:tcPr>
            <w:tcW w:w="1320" w:type="dxa"/>
            <w:tcBorders>
              <w:top w:val="nil"/>
              <w:left w:val="single" w:sz="4" w:space="0" w:color="auto"/>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i/>
                <w:iCs/>
                <w:color w:val="000000"/>
                <w:lang w:val="de-DE" w:eastAsia="de-DE"/>
              </w:rPr>
            </w:pPr>
            <w:r w:rsidRPr="0034022A">
              <w:rPr>
                <w:rFonts w:ascii="Calibri" w:eastAsia="Times New Roman" w:hAnsi="Calibri" w:cs="Times New Roman"/>
                <w:i/>
                <w:iCs/>
                <w:color w:val="000000"/>
                <w:lang w:val="de-DE" w:eastAsia="de-DE"/>
              </w:rPr>
              <w:t>PAD3</w:t>
            </w:r>
          </w:p>
        </w:tc>
        <w:tc>
          <w:tcPr>
            <w:tcW w:w="1240" w:type="dxa"/>
            <w:tcBorders>
              <w:top w:val="nil"/>
              <w:left w:val="nil"/>
              <w:bottom w:val="nil"/>
              <w:right w:val="single" w:sz="4" w:space="0" w:color="auto"/>
            </w:tcBorders>
            <w:shd w:val="clear" w:color="auto" w:fill="auto"/>
            <w:noWrap/>
            <w:vAlign w:val="center"/>
            <w:hideMark/>
          </w:tcPr>
          <w:p w:rsidR="0034022A" w:rsidRPr="001F5EB3" w:rsidRDefault="0034022A" w:rsidP="0034022A">
            <w:pPr>
              <w:spacing w:after="0" w:line="240" w:lineRule="auto"/>
              <w:jc w:val="center"/>
              <w:rPr>
                <w:rFonts w:ascii="Calibri" w:eastAsia="Times New Roman" w:hAnsi="Calibri" w:cs="Times New Roman"/>
                <w:i/>
                <w:color w:val="000000"/>
                <w:lang w:val="de-DE" w:eastAsia="de-DE"/>
              </w:rPr>
            </w:pPr>
            <w:r w:rsidRPr="001F5EB3">
              <w:rPr>
                <w:rFonts w:ascii="Calibri" w:eastAsia="Times New Roman" w:hAnsi="Calibri" w:cs="Times New Roman"/>
                <w:i/>
                <w:color w:val="000000"/>
                <w:lang w:val="de-DE" w:eastAsia="de-DE"/>
              </w:rPr>
              <w:t>At3g26830</w:t>
            </w:r>
          </w:p>
        </w:tc>
        <w:tc>
          <w:tcPr>
            <w:tcW w:w="22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camalexin biosynthesis</w:t>
            </w:r>
          </w:p>
        </w:tc>
        <w:tc>
          <w:tcPr>
            <w:tcW w:w="17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defence metabolism</w:t>
            </w:r>
          </w:p>
        </w:tc>
        <w:tc>
          <w:tcPr>
            <w:tcW w:w="15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en-US" w:eastAsia="de-DE"/>
              </w:rPr>
            </w:pPr>
            <w:r w:rsidRPr="0034022A">
              <w:rPr>
                <w:rFonts w:ascii="Calibri" w:eastAsia="Times New Roman" w:hAnsi="Calibri" w:cs="Times New Roman"/>
                <w:color w:val="000000"/>
                <w:lang w:val="en-US" w:eastAsia="de-DE"/>
              </w:rPr>
              <w:t xml:space="preserve">ex. Pip;                               </w:t>
            </w:r>
            <w:r w:rsidRPr="0034022A">
              <w:rPr>
                <w:rFonts w:ascii="Calibri" w:eastAsia="Times New Roman" w:hAnsi="Calibri" w:cs="Times New Roman"/>
                <w:i/>
                <w:iCs/>
                <w:color w:val="000000"/>
                <w:lang w:val="en-US" w:eastAsia="de-DE"/>
              </w:rPr>
              <w:t>Psm</w:t>
            </w:r>
            <w:r w:rsidRPr="0034022A">
              <w:rPr>
                <w:rFonts w:ascii="Calibri" w:eastAsia="Times New Roman" w:hAnsi="Calibri" w:cs="Times New Roman"/>
                <w:color w:val="000000"/>
                <w:lang w:val="en-US" w:eastAsia="de-DE"/>
              </w:rPr>
              <w:t xml:space="preserve"> local; SAR</w:t>
            </w:r>
          </w:p>
        </w:tc>
        <w:tc>
          <w:tcPr>
            <w:tcW w:w="20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SA-independent</w:t>
            </w:r>
          </w:p>
        </w:tc>
        <w:tc>
          <w:tcPr>
            <w:tcW w:w="80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P</w:t>
            </w:r>
          </w:p>
        </w:tc>
        <w:tc>
          <w:tcPr>
            <w:tcW w:w="660" w:type="dxa"/>
            <w:tcBorders>
              <w:top w:val="nil"/>
              <w:left w:val="nil"/>
              <w:bottom w:val="nil"/>
              <w:right w:val="single" w:sz="4" w:space="0" w:color="auto"/>
            </w:tcBorders>
            <w:shd w:val="clear" w:color="auto" w:fill="auto"/>
            <w:noWrap/>
            <w:vAlign w:val="center"/>
            <w:hideMark/>
          </w:tcPr>
          <w:p w:rsidR="0034022A" w:rsidRPr="0034022A" w:rsidRDefault="00C32DD0" w:rsidP="0034022A">
            <w:pPr>
              <w:spacing w:after="0" w:line="240" w:lineRule="auto"/>
              <w:jc w:val="center"/>
              <w:rPr>
                <w:rFonts w:ascii="Calibri" w:eastAsia="Times New Roman" w:hAnsi="Calibri" w:cs="Times New Roman"/>
                <w:color w:val="000000"/>
                <w:lang w:val="de-DE" w:eastAsia="de-DE"/>
              </w:rPr>
            </w:pPr>
            <w:r>
              <w:rPr>
                <w:rFonts w:ascii="Calibri" w:eastAsia="Times New Roman" w:hAnsi="Calibri" w:cs="Times New Roman"/>
                <w:color w:val="000000"/>
                <w:lang w:val="de-DE" w:eastAsia="de-DE"/>
              </w:rPr>
              <w:t>np</w:t>
            </w:r>
          </w:p>
        </w:tc>
        <w:tc>
          <w:tcPr>
            <w:tcW w:w="76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np</w:t>
            </w:r>
          </w:p>
        </w:tc>
      </w:tr>
      <w:tr w:rsidR="0034022A" w:rsidRPr="0034022A" w:rsidTr="007236D3">
        <w:trPr>
          <w:trHeight w:val="1200"/>
          <w:jc w:val="center"/>
        </w:trPr>
        <w:tc>
          <w:tcPr>
            <w:tcW w:w="1320" w:type="dxa"/>
            <w:tcBorders>
              <w:top w:val="nil"/>
              <w:left w:val="single" w:sz="4" w:space="0" w:color="auto"/>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i/>
                <w:iCs/>
                <w:color w:val="000000"/>
                <w:lang w:val="de-DE" w:eastAsia="de-DE"/>
              </w:rPr>
            </w:pPr>
            <w:r w:rsidRPr="0034022A">
              <w:rPr>
                <w:rFonts w:ascii="Calibri" w:eastAsia="Times New Roman" w:hAnsi="Calibri" w:cs="Times New Roman"/>
                <w:i/>
                <w:iCs/>
                <w:color w:val="000000"/>
                <w:lang w:val="de-DE" w:eastAsia="de-DE"/>
              </w:rPr>
              <w:t>PBS3</w:t>
            </w:r>
          </w:p>
        </w:tc>
        <w:tc>
          <w:tcPr>
            <w:tcW w:w="1240" w:type="dxa"/>
            <w:tcBorders>
              <w:top w:val="nil"/>
              <w:left w:val="nil"/>
              <w:bottom w:val="nil"/>
              <w:right w:val="single" w:sz="4" w:space="0" w:color="auto"/>
            </w:tcBorders>
            <w:shd w:val="clear" w:color="auto" w:fill="auto"/>
            <w:noWrap/>
            <w:vAlign w:val="center"/>
            <w:hideMark/>
          </w:tcPr>
          <w:p w:rsidR="0034022A" w:rsidRPr="001F5EB3" w:rsidRDefault="0034022A" w:rsidP="0034022A">
            <w:pPr>
              <w:spacing w:after="0" w:line="240" w:lineRule="auto"/>
              <w:jc w:val="center"/>
              <w:rPr>
                <w:rFonts w:ascii="Calibri" w:eastAsia="Times New Roman" w:hAnsi="Calibri" w:cs="Times New Roman"/>
                <w:i/>
                <w:color w:val="000000"/>
                <w:lang w:val="de-DE" w:eastAsia="de-DE"/>
              </w:rPr>
            </w:pPr>
            <w:r w:rsidRPr="001F5EB3">
              <w:rPr>
                <w:rFonts w:ascii="Calibri" w:eastAsia="Times New Roman" w:hAnsi="Calibri" w:cs="Times New Roman"/>
                <w:i/>
                <w:color w:val="000000"/>
                <w:lang w:val="de-DE" w:eastAsia="de-DE"/>
              </w:rPr>
              <w:t>At5g13320</w:t>
            </w:r>
          </w:p>
        </w:tc>
        <w:tc>
          <w:tcPr>
            <w:tcW w:w="22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en-US" w:eastAsia="de-DE"/>
              </w:rPr>
            </w:pPr>
            <w:r w:rsidRPr="0034022A">
              <w:rPr>
                <w:rFonts w:ascii="Calibri" w:eastAsia="Times New Roman" w:hAnsi="Calibri" w:cs="Times New Roman"/>
                <w:color w:val="000000"/>
                <w:lang w:val="en-US" w:eastAsia="de-DE"/>
              </w:rPr>
              <w:t>conjugates amino acids to 4-substituted benzoates</w:t>
            </w:r>
          </w:p>
        </w:tc>
        <w:tc>
          <w:tcPr>
            <w:tcW w:w="17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signalling/          defence metabolism</w:t>
            </w:r>
          </w:p>
        </w:tc>
        <w:tc>
          <w:tcPr>
            <w:tcW w:w="15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en-US" w:eastAsia="de-DE"/>
              </w:rPr>
            </w:pPr>
            <w:r w:rsidRPr="0034022A">
              <w:rPr>
                <w:rFonts w:ascii="Calibri" w:eastAsia="Times New Roman" w:hAnsi="Calibri" w:cs="Times New Roman"/>
                <w:color w:val="000000"/>
                <w:lang w:val="en-US" w:eastAsia="de-DE"/>
              </w:rPr>
              <w:t xml:space="preserve">ex. Pip;                   </w:t>
            </w:r>
            <w:r w:rsidRPr="0034022A">
              <w:rPr>
                <w:rFonts w:ascii="Calibri" w:eastAsia="Times New Roman" w:hAnsi="Calibri" w:cs="Times New Roman"/>
                <w:i/>
                <w:iCs/>
                <w:color w:val="000000"/>
                <w:lang w:val="en-US" w:eastAsia="de-DE"/>
              </w:rPr>
              <w:t>Psm</w:t>
            </w:r>
            <w:r w:rsidRPr="0034022A">
              <w:rPr>
                <w:rFonts w:ascii="Calibri" w:eastAsia="Times New Roman" w:hAnsi="Calibri" w:cs="Times New Roman"/>
                <w:color w:val="000000"/>
                <w:lang w:val="en-US" w:eastAsia="de-DE"/>
              </w:rPr>
              <w:t xml:space="preserve"> local; SAR</w:t>
            </w:r>
          </w:p>
        </w:tc>
        <w:tc>
          <w:tcPr>
            <w:tcW w:w="20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SA-independent</w:t>
            </w:r>
          </w:p>
        </w:tc>
        <w:tc>
          <w:tcPr>
            <w:tcW w:w="80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np</w:t>
            </w:r>
          </w:p>
        </w:tc>
        <w:tc>
          <w:tcPr>
            <w:tcW w:w="66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np</w:t>
            </w:r>
          </w:p>
        </w:tc>
        <w:tc>
          <w:tcPr>
            <w:tcW w:w="76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np</w:t>
            </w:r>
          </w:p>
        </w:tc>
      </w:tr>
      <w:tr w:rsidR="0034022A" w:rsidRPr="0034022A" w:rsidTr="007236D3">
        <w:trPr>
          <w:trHeight w:val="1200"/>
          <w:jc w:val="center"/>
        </w:trPr>
        <w:tc>
          <w:tcPr>
            <w:tcW w:w="1320" w:type="dxa"/>
            <w:tcBorders>
              <w:top w:val="nil"/>
              <w:left w:val="single" w:sz="4" w:space="0" w:color="auto"/>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i/>
                <w:iCs/>
                <w:color w:val="000000"/>
                <w:lang w:val="de-DE" w:eastAsia="de-DE"/>
              </w:rPr>
            </w:pPr>
            <w:r w:rsidRPr="0034022A">
              <w:rPr>
                <w:rFonts w:ascii="Calibri" w:eastAsia="Times New Roman" w:hAnsi="Calibri" w:cs="Times New Roman"/>
                <w:i/>
                <w:iCs/>
                <w:color w:val="000000"/>
                <w:lang w:val="de-DE" w:eastAsia="de-DE"/>
              </w:rPr>
              <w:t>PER58</w:t>
            </w:r>
          </w:p>
        </w:tc>
        <w:tc>
          <w:tcPr>
            <w:tcW w:w="1240" w:type="dxa"/>
            <w:tcBorders>
              <w:top w:val="nil"/>
              <w:left w:val="nil"/>
              <w:bottom w:val="nil"/>
              <w:right w:val="single" w:sz="4" w:space="0" w:color="auto"/>
            </w:tcBorders>
            <w:shd w:val="clear" w:color="auto" w:fill="auto"/>
            <w:noWrap/>
            <w:vAlign w:val="center"/>
            <w:hideMark/>
          </w:tcPr>
          <w:p w:rsidR="0034022A" w:rsidRPr="001F5EB3" w:rsidRDefault="0034022A" w:rsidP="0034022A">
            <w:pPr>
              <w:spacing w:after="0" w:line="240" w:lineRule="auto"/>
              <w:jc w:val="center"/>
              <w:rPr>
                <w:rFonts w:ascii="Calibri" w:eastAsia="Times New Roman" w:hAnsi="Calibri" w:cs="Times New Roman"/>
                <w:i/>
                <w:color w:val="000000"/>
                <w:lang w:val="de-DE" w:eastAsia="de-DE"/>
              </w:rPr>
            </w:pPr>
            <w:r w:rsidRPr="001F5EB3">
              <w:rPr>
                <w:rFonts w:ascii="Calibri" w:eastAsia="Times New Roman" w:hAnsi="Calibri" w:cs="Times New Roman"/>
                <w:i/>
                <w:color w:val="000000"/>
                <w:lang w:val="de-DE" w:eastAsia="de-DE"/>
              </w:rPr>
              <w:t>At5g19880</w:t>
            </w:r>
          </w:p>
        </w:tc>
        <w:tc>
          <w:tcPr>
            <w:tcW w:w="22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peroxidase</w:t>
            </w:r>
          </w:p>
        </w:tc>
        <w:tc>
          <w:tcPr>
            <w:tcW w:w="17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biotic+abiotic    stress</w:t>
            </w:r>
          </w:p>
        </w:tc>
        <w:tc>
          <w:tcPr>
            <w:tcW w:w="15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i/>
                <w:iCs/>
                <w:color w:val="000000"/>
                <w:lang w:val="de-DE" w:eastAsia="de-DE"/>
              </w:rPr>
              <w:t>Psm</w:t>
            </w:r>
            <w:r w:rsidRPr="0034022A">
              <w:rPr>
                <w:rFonts w:ascii="Calibri" w:eastAsia="Times New Roman" w:hAnsi="Calibri" w:cs="Times New Roman"/>
                <w:color w:val="000000"/>
                <w:lang w:val="de-DE" w:eastAsia="de-DE"/>
              </w:rPr>
              <w:t xml:space="preserve"> local</w:t>
            </w:r>
          </w:p>
        </w:tc>
        <w:tc>
          <w:tcPr>
            <w:tcW w:w="2060" w:type="dxa"/>
            <w:tcBorders>
              <w:top w:val="nil"/>
              <w:left w:val="nil"/>
              <w:bottom w:val="nil"/>
              <w:right w:val="single" w:sz="4" w:space="0" w:color="auto"/>
            </w:tcBorders>
            <w:shd w:val="clear" w:color="auto" w:fill="auto"/>
            <w:vAlign w:val="center"/>
            <w:hideMark/>
          </w:tcPr>
          <w:p w:rsidR="0034022A" w:rsidRPr="0034022A" w:rsidRDefault="00F875EB" w:rsidP="0034022A">
            <w:pPr>
              <w:spacing w:after="0" w:line="240" w:lineRule="auto"/>
              <w:jc w:val="center"/>
              <w:rPr>
                <w:rFonts w:ascii="Calibri" w:eastAsia="Times New Roman" w:hAnsi="Calibri" w:cs="Times New Roman"/>
                <w:color w:val="000000"/>
                <w:lang w:val="de-DE" w:eastAsia="de-DE"/>
              </w:rPr>
            </w:pPr>
            <w:r>
              <w:rPr>
                <w:rFonts w:ascii="Calibri" w:eastAsia="Times New Roman" w:hAnsi="Calibri" w:cs="Times New Roman"/>
                <w:color w:val="000000"/>
                <w:lang w:val="de-DE" w:eastAsia="de-DE"/>
              </w:rPr>
              <w:t>partially</w:t>
            </w:r>
            <w:r w:rsidR="0034022A" w:rsidRPr="0034022A">
              <w:rPr>
                <w:rFonts w:ascii="Calibri" w:eastAsia="Times New Roman" w:hAnsi="Calibri" w:cs="Times New Roman"/>
                <w:color w:val="000000"/>
                <w:lang w:val="de-DE" w:eastAsia="de-DE"/>
              </w:rPr>
              <w:t xml:space="preserve">                            SA-dependent</w:t>
            </w:r>
          </w:p>
        </w:tc>
        <w:tc>
          <w:tcPr>
            <w:tcW w:w="80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P</w:t>
            </w:r>
          </w:p>
        </w:tc>
        <w:tc>
          <w:tcPr>
            <w:tcW w:w="66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np</w:t>
            </w:r>
          </w:p>
        </w:tc>
        <w:tc>
          <w:tcPr>
            <w:tcW w:w="76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np</w:t>
            </w:r>
          </w:p>
        </w:tc>
      </w:tr>
      <w:tr w:rsidR="0034022A" w:rsidRPr="0034022A" w:rsidTr="007236D3">
        <w:trPr>
          <w:trHeight w:val="1200"/>
          <w:jc w:val="center"/>
        </w:trPr>
        <w:tc>
          <w:tcPr>
            <w:tcW w:w="1320" w:type="dxa"/>
            <w:tcBorders>
              <w:top w:val="nil"/>
              <w:left w:val="single" w:sz="4" w:space="0" w:color="auto"/>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i/>
                <w:iCs/>
                <w:color w:val="000000"/>
                <w:lang w:val="de-DE" w:eastAsia="de-DE"/>
              </w:rPr>
            </w:pPr>
            <w:r w:rsidRPr="0034022A">
              <w:rPr>
                <w:rFonts w:ascii="Calibri" w:eastAsia="Times New Roman" w:hAnsi="Calibri" w:cs="Times New Roman"/>
                <w:i/>
                <w:iCs/>
                <w:color w:val="000000"/>
                <w:lang w:val="de-DE" w:eastAsia="de-DE"/>
              </w:rPr>
              <w:lastRenderedPageBreak/>
              <w:t>PMEa</w:t>
            </w:r>
          </w:p>
        </w:tc>
        <w:tc>
          <w:tcPr>
            <w:tcW w:w="1240" w:type="dxa"/>
            <w:tcBorders>
              <w:top w:val="nil"/>
              <w:left w:val="nil"/>
              <w:bottom w:val="nil"/>
              <w:right w:val="single" w:sz="4" w:space="0" w:color="auto"/>
            </w:tcBorders>
            <w:shd w:val="clear" w:color="auto" w:fill="auto"/>
            <w:noWrap/>
            <w:vAlign w:val="center"/>
            <w:hideMark/>
          </w:tcPr>
          <w:p w:rsidR="0034022A" w:rsidRPr="001F5EB3" w:rsidRDefault="0034022A" w:rsidP="0034022A">
            <w:pPr>
              <w:spacing w:after="0" w:line="240" w:lineRule="auto"/>
              <w:jc w:val="center"/>
              <w:rPr>
                <w:rFonts w:ascii="Calibri" w:eastAsia="Times New Roman" w:hAnsi="Calibri" w:cs="Times New Roman"/>
                <w:i/>
                <w:color w:val="000000"/>
                <w:lang w:val="de-DE" w:eastAsia="de-DE"/>
              </w:rPr>
            </w:pPr>
            <w:r w:rsidRPr="001F5EB3">
              <w:rPr>
                <w:rFonts w:ascii="Calibri" w:eastAsia="Times New Roman" w:hAnsi="Calibri" w:cs="Times New Roman"/>
                <w:i/>
                <w:color w:val="000000"/>
                <w:lang w:val="de-DE" w:eastAsia="de-DE"/>
              </w:rPr>
              <w:t>At2g45220</w:t>
            </w:r>
          </w:p>
        </w:tc>
        <w:tc>
          <w:tcPr>
            <w:tcW w:w="22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en-US" w:eastAsia="de-DE"/>
              </w:rPr>
            </w:pPr>
            <w:r w:rsidRPr="0034022A">
              <w:rPr>
                <w:rFonts w:ascii="Calibri" w:eastAsia="Times New Roman" w:hAnsi="Calibri" w:cs="Times New Roman"/>
                <w:color w:val="000000"/>
                <w:lang w:val="en-US" w:eastAsia="de-DE"/>
              </w:rPr>
              <w:t>invertase/pectin methylesterase inhibitor superfamily</w:t>
            </w:r>
          </w:p>
        </w:tc>
        <w:tc>
          <w:tcPr>
            <w:tcW w:w="17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cell wall</w:t>
            </w:r>
          </w:p>
        </w:tc>
        <w:tc>
          <w:tcPr>
            <w:tcW w:w="15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i/>
                <w:iCs/>
                <w:color w:val="000000"/>
                <w:lang w:val="de-DE" w:eastAsia="de-DE"/>
              </w:rPr>
              <w:t>Psm</w:t>
            </w:r>
            <w:r w:rsidRPr="0034022A">
              <w:rPr>
                <w:rFonts w:ascii="Calibri" w:eastAsia="Times New Roman" w:hAnsi="Calibri" w:cs="Times New Roman"/>
                <w:color w:val="000000"/>
                <w:lang w:val="de-DE" w:eastAsia="de-DE"/>
              </w:rPr>
              <w:t xml:space="preserve"> local</w:t>
            </w:r>
          </w:p>
        </w:tc>
        <w:tc>
          <w:tcPr>
            <w:tcW w:w="20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SA-independent</w:t>
            </w:r>
          </w:p>
        </w:tc>
        <w:tc>
          <w:tcPr>
            <w:tcW w:w="80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P</w:t>
            </w:r>
          </w:p>
        </w:tc>
        <w:tc>
          <w:tcPr>
            <w:tcW w:w="66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np</w:t>
            </w:r>
          </w:p>
        </w:tc>
        <w:tc>
          <w:tcPr>
            <w:tcW w:w="76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np</w:t>
            </w:r>
          </w:p>
        </w:tc>
      </w:tr>
      <w:tr w:rsidR="0034022A" w:rsidRPr="0034022A" w:rsidTr="007236D3">
        <w:trPr>
          <w:trHeight w:val="1200"/>
          <w:jc w:val="center"/>
        </w:trPr>
        <w:tc>
          <w:tcPr>
            <w:tcW w:w="1320" w:type="dxa"/>
            <w:tcBorders>
              <w:top w:val="nil"/>
              <w:left w:val="single" w:sz="4" w:space="0" w:color="auto"/>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i/>
                <w:iCs/>
                <w:color w:val="000000"/>
                <w:lang w:val="de-DE" w:eastAsia="de-DE"/>
              </w:rPr>
            </w:pPr>
            <w:r w:rsidRPr="0034022A">
              <w:rPr>
                <w:rFonts w:ascii="Calibri" w:eastAsia="Times New Roman" w:hAnsi="Calibri" w:cs="Times New Roman"/>
                <w:i/>
                <w:iCs/>
                <w:color w:val="000000"/>
                <w:lang w:val="de-DE" w:eastAsia="de-DE"/>
              </w:rPr>
              <w:t>PMEIa</w:t>
            </w:r>
          </w:p>
        </w:tc>
        <w:tc>
          <w:tcPr>
            <w:tcW w:w="1240" w:type="dxa"/>
            <w:tcBorders>
              <w:top w:val="nil"/>
              <w:left w:val="nil"/>
              <w:bottom w:val="nil"/>
              <w:right w:val="single" w:sz="4" w:space="0" w:color="auto"/>
            </w:tcBorders>
            <w:shd w:val="clear" w:color="auto" w:fill="auto"/>
            <w:noWrap/>
            <w:vAlign w:val="center"/>
            <w:hideMark/>
          </w:tcPr>
          <w:p w:rsidR="0034022A" w:rsidRPr="001F5EB3" w:rsidRDefault="0034022A" w:rsidP="0034022A">
            <w:pPr>
              <w:spacing w:after="0" w:line="240" w:lineRule="auto"/>
              <w:jc w:val="center"/>
              <w:rPr>
                <w:rFonts w:ascii="Calibri" w:eastAsia="Times New Roman" w:hAnsi="Calibri" w:cs="Times New Roman"/>
                <w:i/>
                <w:color w:val="000000"/>
                <w:lang w:val="de-DE" w:eastAsia="de-DE"/>
              </w:rPr>
            </w:pPr>
            <w:r w:rsidRPr="001F5EB3">
              <w:rPr>
                <w:rFonts w:ascii="Calibri" w:eastAsia="Times New Roman" w:hAnsi="Calibri" w:cs="Times New Roman"/>
                <w:i/>
                <w:color w:val="000000"/>
                <w:lang w:val="de-DE" w:eastAsia="de-DE"/>
              </w:rPr>
              <w:t>At5g46960</w:t>
            </w:r>
          </w:p>
        </w:tc>
        <w:tc>
          <w:tcPr>
            <w:tcW w:w="22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en-US" w:eastAsia="de-DE"/>
              </w:rPr>
            </w:pPr>
            <w:r w:rsidRPr="0034022A">
              <w:rPr>
                <w:rFonts w:ascii="Calibri" w:eastAsia="Times New Roman" w:hAnsi="Calibri" w:cs="Times New Roman"/>
                <w:color w:val="000000"/>
                <w:lang w:val="en-US" w:eastAsia="de-DE"/>
              </w:rPr>
              <w:t>invertase/pectin methylesterase inhibitor family protein</w:t>
            </w:r>
          </w:p>
        </w:tc>
        <w:tc>
          <w:tcPr>
            <w:tcW w:w="17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cell wall</w:t>
            </w:r>
          </w:p>
        </w:tc>
        <w:tc>
          <w:tcPr>
            <w:tcW w:w="15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i/>
                <w:iCs/>
                <w:color w:val="000000"/>
                <w:lang w:val="de-DE" w:eastAsia="de-DE"/>
              </w:rPr>
              <w:t>Psm</w:t>
            </w:r>
            <w:r w:rsidRPr="0034022A">
              <w:rPr>
                <w:rFonts w:ascii="Calibri" w:eastAsia="Times New Roman" w:hAnsi="Calibri" w:cs="Times New Roman"/>
                <w:color w:val="000000"/>
                <w:lang w:val="de-DE" w:eastAsia="de-DE"/>
              </w:rPr>
              <w:t xml:space="preserve"> local</w:t>
            </w:r>
          </w:p>
        </w:tc>
        <w:tc>
          <w:tcPr>
            <w:tcW w:w="20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SA-independent</w:t>
            </w:r>
          </w:p>
        </w:tc>
        <w:tc>
          <w:tcPr>
            <w:tcW w:w="80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P</w:t>
            </w:r>
          </w:p>
        </w:tc>
        <w:tc>
          <w:tcPr>
            <w:tcW w:w="66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np</w:t>
            </w:r>
          </w:p>
        </w:tc>
        <w:tc>
          <w:tcPr>
            <w:tcW w:w="76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np</w:t>
            </w:r>
          </w:p>
        </w:tc>
      </w:tr>
      <w:tr w:rsidR="0034022A" w:rsidRPr="0034022A" w:rsidTr="007236D3">
        <w:trPr>
          <w:trHeight w:val="1200"/>
          <w:jc w:val="center"/>
        </w:trPr>
        <w:tc>
          <w:tcPr>
            <w:tcW w:w="1320" w:type="dxa"/>
            <w:tcBorders>
              <w:top w:val="nil"/>
              <w:left w:val="single" w:sz="4" w:space="0" w:color="auto"/>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i/>
                <w:iCs/>
                <w:color w:val="000000"/>
                <w:lang w:val="de-DE" w:eastAsia="de-DE"/>
              </w:rPr>
            </w:pPr>
            <w:r w:rsidRPr="0034022A">
              <w:rPr>
                <w:rFonts w:ascii="Calibri" w:eastAsia="Times New Roman" w:hAnsi="Calibri" w:cs="Times New Roman"/>
                <w:i/>
                <w:iCs/>
                <w:color w:val="000000"/>
                <w:lang w:val="de-DE" w:eastAsia="de-DE"/>
              </w:rPr>
              <w:t>PR1</w:t>
            </w:r>
          </w:p>
        </w:tc>
        <w:tc>
          <w:tcPr>
            <w:tcW w:w="1240" w:type="dxa"/>
            <w:tcBorders>
              <w:top w:val="nil"/>
              <w:left w:val="nil"/>
              <w:bottom w:val="nil"/>
              <w:right w:val="single" w:sz="4" w:space="0" w:color="auto"/>
            </w:tcBorders>
            <w:shd w:val="clear" w:color="auto" w:fill="auto"/>
            <w:noWrap/>
            <w:vAlign w:val="center"/>
            <w:hideMark/>
          </w:tcPr>
          <w:p w:rsidR="0034022A" w:rsidRPr="001F5EB3" w:rsidRDefault="0034022A" w:rsidP="0034022A">
            <w:pPr>
              <w:spacing w:after="0" w:line="240" w:lineRule="auto"/>
              <w:jc w:val="center"/>
              <w:rPr>
                <w:rFonts w:ascii="Calibri" w:eastAsia="Times New Roman" w:hAnsi="Calibri" w:cs="Times New Roman"/>
                <w:i/>
                <w:color w:val="000000"/>
                <w:lang w:val="de-DE" w:eastAsia="de-DE"/>
              </w:rPr>
            </w:pPr>
            <w:r w:rsidRPr="001F5EB3">
              <w:rPr>
                <w:rFonts w:ascii="Calibri" w:eastAsia="Times New Roman" w:hAnsi="Calibri" w:cs="Times New Roman"/>
                <w:i/>
                <w:color w:val="000000"/>
                <w:lang w:val="de-DE" w:eastAsia="de-DE"/>
              </w:rPr>
              <w:t>At2g14610</w:t>
            </w:r>
          </w:p>
        </w:tc>
        <w:tc>
          <w:tcPr>
            <w:tcW w:w="22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en-US" w:eastAsia="de-DE"/>
              </w:rPr>
            </w:pPr>
            <w:r w:rsidRPr="0034022A">
              <w:rPr>
                <w:rFonts w:ascii="Calibri" w:eastAsia="Times New Roman" w:hAnsi="Calibri" w:cs="Times New Roman"/>
                <w:color w:val="000000"/>
                <w:lang w:val="en-US" w:eastAsia="de-DE"/>
              </w:rPr>
              <w:t>signalling in the SAR response;                                          SA-responsive</w:t>
            </w:r>
          </w:p>
        </w:tc>
        <w:tc>
          <w:tcPr>
            <w:tcW w:w="17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defence signalling</w:t>
            </w:r>
          </w:p>
        </w:tc>
        <w:tc>
          <w:tcPr>
            <w:tcW w:w="15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en-US" w:eastAsia="de-DE"/>
              </w:rPr>
            </w:pPr>
            <w:r w:rsidRPr="0034022A">
              <w:rPr>
                <w:rFonts w:ascii="Calibri" w:eastAsia="Times New Roman" w:hAnsi="Calibri" w:cs="Times New Roman"/>
                <w:color w:val="000000"/>
                <w:lang w:val="en-US" w:eastAsia="de-DE"/>
              </w:rPr>
              <w:t xml:space="preserve">ex. Pip;                   </w:t>
            </w:r>
            <w:r w:rsidRPr="0034022A">
              <w:rPr>
                <w:rFonts w:ascii="Calibri" w:eastAsia="Times New Roman" w:hAnsi="Calibri" w:cs="Times New Roman"/>
                <w:i/>
                <w:iCs/>
                <w:color w:val="000000"/>
                <w:lang w:val="en-US" w:eastAsia="de-DE"/>
              </w:rPr>
              <w:t>Psm</w:t>
            </w:r>
            <w:r w:rsidRPr="0034022A">
              <w:rPr>
                <w:rFonts w:ascii="Calibri" w:eastAsia="Times New Roman" w:hAnsi="Calibri" w:cs="Times New Roman"/>
                <w:color w:val="000000"/>
                <w:lang w:val="en-US" w:eastAsia="de-DE"/>
              </w:rPr>
              <w:t xml:space="preserve"> local; SAR</w:t>
            </w:r>
          </w:p>
        </w:tc>
        <w:tc>
          <w:tcPr>
            <w:tcW w:w="20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SA-dependent</w:t>
            </w:r>
          </w:p>
        </w:tc>
        <w:tc>
          <w:tcPr>
            <w:tcW w:w="80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P</w:t>
            </w:r>
          </w:p>
        </w:tc>
        <w:tc>
          <w:tcPr>
            <w:tcW w:w="66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np</w:t>
            </w:r>
          </w:p>
        </w:tc>
        <w:tc>
          <w:tcPr>
            <w:tcW w:w="76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np</w:t>
            </w:r>
          </w:p>
        </w:tc>
      </w:tr>
      <w:tr w:rsidR="0034022A" w:rsidRPr="0034022A" w:rsidTr="007236D3">
        <w:trPr>
          <w:trHeight w:val="1200"/>
          <w:jc w:val="center"/>
        </w:trPr>
        <w:tc>
          <w:tcPr>
            <w:tcW w:w="1320" w:type="dxa"/>
            <w:tcBorders>
              <w:top w:val="nil"/>
              <w:left w:val="single" w:sz="4" w:space="0" w:color="auto"/>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i/>
                <w:iCs/>
                <w:color w:val="000000"/>
                <w:lang w:val="de-DE" w:eastAsia="de-DE"/>
              </w:rPr>
            </w:pPr>
            <w:r w:rsidRPr="0034022A">
              <w:rPr>
                <w:rFonts w:ascii="Calibri" w:eastAsia="Times New Roman" w:hAnsi="Calibri" w:cs="Times New Roman"/>
                <w:i/>
                <w:iCs/>
                <w:color w:val="000000"/>
                <w:lang w:val="de-DE" w:eastAsia="de-DE"/>
              </w:rPr>
              <w:t>PR3</w:t>
            </w:r>
          </w:p>
        </w:tc>
        <w:tc>
          <w:tcPr>
            <w:tcW w:w="1240" w:type="dxa"/>
            <w:tcBorders>
              <w:top w:val="nil"/>
              <w:left w:val="nil"/>
              <w:bottom w:val="nil"/>
              <w:right w:val="single" w:sz="4" w:space="0" w:color="auto"/>
            </w:tcBorders>
            <w:shd w:val="clear" w:color="auto" w:fill="auto"/>
            <w:noWrap/>
            <w:vAlign w:val="center"/>
            <w:hideMark/>
          </w:tcPr>
          <w:p w:rsidR="0034022A" w:rsidRPr="001F5EB3" w:rsidRDefault="0034022A" w:rsidP="0034022A">
            <w:pPr>
              <w:spacing w:after="0" w:line="240" w:lineRule="auto"/>
              <w:jc w:val="center"/>
              <w:rPr>
                <w:rFonts w:ascii="Calibri" w:eastAsia="Times New Roman" w:hAnsi="Calibri" w:cs="Times New Roman"/>
                <w:i/>
                <w:color w:val="000000"/>
                <w:lang w:val="de-DE" w:eastAsia="de-DE"/>
              </w:rPr>
            </w:pPr>
            <w:r w:rsidRPr="001F5EB3">
              <w:rPr>
                <w:rFonts w:ascii="Calibri" w:eastAsia="Times New Roman" w:hAnsi="Calibri" w:cs="Times New Roman"/>
                <w:i/>
                <w:color w:val="000000"/>
                <w:lang w:val="de-DE" w:eastAsia="de-DE"/>
              </w:rPr>
              <w:t>At3g12500</w:t>
            </w:r>
          </w:p>
        </w:tc>
        <w:tc>
          <w:tcPr>
            <w:tcW w:w="22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basic chitinase</w:t>
            </w:r>
          </w:p>
        </w:tc>
        <w:tc>
          <w:tcPr>
            <w:tcW w:w="17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defence signalling</w:t>
            </w:r>
          </w:p>
        </w:tc>
        <w:tc>
          <w:tcPr>
            <w:tcW w:w="15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i/>
                <w:iCs/>
                <w:color w:val="000000"/>
                <w:lang w:val="de-DE" w:eastAsia="de-DE"/>
              </w:rPr>
              <w:t>Psm</w:t>
            </w:r>
            <w:r w:rsidRPr="0034022A">
              <w:rPr>
                <w:rFonts w:ascii="Calibri" w:eastAsia="Times New Roman" w:hAnsi="Calibri" w:cs="Times New Roman"/>
                <w:color w:val="000000"/>
                <w:lang w:val="de-DE" w:eastAsia="de-DE"/>
              </w:rPr>
              <w:t xml:space="preserve"> local</w:t>
            </w:r>
          </w:p>
        </w:tc>
        <w:tc>
          <w:tcPr>
            <w:tcW w:w="20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SA-independent</w:t>
            </w:r>
          </w:p>
        </w:tc>
        <w:tc>
          <w:tcPr>
            <w:tcW w:w="80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P</w:t>
            </w:r>
          </w:p>
        </w:tc>
        <w:tc>
          <w:tcPr>
            <w:tcW w:w="66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np</w:t>
            </w:r>
          </w:p>
        </w:tc>
        <w:tc>
          <w:tcPr>
            <w:tcW w:w="76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np</w:t>
            </w:r>
          </w:p>
        </w:tc>
      </w:tr>
      <w:tr w:rsidR="0034022A" w:rsidRPr="0034022A" w:rsidTr="007236D3">
        <w:trPr>
          <w:trHeight w:val="1200"/>
          <w:jc w:val="center"/>
        </w:trPr>
        <w:tc>
          <w:tcPr>
            <w:tcW w:w="1320" w:type="dxa"/>
            <w:tcBorders>
              <w:top w:val="nil"/>
              <w:left w:val="single" w:sz="4" w:space="0" w:color="auto"/>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i/>
                <w:iCs/>
                <w:color w:val="000000"/>
                <w:lang w:val="de-DE" w:eastAsia="de-DE"/>
              </w:rPr>
            </w:pPr>
            <w:r w:rsidRPr="0034022A">
              <w:rPr>
                <w:rFonts w:ascii="Calibri" w:eastAsia="Times New Roman" w:hAnsi="Calibri" w:cs="Times New Roman"/>
                <w:i/>
                <w:iCs/>
                <w:color w:val="000000"/>
                <w:lang w:val="de-DE" w:eastAsia="de-DE"/>
              </w:rPr>
              <w:t>PRB1</w:t>
            </w:r>
          </w:p>
        </w:tc>
        <w:tc>
          <w:tcPr>
            <w:tcW w:w="1240" w:type="dxa"/>
            <w:tcBorders>
              <w:top w:val="nil"/>
              <w:left w:val="nil"/>
              <w:bottom w:val="nil"/>
              <w:right w:val="single" w:sz="4" w:space="0" w:color="auto"/>
            </w:tcBorders>
            <w:shd w:val="clear" w:color="auto" w:fill="auto"/>
            <w:noWrap/>
            <w:vAlign w:val="center"/>
            <w:hideMark/>
          </w:tcPr>
          <w:p w:rsidR="0034022A" w:rsidRPr="001F5EB3" w:rsidRDefault="0034022A" w:rsidP="0034022A">
            <w:pPr>
              <w:spacing w:after="0" w:line="240" w:lineRule="auto"/>
              <w:jc w:val="center"/>
              <w:rPr>
                <w:rFonts w:ascii="Calibri" w:eastAsia="Times New Roman" w:hAnsi="Calibri" w:cs="Times New Roman"/>
                <w:i/>
                <w:color w:val="000000"/>
                <w:lang w:val="de-DE" w:eastAsia="de-DE"/>
              </w:rPr>
            </w:pPr>
            <w:r w:rsidRPr="001F5EB3">
              <w:rPr>
                <w:rFonts w:ascii="Calibri" w:eastAsia="Times New Roman" w:hAnsi="Calibri" w:cs="Times New Roman"/>
                <w:i/>
                <w:color w:val="000000"/>
                <w:lang w:val="de-DE" w:eastAsia="de-DE"/>
              </w:rPr>
              <w:t>At2g14580</w:t>
            </w:r>
          </w:p>
        </w:tc>
        <w:tc>
          <w:tcPr>
            <w:tcW w:w="22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en-US" w:eastAsia="de-DE"/>
              </w:rPr>
            </w:pPr>
            <w:r w:rsidRPr="0034022A">
              <w:rPr>
                <w:rFonts w:ascii="Calibri" w:eastAsia="Times New Roman" w:hAnsi="Calibri" w:cs="Times New Roman"/>
                <w:color w:val="000000"/>
                <w:lang w:val="en-US" w:eastAsia="de-DE"/>
              </w:rPr>
              <w:t>basic PR1-like protein;           repressed by SA</w:t>
            </w:r>
          </w:p>
        </w:tc>
        <w:tc>
          <w:tcPr>
            <w:tcW w:w="17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signalling</w:t>
            </w:r>
          </w:p>
        </w:tc>
        <w:tc>
          <w:tcPr>
            <w:tcW w:w="15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 xml:space="preserve">ex. Pip;              </w:t>
            </w:r>
            <w:r w:rsidRPr="0034022A">
              <w:rPr>
                <w:rFonts w:ascii="Calibri" w:eastAsia="Times New Roman" w:hAnsi="Calibri" w:cs="Times New Roman"/>
                <w:i/>
                <w:iCs/>
                <w:color w:val="000000"/>
                <w:lang w:val="de-DE" w:eastAsia="de-DE"/>
              </w:rPr>
              <w:t>Psm</w:t>
            </w:r>
            <w:r w:rsidRPr="0034022A">
              <w:rPr>
                <w:rFonts w:ascii="Calibri" w:eastAsia="Times New Roman" w:hAnsi="Calibri" w:cs="Times New Roman"/>
                <w:color w:val="000000"/>
                <w:lang w:val="de-DE" w:eastAsia="de-DE"/>
              </w:rPr>
              <w:t xml:space="preserve"> local</w:t>
            </w:r>
          </w:p>
        </w:tc>
        <w:tc>
          <w:tcPr>
            <w:tcW w:w="20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SA-dependent</w:t>
            </w:r>
          </w:p>
        </w:tc>
        <w:tc>
          <w:tcPr>
            <w:tcW w:w="80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np</w:t>
            </w:r>
          </w:p>
        </w:tc>
        <w:tc>
          <w:tcPr>
            <w:tcW w:w="66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np</w:t>
            </w:r>
          </w:p>
        </w:tc>
        <w:tc>
          <w:tcPr>
            <w:tcW w:w="76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np</w:t>
            </w:r>
          </w:p>
        </w:tc>
      </w:tr>
      <w:tr w:rsidR="0034022A" w:rsidRPr="0034022A" w:rsidTr="007236D3">
        <w:trPr>
          <w:trHeight w:val="1200"/>
          <w:jc w:val="center"/>
        </w:trPr>
        <w:tc>
          <w:tcPr>
            <w:tcW w:w="1320" w:type="dxa"/>
            <w:tcBorders>
              <w:top w:val="nil"/>
              <w:left w:val="single" w:sz="4" w:space="0" w:color="auto"/>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i/>
                <w:iCs/>
                <w:color w:val="000000"/>
                <w:lang w:val="de-DE" w:eastAsia="de-DE"/>
              </w:rPr>
            </w:pPr>
            <w:r w:rsidRPr="0034022A">
              <w:rPr>
                <w:rFonts w:ascii="Calibri" w:eastAsia="Times New Roman" w:hAnsi="Calibri" w:cs="Times New Roman"/>
                <w:i/>
                <w:iCs/>
                <w:color w:val="000000"/>
                <w:lang w:val="de-DE" w:eastAsia="de-DE"/>
              </w:rPr>
              <w:t>RABA1i</w:t>
            </w:r>
          </w:p>
        </w:tc>
        <w:tc>
          <w:tcPr>
            <w:tcW w:w="1240" w:type="dxa"/>
            <w:tcBorders>
              <w:top w:val="nil"/>
              <w:left w:val="nil"/>
              <w:bottom w:val="nil"/>
              <w:right w:val="single" w:sz="4" w:space="0" w:color="auto"/>
            </w:tcBorders>
            <w:shd w:val="clear" w:color="auto" w:fill="auto"/>
            <w:noWrap/>
            <w:vAlign w:val="center"/>
            <w:hideMark/>
          </w:tcPr>
          <w:p w:rsidR="0034022A" w:rsidRPr="001F5EB3" w:rsidRDefault="0034022A" w:rsidP="0034022A">
            <w:pPr>
              <w:spacing w:after="0" w:line="240" w:lineRule="auto"/>
              <w:jc w:val="center"/>
              <w:rPr>
                <w:rFonts w:ascii="Calibri" w:eastAsia="Times New Roman" w:hAnsi="Calibri" w:cs="Times New Roman"/>
                <w:i/>
                <w:color w:val="000000"/>
                <w:lang w:val="de-DE" w:eastAsia="de-DE"/>
              </w:rPr>
            </w:pPr>
            <w:r w:rsidRPr="001F5EB3">
              <w:rPr>
                <w:rFonts w:ascii="Calibri" w:eastAsia="Times New Roman" w:hAnsi="Calibri" w:cs="Times New Roman"/>
                <w:i/>
                <w:color w:val="000000"/>
                <w:lang w:val="de-DE" w:eastAsia="de-DE"/>
              </w:rPr>
              <w:t>At1g28550</w:t>
            </w:r>
          </w:p>
        </w:tc>
        <w:tc>
          <w:tcPr>
            <w:tcW w:w="22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RAB GTPase homolog</w:t>
            </w:r>
          </w:p>
        </w:tc>
        <w:tc>
          <w:tcPr>
            <w:tcW w:w="17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cell wall</w:t>
            </w:r>
          </w:p>
        </w:tc>
        <w:tc>
          <w:tcPr>
            <w:tcW w:w="15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w:t>
            </w:r>
          </w:p>
        </w:tc>
        <w:tc>
          <w:tcPr>
            <w:tcW w:w="20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SA-independent</w:t>
            </w:r>
          </w:p>
        </w:tc>
        <w:tc>
          <w:tcPr>
            <w:tcW w:w="80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np</w:t>
            </w:r>
          </w:p>
        </w:tc>
        <w:tc>
          <w:tcPr>
            <w:tcW w:w="66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np</w:t>
            </w:r>
          </w:p>
        </w:tc>
        <w:tc>
          <w:tcPr>
            <w:tcW w:w="76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np</w:t>
            </w:r>
          </w:p>
        </w:tc>
      </w:tr>
      <w:tr w:rsidR="0034022A" w:rsidRPr="0034022A" w:rsidTr="007236D3">
        <w:trPr>
          <w:trHeight w:val="1200"/>
          <w:jc w:val="center"/>
        </w:trPr>
        <w:tc>
          <w:tcPr>
            <w:tcW w:w="1320" w:type="dxa"/>
            <w:tcBorders>
              <w:top w:val="nil"/>
              <w:left w:val="single" w:sz="4" w:space="0" w:color="auto"/>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i/>
                <w:iCs/>
                <w:color w:val="000000"/>
                <w:lang w:val="de-DE" w:eastAsia="de-DE"/>
              </w:rPr>
            </w:pPr>
            <w:r w:rsidRPr="0034022A">
              <w:rPr>
                <w:rFonts w:ascii="Calibri" w:eastAsia="Times New Roman" w:hAnsi="Calibri" w:cs="Times New Roman"/>
                <w:i/>
                <w:iCs/>
                <w:color w:val="000000"/>
                <w:lang w:val="de-DE" w:eastAsia="de-DE"/>
              </w:rPr>
              <w:t>RBOHA</w:t>
            </w:r>
          </w:p>
        </w:tc>
        <w:tc>
          <w:tcPr>
            <w:tcW w:w="1240" w:type="dxa"/>
            <w:tcBorders>
              <w:top w:val="nil"/>
              <w:left w:val="nil"/>
              <w:bottom w:val="nil"/>
              <w:right w:val="single" w:sz="4" w:space="0" w:color="auto"/>
            </w:tcBorders>
            <w:shd w:val="clear" w:color="auto" w:fill="auto"/>
            <w:noWrap/>
            <w:vAlign w:val="center"/>
            <w:hideMark/>
          </w:tcPr>
          <w:p w:rsidR="0034022A" w:rsidRPr="001F5EB3" w:rsidRDefault="0034022A" w:rsidP="0034022A">
            <w:pPr>
              <w:spacing w:after="0" w:line="240" w:lineRule="auto"/>
              <w:jc w:val="center"/>
              <w:rPr>
                <w:rFonts w:ascii="Calibri" w:eastAsia="Times New Roman" w:hAnsi="Calibri" w:cs="Times New Roman"/>
                <w:i/>
                <w:color w:val="000000"/>
                <w:lang w:val="de-DE" w:eastAsia="de-DE"/>
              </w:rPr>
            </w:pPr>
            <w:r w:rsidRPr="001F5EB3">
              <w:rPr>
                <w:rFonts w:ascii="Calibri" w:eastAsia="Times New Roman" w:hAnsi="Calibri" w:cs="Times New Roman"/>
                <w:i/>
                <w:color w:val="000000"/>
                <w:lang w:val="de-DE" w:eastAsia="de-DE"/>
              </w:rPr>
              <w:t>At5g07390</w:t>
            </w:r>
          </w:p>
        </w:tc>
        <w:tc>
          <w:tcPr>
            <w:tcW w:w="22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NADPH oxidase; oxidative burst</w:t>
            </w:r>
          </w:p>
        </w:tc>
        <w:tc>
          <w:tcPr>
            <w:tcW w:w="17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ROS generation</w:t>
            </w:r>
          </w:p>
        </w:tc>
        <w:tc>
          <w:tcPr>
            <w:tcW w:w="15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i/>
                <w:iCs/>
                <w:color w:val="000000"/>
                <w:lang w:val="de-DE" w:eastAsia="de-DE"/>
              </w:rPr>
              <w:t>Psm</w:t>
            </w:r>
            <w:r w:rsidRPr="0034022A">
              <w:rPr>
                <w:rFonts w:ascii="Calibri" w:eastAsia="Times New Roman" w:hAnsi="Calibri" w:cs="Times New Roman"/>
                <w:color w:val="000000"/>
                <w:lang w:val="de-DE" w:eastAsia="de-DE"/>
              </w:rPr>
              <w:t xml:space="preserve"> local</w:t>
            </w:r>
          </w:p>
        </w:tc>
        <w:tc>
          <w:tcPr>
            <w:tcW w:w="20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SA-dependent</w:t>
            </w:r>
          </w:p>
        </w:tc>
        <w:tc>
          <w:tcPr>
            <w:tcW w:w="80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np</w:t>
            </w:r>
          </w:p>
        </w:tc>
        <w:tc>
          <w:tcPr>
            <w:tcW w:w="66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np</w:t>
            </w:r>
          </w:p>
        </w:tc>
        <w:tc>
          <w:tcPr>
            <w:tcW w:w="76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np</w:t>
            </w:r>
          </w:p>
        </w:tc>
      </w:tr>
      <w:tr w:rsidR="0034022A" w:rsidRPr="0034022A" w:rsidTr="007236D3">
        <w:trPr>
          <w:trHeight w:val="1200"/>
          <w:jc w:val="center"/>
        </w:trPr>
        <w:tc>
          <w:tcPr>
            <w:tcW w:w="1320" w:type="dxa"/>
            <w:tcBorders>
              <w:top w:val="nil"/>
              <w:left w:val="single" w:sz="4" w:space="0" w:color="auto"/>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i/>
                <w:iCs/>
                <w:color w:val="000000"/>
                <w:lang w:val="de-DE" w:eastAsia="de-DE"/>
              </w:rPr>
            </w:pPr>
            <w:r w:rsidRPr="0034022A">
              <w:rPr>
                <w:rFonts w:ascii="Calibri" w:eastAsia="Times New Roman" w:hAnsi="Calibri" w:cs="Times New Roman"/>
                <w:i/>
                <w:iCs/>
                <w:color w:val="000000"/>
                <w:lang w:val="de-DE" w:eastAsia="de-DE"/>
              </w:rPr>
              <w:lastRenderedPageBreak/>
              <w:t>RKL1-12</w:t>
            </w:r>
          </w:p>
        </w:tc>
        <w:tc>
          <w:tcPr>
            <w:tcW w:w="1240" w:type="dxa"/>
            <w:tcBorders>
              <w:top w:val="nil"/>
              <w:left w:val="nil"/>
              <w:bottom w:val="nil"/>
              <w:right w:val="single" w:sz="4" w:space="0" w:color="auto"/>
            </w:tcBorders>
            <w:shd w:val="clear" w:color="auto" w:fill="auto"/>
            <w:noWrap/>
            <w:vAlign w:val="center"/>
            <w:hideMark/>
          </w:tcPr>
          <w:p w:rsidR="0034022A" w:rsidRPr="001F5EB3" w:rsidRDefault="0034022A" w:rsidP="0034022A">
            <w:pPr>
              <w:spacing w:after="0" w:line="240" w:lineRule="auto"/>
              <w:jc w:val="center"/>
              <w:rPr>
                <w:rFonts w:ascii="Calibri" w:eastAsia="Times New Roman" w:hAnsi="Calibri" w:cs="Times New Roman"/>
                <w:i/>
                <w:color w:val="000000"/>
                <w:lang w:val="de-DE" w:eastAsia="de-DE"/>
              </w:rPr>
            </w:pPr>
            <w:r w:rsidRPr="001F5EB3">
              <w:rPr>
                <w:rFonts w:ascii="Calibri" w:eastAsia="Times New Roman" w:hAnsi="Calibri" w:cs="Times New Roman"/>
                <w:i/>
                <w:color w:val="000000"/>
                <w:lang w:val="de-DE" w:eastAsia="de-DE"/>
              </w:rPr>
              <w:t>At1g51860</w:t>
            </w:r>
          </w:p>
        </w:tc>
        <w:tc>
          <w:tcPr>
            <w:tcW w:w="22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en-US" w:eastAsia="de-DE"/>
              </w:rPr>
            </w:pPr>
            <w:r w:rsidRPr="0034022A">
              <w:rPr>
                <w:rFonts w:ascii="Calibri" w:eastAsia="Times New Roman" w:hAnsi="Calibri" w:cs="Times New Roman"/>
                <w:color w:val="000000"/>
                <w:lang w:val="en-US" w:eastAsia="de-DE"/>
              </w:rPr>
              <w:t>leucine-rich repeat protein kinase</w:t>
            </w:r>
          </w:p>
        </w:tc>
        <w:tc>
          <w:tcPr>
            <w:tcW w:w="17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signalling</w:t>
            </w:r>
          </w:p>
        </w:tc>
        <w:tc>
          <w:tcPr>
            <w:tcW w:w="15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 xml:space="preserve">ex. Pip;                </w:t>
            </w:r>
            <w:r w:rsidRPr="0034022A">
              <w:rPr>
                <w:rFonts w:ascii="Calibri" w:eastAsia="Times New Roman" w:hAnsi="Calibri" w:cs="Times New Roman"/>
                <w:i/>
                <w:iCs/>
                <w:color w:val="000000"/>
                <w:lang w:val="de-DE" w:eastAsia="de-DE"/>
              </w:rPr>
              <w:t xml:space="preserve">Psm </w:t>
            </w:r>
            <w:r w:rsidRPr="0034022A">
              <w:rPr>
                <w:rFonts w:ascii="Calibri" w:eastAsia="Times New Roman" w:hAnsi="Calibri" w:cs="Times New Roman"/>
                <w:color w:val="000000"/>
                <w:lang w:val="de-DE" w:eastAsia="de-DE"/>
              </w:rPr>
              <w:t>local</w:t>
            </w:r>
          </w:p>
        </w:tc>
        <w:tc>
          <w:tcPr>
            <w:tcW w:w="20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SA-dependent</w:t>
            </w:r>
          </w:p>
        </w:tc>
        <w:tc>
          <w:tcPr>
            <w:tcW w:w="80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P</w:t>
            </w:r>
          </w:p>
        </w:tc>
        <w:tc>
          <w:tcPr>
            <w:tcW w:w="66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np</w:t>
            </w:r>
          </w:p>
        </w:tc>
        <w:tc>
          <w:tcPr>
            <w:tcW w:w="76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np</w:t>
            </w:r>
          </w:p>
        </w:tc>
      </w:tr>
      <w:tr w:rsidR="0034022A" w:rsidRPr="0034022A" w:rsidTr="007236D3">
        <w:trPr>
          <w:trHeight w:val="1200"/>
          <w:jc w:val="center"/>
        </w:trPr>
        <w:tc>
          <w:tcPr>
            <w:tcW w:w="1320" w:type="dxa"/>
            <w:tcBorders>
              <w:top w:val="nil"/>
              <w:left w:val="single" w:sz="4" w:space="0" w:color="auto"/>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i/>
                <w:iCs/>
                <w:color w:val="000000"/>
                <w:lang w:val="de-DE" w:eastAsia="de-DE"/>
              </w:rPr>
            </w:pPr>
            <w:r w:rsidRPr="0034022A">
              <w:rPr>
                <w:rFonts w:ascii="Calibri" w:eastAsia="Times New Roman" w:hAnsi="Calibri" w:cs="Times New Roman"/>
                <w:i/>
                <w:iCs/>
                <w:color w:val="000000"/>
                <w:lang w:val="de-DE" w:eastAsia="de-DE"/>
              </w:rPr>
              <w:t>SAG13</w:t>
            </w:r>
          </w:p>
        </w:tc>
        <w:tc>
          <w:tcPr>
            <w:tcW w:w="1240" w:type="dxa"/>
            <w:tcBorders>
              <w:top w:val="nil"/>
              <w:left w:val="nil"/>
              <w:bottom w:val="nil"/>
              <w:right w:val="single" w:sz="4" w:space="0" w:color="auto"/>
            </w:tcBorders>
            <w:shd w:val="clear" w:color="auto" w:fill="auto"/>
            <w:noWrap/>
            <w:vAlign w:val="center"/>
            <w:hideMark/>
          </w:tcPr>
          <w:p w:rsidR="0034022A" w:rsidRPr="001F5EB3" w:rsidRDefault="0034022A" w:rsidP="0034022A">
            <w:pPr>
              <w:spacing w:after="0" w:line="240" w:lineRule="auto"/>
              <w:jc w:val="center"/>
              <w:rPr>
                <w:rFonts w:ascii="Calibri" w:eastAsia="Times New Roman" w:hAnsi="Calibri" w:cs="Times New Roman"/>
                <w:i/>
                <w:color w:val="000000"/>
                <w:lang w:val="de-DE" w:eastAsia="de-DE"/>
              </w:rPr>
            </w:pPr>
            <w:r w:rsidRPr="001F5EB3">
              <w:rPr>
                <w:rFonts w:ascii="Calibri" w:eastAsia="Times New Roman" w:hAnsi="Calibri" w:cs="Times New Roman"/>
                <w:i/>
                <w:color w:val="000000"/>
                <w:lang w:val="de-DE" w:eastAsia="de-DE"/>
              </w:rPr>
              <w:t>At2g29350</w:t>
            </w:r>
          </w:p>
        </w:tc>
        <w:tc>
          <w:tcPr>
            <w:tcW w:w="22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en-US" w:eastAsia="de-DE"/>
              </w:rPr>
            </w:pPr>
            <w:r w:rsidRPr="0034022A">
              <w:rPr>
                <w:rFonts w:ascii="Calibri" w:eastAsia="Times New Roman" w:hAnsi="Calibri" w:cs="Times New Roman"/>
                <w:color w:val="000000"/>
                <w:lang w:val="en-US" w:eastAsia="de-DE"/>
              </w:rPr>
              <w:t>short-chain alcohol dehydrogenase; senescence process</w:t>
            </w:r>
          </w:p>
        </w:tc>
        <w:tc>
          <w:tcPr>
            <w:tcW w:w="17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senescence/             cell death</w:t>
            </w:r>
          </w:p>
        </w:tc>
        <w:tc>
          <w:tcPr>
            <w:tcW w:w="15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i/>
                <w:iCs/>
                <w:color w:val="000000"/>
                <w:lang w:val="de-DE" w:eastAsia="de-DE"/>
              </w:rPr>
              <w:t>Psm</w:t>
            </w:r>
            <w:r w:rsidRPr="0034022A">
              <w:rPr>
                <w:rFonts w:ascii="Calibri" w:eastAsia="Times New Roman" w:hAnsi="Calibri" w:cs="Times New Roman"/>
                <w:color w:val="000000"/>
                <w:lang w:val="de-DE" w:eastAsia="de-DE"/>
              </w:rPr>
              <w:t xml:space="preserve"> local; SAR</w:t>
            </w:r>
          </w:p>
        </w:tc>
        <w:tc>
          <w:tcPr>
            <w:tcW w:w="20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SA-independent</w:t>
            </w:r>
          </w:p>
        </w:tc>
        <w:tc>
          <w:tcPr>
            <w:tcW w:w="80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P</w:t>
            </w:r>
          </w:p>
        </w:tc>
        <w:tc>
          <w:tcPr>
            <w:tcW w:w="66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np</w:t>
            </w:r>
          </w:p>
        </w:tc>
        <w:tc>
          <w:tcPr>
            <w:tcW w:w="76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np</w:t>
            </w:r>
          </w:p>
        </w:tc>
      </w:tr>
      <w:tr w:rsidR="0034022A" w:rsidRPr="0034022A" w:rsidTr="007236D3">
        <w:trPr>
          <w:trHeight w:val="1200"/>
          <w:jc w:val="center"/>
        </w:trPr>
        <w:tc>
          <w:tcPr>
            <w:tcW w:w="1320" w:type="dxa"/>
            <w:tcBorders>
              <w:top w:val="nil"/>
              <w:left w:val="single" w:sz="4" w:space="0" w:color="auto"/>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i/>
                <w:iCs/>
                <w:color w:val="000000"/>
                <w:lang w:val="de-DE" w:eastAsia="de-DE"/>
              </w:rPr>
            </w:pPr>
            <w:r w:rsidRPr="0034022A">
              <w:rPr>
                <w:rFonts w:ascii="Calibri" w:eastAsia="Times New Roman" w:hAnsi="Calibri" w:cs="Times New Roman"/>
                <w:i/>
                <w:iCs/>
                <w:color w:val="000000"/>
                <w:lang w:val="de-DE" w:eastAsia="de-DE"/>
              </w:rPr>
              <w:t>SDR4</w:t>
            </w:r>
          </w:p>
        </w:tc>
        <w:tc>
          <w:tcPr>
            <w:tcW w:w="1240" w:type="dxa"/>
            <w:tcBorders>
              <w:top w:val="nil"/>
              <w:left w:val="nil"/>
              <w:bottom w:val="nil"/>
              <w:right w:val="single" w:sz="4" w:space="0" w:color="auto"/>
            </w:tcBorders>
            <w:shd w:val="clear" w:color="auto" w:fill="auto"/>
            <w:noWrap/>
            <w:vAlign w:val="center"/>
            <w:hideMark/>
          </w:tcPr>
          <w:p w:rsidR="0034022A" w:rsidRPr="001F5EB3" w:rsidRDefault="0034022A" w:rsidP="0034022A">
            <w:pPr>
              <w:spacing w:after="0" w:line="240" w:lineRule="auto"/>
              <w:jc w:val="center"/>
              <w:rPr>
                <w:rFonts w:ascii="Calibri" w:eastAsia="Times New Roman" w:hAnsi="Calibri" w:cs="Times New Roman"/>
                <w:i/>
                <w:color w:val="000000"/>
                <w:lang w:val="de-DE" w:eastAsia="de-DE"/>
              </w:rPr>
            </w:pPr>
            <w:r w:rsidRPr="001F5EB3">
              <w:rPr>
                <w:rFonts w:ascii="Calibri" w:eastAsia="Times New Roman" w:hAnsi="Calibri" w:cs="Times New Roman"/>
                <w:i/>
                <w:color w:val="000000"/>
                <w:lang w:val="de-DE" w:eastAsia="de-DE"/>
              </w:rPr>
              <w:t>At3g29250</w:t>
            </w:r>
          </w:p>
        </w:tc>
        <w:tc>
          <w:tcPr>
            <w:tcW w:w="22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short-chain dehydrogenase reductase</w:t>
            </w:r>
          </w:p>
        </w:tc>
        <w:tc>
          <w:tcPr>
            <w:tcW w:w="17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signalling</w:t>
            </w:r>
          </w:p>
        </w:tc>
        <w:tc>
          <w:tcPr>
            <w:tcW w:w="15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 xml:space="preserve">ex. Pip;            </w:t>
            </w:r>
            <w:r w:rsidRPr="0034022A">
              <w:rPr>
                <w:rFonts w:ascii="Calibri" w:eastAsia="Times New Roman" w:hAnsi="Calibri" w:cs="Times New Roman"/>
                <w:i/>
                <w:iCs/>
                <w:color w:val="000000"/>
                <w:lang w:val="de-DE" w:eastAsia="de-DE"/>
              </w:rPr>
              <w:t xml:space="preserve"> Psm</w:t>
            </w:r>
            <w:r w:rsidRPr="0034022A">
              <w:rPr>
                <w:rFonts w:ascii="Calibri" w:eastAsia="Times New Roman" w:hAnsi="Calibri" w:cs="Times New Roman"/>
                <w:color w:val="000000"/>
                <w:lang w:val="de-DE" w:eastAsia="de-DE"/>
              </w:rPr>
              <w:t xml:space="preserve"> local</w:t>
            </w:r>
          </w:p>
        </w:tc>
        <w:tc>
          <w:tcPr>
            <w:tcW w:w="20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SA-dependent</w:t>
            </w:r>
          </w:p>
        </w:tc>
        <w:tc>
          <w:tcPr>
            <w:tcW w:w="80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np</w:t>
            </w:r>
          </w:p>
        </w:tc>
        <w:tc>
          <w:tcPr>
            <w:tcW w:w="66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np</w:t>
            </w:r>
          </w:p>
        </w:tc>
        <w:tc>
          <w:tcPr>
            <w:tcW w:w="76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np</w:t>
            </w:r>
          </w:p>
        </w:tc>
      </w:tr>
      <w:tr w:rsidR="0034022A" w:rsidRPr="0034022A" w:rsidTr="007236D3">
        <w:trPr>
          <w:trHeight w:val="1200"/>
          <w:jc w:val="center"/>
        </w:trPr>
        <w:tc>
          <w:tcPr>
            <w:tcW w:w="1320" w:type="dxa"/>
            <w:tcBorders>
              <w:top w:val="nil"/>
              <w:left w:val="single" w:sz="4" w:space="0" w:color="auto"/>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i/>
                <w:iCs/>
                <w:color w:val="000000"/>
                <w:lang w:val="de-DE" w:eastAsia="de-DE"/>
              </w:rPr>
            </w:pPr>
            <w:r w:rsidRPr="0034022A">
              <w:rPr>
                <w:rFonts w:ascii="Calibri" w:eastAsia="Times New Roman" w:hAnsi="Calibri" w:cs="Times New Roman"/>
                <w:i/>
                <w:iCs/>
                <w:color w:val="000000"/>
                <w:lang w:val="de-DE" w:eastAsia="de-DE"/>
              </w:rPr>
              <w:t>TPPD</w:t>
            </w:r>
          </w:p>
        </w:tc>
        <w:tc>
          <w:tcPr>
            <w:tcW w:w="1240" w:type="dxa"/>
            <w:tcBorders>
              <w:top w:val="nil"/>
              <w:left w:val="nil"/>
              <w:bottom w:val="nil"/>
              <w:right w:val="single" w:sz="4" w:space="0" w:color="auto"/>
            </w:tcBorders>
            <w:shd w:val="clear" w:color="auto" w:fill="auto"/>
            <w:noWrap/>
            <w:vAlign w:val="center"/>
            <w:hideMark/>
          </w:tcPr>
          <w:p w:rsidR="0034022A" w:rsidRPr="001F5EB3" w:rsidRDefault="0034022A" w:rsidP="0034022A">
            <w:pPr>
              <w:spacing w:after="0" w:line="240" w:lineRule="auto"/>
              <w:jc w:val="center"/>
              <w:rPr>
                <w:rFonts w:ascii="Calibri" w:eastAsia="Times New Roman" w:hAnsi="Calibri" w:cs="Times New Roman"/>
                <w:i/>
                <w:color w:val="000000"/>
                <w:lang w:val="de-DE" w:eastAsia="de-DE"/>
              </w:rPr>
            </w:pPr>
            <w:r w:rsidRPr="001F5EB3">
              <w:rPr>
                <w:rFonts w:ascii="Calibri" w:eastAsia="Times New Roman" w:hAnsi="Calibri" w:cs="Times New Roman"/>
                <w:i/>
                <w:color w:val="000000"/>
                <w:lang w:val="de-DE" w:eastAsia="de-DE"/>
              </w:rPr>
              <w:t>At1g35910</w:t>
            </w:r>
          </w:p>
        </w:tc>
        <w:tc>
          <w:tcPr>
            <w:tcW w:w="22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trehalose-6-phosphate phosphatase</w:t>
            </w:r>
          </w:p>
        </w:tc>
        <w:tc>
          <w:tcPr>
            <w:tcW w:w="17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metabolism</w:t>
            </w:r>
          </w:p>
        </w:tc>
        <w:tc>
          <w:tcPr>
            <w:tcW w:w="15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 xml:space="preserve">ex. Pip;           </w:t>
            </w:r>
            <w:r w:rsidRPr="0034022A">
              <w:rPr>
                <w:rFonts w:ascii="Calibri" w:eastAsia="Times New Roman" w:hAnsi="Calibri" w:cs="Times New Roman"/>
                <w:i/>
                <w:iCs/>
                <w:color w:val="000000"/>
                <w:lang w:val="de-DE" w:eastAsia="de-DE"/>
              </w:rPr>
              <w:t>Psm</w:t>
            </w:r>
            <w:r w:rsidRPr="0034022A">
              <w:rPr>
                <w:rFonts w:ascii="Calibri" w:eastAsia="Times New Roman" w:hAnsi="Calibri" w:cs="Times New Roman"/>
                <w:color w:val="000000"/>
                <w:lang w:val="de-DE" w:eastAsia="de-DE"/>
              </w:rPr>
              <w:t xml:space="preserve"> local</w:t>
            </w:r>
          </w:p>
        </w:tc>
        <w:tc>
          <w:tcPr>
            <w:tcW w:w="20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SA-independent</w:t>
            </w:r>
          </w:p>
        </w:tc>
        <w:tc>
          <w:tcPr>
            <w:tcW w:w="80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P</w:t>
            </w:r>
          </w:p>
        </w:tc>
        <w:tc>
          <w:tcPr>
            <w:tcW w:w="66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np</w:t>
            </w:r>
          </w:p>
        </w:tc>
        <w:tc>
          <w:tcPr>
            <w:tcW w:w="76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P</w:t>
            </w:r>
          </w:p>
        </w:tc>
      </w:tr>
      <w:tr w:rsidR="0034022A" w:rsidRPr="0034022A" w:rsidTr="007236D3">
        <w:trPr>
          <w:trHeight w:val="1200"/>
          <w:jc w:val="center"/>
        </w:trPr>
        <w:tc>
          <w:tcPr>
            <w:tcW w:w="1320" w:type="dxa"/>
            <w:tcBorders>
              <w:top w:val="nil"/>
              <w:left w:val="single" w:sz="4" w:space="0" w:color="auto"/>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i/>
                <w:iCs/>
                <w:color w:val="000000"/>
                <w:lang w:val="de-DE" w:eastAsia="de-DE"/>
              </w:rPr>
            </w:pPr>
            <w:r w:rsidRPr="0034022A">
              <w:rPr>
                <w:rFonts w:ascii="Calibri" w:eastAsia="Times New Roman" w:hAnsi="Calibri" w:cs="Times New Roman"/>
                <w:i/>
                <w:iCs/>
                <w:color w:val="000000"/>
                <w:lang w:val="de-DE" w:eastAsia="de-DE"/>
              </w:rPr>
              <w:t>UGT73B2</w:t>
            </w:r>
          </w:p>
        </w:tc>
        <w:tc>
          <w:tcPr>
            <w:tcW w:w="1240" w:type="dxa"/>
            <w:tcBorders>
              <w:top w:val="nil"/>
              <w:left w:val="nil"/>
              <w:bottom w:val="nil"/>
              <w:right w:val="single" w:sz="4" w:space="0" w:color="auto"/>
            </w:tcBorders>
            <w:shd w:val="clear" w:color="auto" w:fill="auto"/>
            <w:noWrap/>
            <w:vAlign w:val="center"/>
            <w:hideMark/>
          </w:tcPr>
          <w:p w:rsidR="0034022A" w:rsidRPr="001F5EB3" w:rsidRDefault="0034022A" w:rsidP="0034022A">
            <w:pPr>
              <w:spacing w:after="0" w:line="240" w:lineRule="auto"/>
              <w:jc w:val="center"/>
              <w:rPr>
                <w:rFonts w:ascii="Calibri" w:eastAsia="Times New Roman" w:hAnsi="Calibri" w:cs="Times New Roman"/>
                <w:i/>
                <w:color w:val="000000"/>
                <w:lang w:val="de-DE" w:eastAsia="de-DE"/>
              </w:rPr>
            </w:pPr>
            <w:r w:rsidRPr="001F5EB3">
              <w:rPr>
                <w:rFonts w:ascii="Calibri" w:eastAsia="Times New Roman" w:hAnsi="Calibri" w:cs="Times New Roman"/>
                <w:i/>
                <w:color w:val="000000"/>
                <w:lang w:val="de-DE" w:eastAsia="de-DE"/>
              </w:rPr>
              <w:t>At4g34131</w:t>
            </w:r>
          </w:p>
        </w:tc>
        <w:tc>
          <w:tcPr>
            <w:tcW w:w="22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UDP-glucosyltransferase</w:t>
            </w:r>
          </w:p>
        </w:tc>
        <w:tc>
          <w:tcPr>
            <w:tcW w:w="17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ROS generation</w:t>
            </w:r>
          </w:p>
        </w:tc>
        <w:tc>
          <w:tcPr>
            <w:tcW w:w="15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en-US" w:eastAsia="de-DE"/>
              </w:rPr>
            </w:pPr>
            <w:r w:rsidRPr="0034022A">
              <w:rPr>
                <w:rFonts w:ascii="Calibri" w:eastAsia="Times New Roman" w:hAnsi="Calibri" w:cs="Times New Roman"/>
                <w:color w:val="000000"/>
                <w:lang w:val="en-US" w:eastAsia="de-DE"/>
              </w:rPr>
              <w:t xml:space="preserve">ex. Pip;            </w:t>
            </w:r>
            <w:r w:rsidRPr="0034022A">
              <w:rPr>
                <w:rFonts w:ascii="Calibri" w:eastAsia="Times New Roman" w:hAnsi="Calibri" w:cs="Times New Roman"/>
                <w:i/>
                <w:iCs/>
                <w:color w:val="000000"/>
                <w:lang w:val="en-US" w:eastAsia="de-DE"/>
              </w:rPr>
              <w:t>Psm</w:t>
            </w:r>
            <w:r w:rsidRPr="0034022A">
              <w:rPr>
                <w:rFonts w:ascii="Calibri" w:eastAsia="Times New Roman" w:hAnsi="Calibri" w:cs="Times New Roman"/>
                <w:color w:val="000000"/>
                <w:lang w:val="en-US" w:eastAsia="de-DE"/>
              </w:rPr>
              <w:t xml:space="preserve"> local; SAR</w:t>
            </w:r>
          </w:p>
        </w:tc>
        <w:tc>
          <w:tcPr>
            <w:tcW w:w="2060" w:type="dxa"/>
            <w:tcBorders>
              <w:top w:val="nil"/>
              <w:left w:val="nil"/>
              <w:bottom w:val="nil"/>
              <w:right w:val="single" w:sz="4" w:space="0" w:color="auto"/>
            </w:tcBorders>
            <w:shd w:val="clear" w:color="auto" w:fill="auto"/>
            <w:vAlign w:val="center"/>
            <w:hideMark/>
          </w:tcPr>
          <w:p w:rsidR="0034022A" w:rsidRPr="0034022A" w:rsidRDefault="00F875EB" w:rsidP="0034022A">
            <w:pPr>
              <w:spacing w:after="0" w:line="240" w:lineRule="auto"/>
              <w:jc w:val="center"/>
              <w:rPr>
                <w:rFonts w:ascii="Calibri" w:eastAsia="Times New Roman" w:hAnsi="Calibri" w:cs="Times New Roman"/>
                <w:color w:val="000000"/>
                <w:lang w:val="de-DE" w:eastAsia="de-DE"/>
              </w:rPr>
            </w:pPr>
            <w:r>
              <w:rPr>
                <w:rFonts w:ascii="Calibri" w:eastAsia="Times New Roman" w:hAnsi="Calibri" w:cs="Times New Roman"/>
                <w:color w:val="000000"/>
                <w:lang w:val="de-DE" w:eastAsia="de-DE"/>
              </w:rPr>
              <w:t>partially</w:t>
            </w:r>
            <w:r w:rsidR="0034022A" w:rsidRPr="0034022A">
              <w:rPr>
                <w:rFonts w:ascii="Calibri" w:eastAsia="Times New Roman" w:hAnsi="Calibri" w:cs="Times New Roman"/>
                <w:color w:val="000000"/>
                <w:lang w:val="de-DE" w:eastAsia="de-DE"/>
              </w:rPr>
              <w:t xml:space="preserve">                                       SA-dependent</w:t>
            </w:r>
          </w:p>
        </w:tc>
        <w:tc>
          <w:tcPr>
            <w:tcW w:w="80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P</w:t>
            </w:r>
          </w:p>
        </w:tc>
        <w:tc>
          <w:tcPr>
            <w:tcW w:w="66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np</w:t>
            </w:r>
          </w:p>
        </w:tc>
        <w:tc>
          <w:tcPr>
            <w:tcW w:w="76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np</w:t>
            </w:r>
          </w:p>
        </w:tc>
      </w:tr>
      <w:tr w:rsidR="0034022A" w:rsidRPr="0034022A" w:rsidTr="007236D3">
        <w:trPr>
          <w:trHeight w:val="1200"/>
          <w:jc w:val="center"/>
        </w:trPr>
        <w:tc>
          <w:tcPr>
            <w:tcW w:w="1320" w:type="dxa"/>
            <w:tcBorders>
              <w:top w:val="nil"/>
              <w:left w:val="single" w:sz="4" w:space="0" w:color="auto"/>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i/>
                <w:iCs/>
                <w:color w:val="000000"/>
                <w:lang w:val="de-DE" w:eastAsia="de-DE"/>
              </w:rPr>
            </w:pPr>
            <w:r w:rsidRPr="0034022A">
              <w:rPr>
                <w:rFonts w:ascii="Calibri" w:eastAsia="Times New Roman" w:hAnsi="Calibri" w:cs="Times New Roman"/>
                <w:i/>
                <w:iCs/>
                <w:color w:val="000000"/>
                <w:lang w:val="de-DE" w:eastAsia="de-DE"/>
              </w:rPr>
              <w:t>UGT73B3</w:t>
            </w:r>
          </w:p>
        </w:tc>
        <w:tc>
          <w:tcPr>
            <w:tcW w:w="1240" w:type="dxa"/>
            <w:tcBorders>
              <w:top w:val="nil"/>
              <w:left w:val="nil"/>
              <w:bottom w:val="nil"/>
              <w:right w:val="single" w:sz="4" w:space="0" w:color="auto"/>
            </w:tcBorders>
            <w:shd w:val="clear" w:color="auto" w:fill="auto"/>
            <w:noWrap/>
            <w:vAlign w:val="center"/>
            <w:hideMark/>
          </w:tcPr>
          <w:p w:rsidR="0034022A" w:rsidRPr="001F5EB3" w:rsidRDefault="0034022A" w:rsidP="0034022A">
            <w:pPr>
              <w:spacing w:after="0" w:line="240" w:lineRule="auto"/>
              <w:jc w:val="center"/>
              <w:rPr>
                <w:rFonts w:ascii="Calibri" w:eastAsia="Times New Roman" w:hAnsi="Calibri" w:cs="Times New Roman"/>
                <w:i/>
                <w:color w:val="000000"/>
                <w:lang w:val="de-DE" w:eastAsia="de-DE"/>
              </w:rPr>
            </w:pPr>
            <w:r w:rsidRPr="001F5EB3">
              <w:rPr>
                <w:rFonts w:ascii="Calibri" w:eastAsia="Times New Roman" w:hAnsi="Calibri" w:cs="Times New Roman"/>
                <w:i/>
                <w:color w:val="000000"/>
                <w:lang w:val="de-DE" w:eastAsia="de-DE"/>
              </w:rPr>
              <w:t>At4g34135</w:t>
            </w:r>
          </w:p>
        </w:tc>
        <w:tc>
          <w:tcPr>
            <w:tcW w:w="22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UDP-glucosyltransferase</w:t>
            </w:r>
          </w:p>
        </w:tc>
        <w:tc>
          <w:tcPr>
            <w:tcW w:w="17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ROS generation</w:t>
            </w:r>
          </w:p>
        </w:tc>
        <w:tc>
          <w:tcPr>
            <w:tcW w:w="15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en-US" w:eastAsia="de-DE"/>
              </w:rPr>
            </w:pPr>
            <w:r w:rsidRPr="0034022A">
              <w:rPr>
                <w:rFonts w:ascii="Calibri" w:eastAsia="Times New Roman" w:hAnsi="Calibri" w:cs="Times New Roman"/>
                <w:color w:val="000000"/>
                <w:lang w:val="en-US" w:eastAsia="de-DE"/>
              </w:rPr>
              <w:t xml:space="preserve">ex. Pip;             </w:t>
            </w:r>
            <w:r w:rsidRPr="0034022A">
              <w:rPr>
                <w:rFonts w:ascii="Calibri" w:eastAsia="Times New Roman" w:hAnsi="Calibri" w:cs="Times New Roman"/>
                <w:i/>
                <w:iCs/>
                <w:color w:val="000000"/>
                <w:lang w:val="en-US" w:eastAsia="de-DE"/>
              </w:rPr>
              <w:t>Psm</w:t>
            </w:r>
            <w:r w:rsidRPr="0034022A">
              <w:rPr>
                <w:rFonts w:ascii="Calibri" w:eastAsia="Times New Roman" w:hAnsi="Calibri" w:cs="Times New Roman"/>
                <w:color w:val="000000"/>
                <w:lang w:val="en-US" w:eastAsia="de-DE"/>
              </w:rPr>
              <w:t xml:space="preserve"> local; SAR</w:t>
            </w:r>
          </w:p>
        </w:tc>
        <w:tc>
          <w:tcPr>
            <w:tcW w:w="2060" w:type="dxa"/>
            <w:tcBorders>
              <w:top w:val="nil"/>
              <w:left w:val="nil"/>
              <w:bottom w:val="nil"/>
              <w:right w:val="single" w:sz="4" w:space="0" w:color="auto"/>
            </w:tcBorders>
            <w:shd w:val="clear" w:color="auto" w:fill="auto"/>
            <w:vAlign w:val="center"/>
            <w:hideMark/>
          </w:tcPr>
          <w:p w:rsidR="0034022A" w:rsidRPr="0034022A" w:rsidRDefault="00F875EB" w:rsidP="0034022A">
            <w:pPr>
              <w:spacing w:after="0" w:line="240" w:lineRule="auto"/>
              <w:jc w:val="center"/>
              <w:rPr>
                <w:rFonts w:ascii="Calibri" w:eastAsia="Times New Roman" w:hAnsi="Calibri" w:cs="Times New Roman"/>
                <w:color w:val="000000"/>
                <w:lang w:val="de-DE" w:eastAsia="de-DE"/>
              </w:rPr>
            </w:pPr>
            <w:r>
              <w:rPr>
                <w:rFonts w:ascii="Calibri" w:eastAsia="Times New Roman" w:hAnsi="Calibri" w:cs="Times New Roman"/>
                <w:color w:val="000000"/>
                <w:lang w:val="de-DE" w:eastAsia="de-DE"/>
              </w:rPr>
              <w:t>partially</w:t>
            </w:r>
            <w:r w:rsidR="0034022A" w:rsidRPr="0034022A">
              <w:rPr>
                <w:rFonts w:ascii="Calibri" w:eastAsia="Times New Roman" w:hAnsi="Calibri" w:cs="Times New Roman"/>
                <w:color w:val="000000"/>
                <w:lang w:val="de-DE" w:eastAsia="de-DE"/>
              </w:rPr>
              <w:t xml:space="preserve">                                SA-dependent</w:t>
            </w:r>
          </w:p>
        </w:tc>
        <w:tc>
          <w:tcPr>
            <w:tcW w:w="80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P</w:t>
            </w:r>
          </w:p>
        </w:tc>
        <w:tc>
          <w:tcPr>
            <w:tcW w:w="66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np</w:t>
            </w:r>
          </w:p>
        </w:tc>
        <w:tc>
          <w:tcPr>
            <w:tcW w:w="76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np</w:t>
            </w:r>
          </w:p>
        </w:tc>
      </w:tr>
      <w:tr w:rsidR="0034022A" w:rsidRPr="0034022A" w:rsidTr="007236D3">
        <w:trPr>
          <w:trHeight w:val="1200"/>
          <w:jc w:val="center"/>
        </w:trPr>
        <w:tc>
          <w:tcPr>
            <w:tcW w:w="1320" w:type="dxa"/>
            <w:tcBorders>
              <w:top w:val="nil"/>
              <w:left w:val="single" w:sz="4" w:space="0" w:color="auto"/>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i/>
                <w:iCs/>
                <w:color w:val="000000"/>
                <w:lang w:val="de-DE" w:eastAsia="de-DE"/>
              </w:rPr>
            </w:pPr>
            <w:r w:rsidRPr="0034022A">
              <w:rPr>
                <w:rFonts w:ascii="Calibri" w:eastAsia="Times New Roman" w:hAnsi="Calibri" w:cs="Times New Roman"/>
                <w:i/>
                <w:iCs/>
                <w:color w:val="000000"/>
                <w:lang w:val="de-DE" w:eastAsia="de-DE"/>
              </w:rPr>
              <w:t>UGT73D1</w:t>
            </w:r>
          </w:p>
        </w:tc>
        <w:tc>
          <w:tcPr>
            <w:tcW w:w="1240" w:type="dxa"/>
            <w:tcBorders>
              <w:top w:val="nil"/>
              <w:left w:val="nil"/>
              <w:bottom w:val="nil"/>
              <w:right w:val="single" w:sz="4" w:space="0" w:color="auto"/>
            </w:tcBorders>
            <w:shd w:val="clear" w:color="auto" w:fill="auto"/>
            <w:noWrap/>
            <w:vAlign w:val="center"/>
            <w:hideMark/>
          </w:tcPr>
          <w:p w:rsidR="0034022A" w:rsidRPr="001F5EB3" w:rsidRDefault="0034022A" w:rsidP="0034022A">
            <w:pPr>
              <w:spacing w:after="0" w:line="240" w:lineRule="auto"/>
              <w:jc w:val="center"/>
              <w:rPr>
                <w:rFonts w:ascii="Calibri" w:eastAsia="Times New Roman" w:hAnsi="Calibri" w:cs="Times New Roman"/>
                <w:i/>
                <w:color w:val="000000"/>
                <w:lang w:val="de-DE" w:eastAsia="de-DE"/>
              </w:rPr>
            </w:pPr>
            <w:r w:rsidRPr="001F5EB3">
              <w:rPr>
                <w:rFonts w:ascii="Calibri" w:eastAsia="Times New Roman" w:hAnsi="Calibri" w:cs="Times New Roman"/>
                <w:i/>
                <w:color w:val="000000"/>
                <w:lang w:val="de-DE" w:eastAsia="de-DE"/>
              </w:rPr>
              <w:t>At3g53150</w:t>
            </w:r>
          </w:p>
        </w:tc>
        <w:tc>
          <w:tcPr>
            <w:tcW w:w="22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glucosyltransferase - like protein</w:t>
            </w:r>
          </w:p>
        </w:tc>
        <w:tc>
          <w:tcPr>
            <w:tcW w:w="17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metabolism</w:t>
            </w:r>
          </w:p>
        </w:tc>
        <w:tc>
          <w:tcPr>
            <w:tcW w:w="15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en-US" w:eastAsia="de-DE"/>
              </w:rPr>
            </w:pPr>
            <w:r w:rsidRPr="0034022A">
              <w:rPr>
                <w:rFonts w:ascii="Calibri" w:eastAsia="Times New Roman" w:hAnsi="Calibri" w:cs="Times New Roman"/>
                <w:color w:val="000000"/>
                <w:lang w:val="en-US" w:eastAsia="de-DE"/>
              </w:rPr>
              <w:t xml:space="preserve">ex. Pip;               </w:t>
            </w:r>
            <w:r w:rsidRPr="0034022A">
              <w:rPr>
                <w:rFonts w:ascii="Calibri" w:eastAsia="Times New Roman" w:hAnsi="Calibri" w:cs="Times New Roman"/>
                <w:i/>
                <w:iCs/>
                <w:color w:val="000000"/>
                <w:lang w:val="en-US" w:eastAsia="de-DE"/>
              </w:rPr>
              <w:t>Psm</w:t>
            </w:r>
            <w:r w:rsidRPr="0034022A">
              <w:rPr>
                <w:rFonts w:ascii="Calibri" w:eastAsia="Times New Roman" w:hAnsi="Calibri" w:cs="Times New Roman"/>
                <w:color w:val="000000"/>
                <w:lang w:val="en-US" w:eastAsia="de-DE"/>
              </w:rPr>
              <w:t xml:space="preserve"> local; SAR</w:t>
            </w:r>
          </w:p>
        </w:tc>
        <w:tc>
          <w:tcPr>
            <w:tcW w:w="20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SA-dependent</w:t>
            </w:r>
          </w:p>
        </w:tc>
        <w:tc>
          <w:tcPr>
            <w:tcW w:w="80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np</w:t>
            </w:r>
          </w:p>
        </w:tc>
        <w:tc>
          <w:tcPr>
            <w:tcW w:w="66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np</w:t>
            </w:r>
          </w:p>
        </w:tc>
        <w:tc>
          <w:tcPr>
            <w:tcW w:w="76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np</w:t>
            </w:r>
          </w:p>
        </w:tc>
      </w:tr>
      <w:tr w:rsidR="0034022A" w:rsidRPr="0034022A" w:rsidTr="007236D3">
        <w:trPr>
          <w:trHeight w:val="1200"/>
          <w:jc w:val="center"/>
        </w:trPr>
        <w:tc>
          <w:tcPr>
            <w:tcW w:w="1320" w:type="dxa"/>
            <w:tcBorders>
              <w:top w:val="nil"/>
              <w:left w:val="single" w:sz="4" w:space="0" w:color="auto"/>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i/>
                <w:iCs/>
                <w:color w:val="000000"/>
                <w:lang w:val="de-DE" w:eastAsia="de-DE"/>
              </w:rPr>
            </w:pPr>
            <w:r w:rsidRPr="0034022A">
              <w:rPr>
                <w:rFonts w:ascii="Calibri" w:eastAsia="Times New Roman" w:hAnsi="Calibri" w:cs="Times New Roman"/>
                <w:i/>
                <w:iCs/>
                <w:color w:val="000000"/>
                <w:lang w:val="de-DE" w:eastAsia="de-DE"/>
              </w:rPr>
              <w:lastRenderedPageBreak/>
              <w:t>UGT74E2</w:t>
            </w:r>
          </w:p>
        </w:tc>
        <w:tc>
          <w:tcPr>
            <w:tcW w:w="1240" w:type="dxa"/>
            <w:tcBorders>
              <w:top w:val="nil"/>
              <w:left w:val="nil"/>
              <w:bottom w:val="nil"/>
              <w:right w:val="single" w:sz="4" w:space="0" w:color="auto"/>
            </w:tcBorders>
            <w:shd w:val="clear" w:color="auto" w:fill="auto"/>
            <w:noWrap/>
            <w:vAlign w:val="center"/>
            <w:hideMark/>
          </w:tcPr>
          <w:p w:rsidR="0034022A" w:rsidRPr="001F5EB3" w:rsidRDefault="0034022A" w:rsidP="0034022A">
            <w:pPr>
              <w:spacing w:after="0" w:line="240" w:lineRule="auto"/>
              <w:jc w:val="center"/>
              <w:rPr>
                <w:rFonts w:ascii="Calibri" w:eastAsia="Times New Roman" w:hAnsi="Calibri" w:cs="Times New Roman"/>
                <w:i/>
                <w:color w:val="000000"/>
                <w:lang w:val="de-DE" w:eastAsia="de-DE"/>
              </w:rPr>
            </w:pPr>
            <w:r w:rsidRPr="001F5EB3">
              <w:rPr>
                <w:rFonts w:ascii="Calibri" w:eastAsia="Times New Roman" w:hAnsi="Calibri" w:cs="Times New Roman"/>
                <w:i/>
                <w:color w:val="000000"/>
                <w:lang w:val="de-DE" w:eastAsia="de-DE"/>
              </w:rPr>
              <w:t>At1g05680</w:t>
            </w:r>
          </w:p>
        </w:tc>
        <w:tc>
          <w:tcPr>
            <w:tcW w:w="22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 xml:space="preserve">indole-3-acetate beta-glucosyltransferase </w:t>
            </w:r>
          </w:p>
        </w:tc>
        <w:tc>
          <w:tcPr>
            <w:tcW w:w="17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abiotic stress</w:t>
            </w:r>
          </w:p>
        </w:tc>
        <w:tc>
          <w:tcPr>
            <w:tcW w:w="15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i/>
                <w:iCs/>
                <w:color w:val="000000"/>
                <w:lang w:val="de-DE" w:eastAsia="de-DE"/>
              </w:rPr>
              <w:t>Psm</w:t>
            </w:r>
            <w:r w:rsidRPr="0034022A">
              <w:rPr>
                <w:rFonts w:ascii="Calibri" w:eastAsia="Times New Roman" w:hAnsi="Calibri" w:cs="Times New Roman"/>
                <w:color w:val="000000"/>
                <w:lang w:val="de-DE" w:eastAsia="de-DE"/>
              </w:rPr>
              <w:t xml:space="preserve"> local</w:t>
            </w:r>
          </w:p>
        </w:tc>
        <w:tc>
          <w:tcPr>
            <w:tcW w:w="20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SA-independent</w:t>
            </w:r>
          </w:p>
        </w:tc>
        <w:tc>
          <w:tcPr>
            <w:tcW w:w="80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P</w:t>
            </w:r>
          </w:p>
        </w:tc>
        <w:tc>
          <w:tcPr>
            <w:tcW w:w="66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np</w:t>
            </w:r>
          </w:p>
        </w:tc>
        <w:tc>
          <w:tcPr>
            <w:tcW w:w="76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np</w:t>
            </w:r>
          </w:p>
        </w:tc>
      </w:tr>
      <w:tr w:rsidR="0034022A" w:rsidRPr="0034022A" w:rsidTr="007236D3">
        <w:trPr>
          <w:trHeight w:val="1200"/>
          <w:jc w:val="center"/>
        </w:trPr>
        <w:tc>
          <w:tcPr>
            <w:tcW w:w="1320" w:type="dxa"/>
            <w:tcBorders>
              <w:top w:val="nil"/>
              <w:left w:val="single" w:sz="4" w:space="0" w:color="auto"/>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i/>
                <w:iCs/>
                <w:color w:val="000000"/>
                <w:lang w:val="de-DE" w:eastAsia="de-DE"/>
              </w:rPr>
            </w:pPr>
            <w:r w:rsidRPr="0034022A">
              <w:rPr>
                <w:rFonts w:ascii="Calibri" w:eastAsia="Times New Roman" w:hAnsi="Calibri" w:cs="Times New Roman"/>
                <w:i/>
                <w:iCs/>
                <w:color w:val="000000"/>
                <w:lang w:val="de-DE" w:eastAsia="de-DE"/>
              </w:rPr>
              <w:t>UGT76B1</w:t>
            </w:r>
          </w:p>
        </w:tc>
        <w:tc>
          <w:tcPr>
            <w:tcW w:w="1240" w:type="dxa"/>
            <w:tcBorders>
              <w:top w:val="nil"/>
              <w:left w:val="nil"/>
              <w:bottom w:val="nil"/>
              <w:right w:val="single" w:sz="4" w:space="0" w:color="auto"/>
            </w:tcBorders>
            <w:shd w:val="clear" w:color="auto" w:fill="auto"/>
            <w:noWrap/>
            <w:vAlign w:val="center"/>
            <w:hideMark/>
          </w:tcPr>
          <w:p w:rsidR="0034022A" w:rsidRPr="001F5EB3" w:rsidRDefault="0034022A" w:rsidP="0034022A">
            <w:pPr>
              <w:spacing w:after="0" w:line="240" w:lineRule="auto"/>
              <w:jc w:val="center"/>
              <w:rPr>
                <w:rFonts w:ascii="Calibri" w:eastAsia="Times New Roman" w:hAnsi="Calibri" w:cs="Times New Roman"/>
                <w:i/>
                <w:color w:val="000000"/>
                <w:lang w:val="de-DE" w:eastAsia="de-DE"/>
              </w:rPr>
            </w:pPr>
            <w:r w:rsidRPr="001F5EB3">
              <w:rPr>
                <w:rFonts w:ascii="Calibri" w:eastAsia="Times New Roman" w:hAnsi="Calibri" w:cs="Times New Roman"/>
                <w:i/>
                <w:color w:val="000000"/>
                <w:lang w:val="de-DE" w:eastAsia="de-DE"/>
              </w:rPr>
              <w:t>At3g11340</w:t>
            </w:r>
          </w:p>
        </w:tc>
        <w:tc>
          <w:tcPr>
            <w:tcW w:w="22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 xml:space="preserve">glucosyltransferase; conjugates isoleucic acid </w:t>
            </w:r>
          </w:p>
        </w:tc>
        <w:tc>
          <w:tcPr>
            <w:tcW w:w="17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defence signalling</w:t>
            </w:r>
          </w:p>
        </w:tc>
        <w:tc>
          <w:tcPr>
            <w:tcW w:w="15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en-US" w:eastAsia="de-DE"/>
              </w:rPr>
            </w:pPr>
            <w:r w:rsidRPr="0034022A">
              <w:rPr>
                <w:rFonts w:ascii="Calibri" w:eastAsia="Times New Roman" w:hAnsi="Calibri" w:cs="Times New Roman"/>
                <w:color w:val="000000"/>
                <w:lang w:val="en-US" w:eastAsia="de-DE"/>
              </w:rPr>
              <w:t xml:space="preserve">ex. Pip;              </w:t>
            </w:r>
            <w:r w:rsidRPr="0034022A">
              <w:rPr>
                <w:rFonts w:ascii="Calibri" w:eastAsia="Times New Roman" w:hAnsi="Calibri" w:cs="Times New Roman"/>
                <w:i/>
                <w:iCs/>
                <w:color w:val="000000"/>
                <w:lang w:val="en-US" w:eastAsia="de-DE"/>
              </w:rPr>
              <w:t xml:space="preserve"> Psm</w:t>
            </w:r>
            <w:r w:rsidRPr="0034022A">
              <w:rPr>
                <w:rFonts w:ascii="Calibri" w:eastAsia="Times New Roman" w:hAnsi="Calibri" w:cs="Times New Roman"/>
                <w:color w:val="000000"/>
                <w:lang w:val="en-US" w:eastAsia="de-DE"/>
              </w:rPr>
              <w:t xml:space="preserve"> local; SAR</w:t>
            </w:r>
          </w:p>
        </w:tc>
        <w:tc>
          <w:tcPr>
            <w:tcW w:w="20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SA-dependent</w:t>
            </w:r>
          </w:p>
        </w:tc>
        <w:tc>
          <w:tcPr>
            <w:tcW w:w="80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P</w:t>
            </w:r>
          </w:p>
        </w:tc>
        <w:tc>
          <w:tcPr>
            <w:tcW w:w="66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np</w:t>
            </w:r>
          </w:p>
        </w:tc>
        <w:tc>
          <w:tcPr>
            <w:tcW w:w="76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np</w:t>
            </w:r>
          </w:p>
        </w:tc>
      </w:tr>
      <w:tr w:rsidR="0034022A" w:rsidRPr="0034022A" w:rsidTr="007236D3">
        <w:trPr>
          <w:trHeight w:val="1200"/>
          <w:jc w:val="center"/>
        </w:trPr>
        <w:tc>
          <w:tcPr>
            <w:tcW w:w="1320" w:type="dxa"/>
            <w:tcBorders>
              <w:top w:val="nil"/>
              <w:left w:val="single" w:sz="4" w:space="0" w:color="auto"/>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i/>
                <w:iCs/>
                <w:color w:val="000000"/>
                <w:lang w:val="de-DE" w:eastAsia="de-DE"/>
              </w:rPr>
            </w:pPr>
            <w:r w:rsidRPr="0034022A">
              <w:rPr>
                <w:rFonts w:ascii="Calibri" w:eastAsia="Times New Roman" w:hAnsi="Calibri" w:cs="Times New Roman"/>
                <w:i/>
                <w:iCs/>
                <w:color w:val="000000"/>
                <w:lang w:val="de-DE" w:eastAsia="de-DE"/>
              </w:rPr>
              <w:t>UGT85A1</w:t>
            </w:r>
          </w:p>
        </w:tc>
        <w:tc>
          <w:tcPr>
            <w:tcW w:w="1240" w:type="dxa"/>
            <w:tcBorders>
              <w:top w:val="nil"/>
              <w:left w:val="nil"/>
              <w:bottom w:val="nil"/>
              <w:right w:val="single" w:sz="4" w:space="0" w:color="auto"/>
            </w:tcBorders>
            <w:shd w:val="clear" w:color="auto" w:fill="auto"/>
            <w:noWrap/>
            <w:vAlign w:val="center"/>
            <w:hideMark/>
          </w:tcPr>
          <w:p w:rsidR="0034022A" w:rsidRPr="001F5EB3" w:rsidRDefault="0034022A" w:rsidP="0034022A">
            <w:pPr>
              <w:spacing w:after="0" w:line="240" w:lineRule="auto"/>
              <w:jc w:val="center"/>
              <w:rPr>
                <w:rFonts w:ascii="Calibri" w:eastAsia="Times New Roman" w:hAnsi="Calibri" w:cs="Times New Roman"/>
                <w:i/>
                <w:color w:val="000000"/>
                <w:lang w:val="de-DE" w:eastAsia="de-DE"/>
              </w:rPr>
            </w:pPr>
            <w:r w:rsidRPr="001F5EB3">
              <w:rPr>
                <w:rFonts w:ascii="Calibri" w:eastAsia="Times New Roman" w:hAnsi="Calibri" w:cs="Times New Roman"/>
                <w:i/>
                <w:color w:val="000000"/>
                <w:lang w:val="de-DE" w:eastAsia="de-DE"/>
              </w:rPr>
              <w:t>At1g22400</w:t>
            </w:r>
          </w:p>
        </w:tc>
        <w:tc>
          <w:tcPr>
            <w:tcW w:w="22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UDP-glucose glucosyltransferase</w:t>
            </w:r>
          </w:p>
        </w:tc>
        <w:tc>
          <w:tcPr>
            <w:tcW w:w="17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defence signalling/     defence metabolism</w:t>
            </w:r>
          </w:p>
        </w:tc>
        <w:tc>
          <w:tcPr>
            <w:tcW w:w="15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i/>
                <w:iCs/>
                <w:color w:val="000000"/>
                <w:lang w:val="de-DE" w:eastAsia="de-DE"/>
              </w:rPr>
              <w:t>Psm</w:t>
            </w:r>
            <w:r w:rsidRPr="0034022A">
              <w:rPr>
                <w:rFonts w:ascii="Calibri" w:eastAsia="Times New Roman" w:hAnsi="Calibri" w:cs="Times New Roman"/>
                <w:color w:val="000000"/>
                <w:lang w:val="de-DE" w:eastAsia="de-DE"/>
              </w:rPr>
              <w:t xml:space="preserve"> local; SAR</w:t>
            </w:r>
          </w:p>
        </w:tc>
        <w:tc>
          <w:tcPr>
            <w:tcW w:w="20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SA-independent</w:t>
            </w:r>
          </w:p>
        </w:tc>
        <w:tc>
          <w:tcPr>
            <w:tcW w:w="80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P</w:t>
            </w:r>
          </w:p>
        </w:tc>
        <w:tc>
          <w:tcPr>
            <w:tcW w:w="66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P</w:t>
            </w:r>
          </w:p>
        </w:tc>
        <w:tc>
          <w:tcPr>
            <w:tcW w:w="76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np</w:t>
            </w:r>
          </w:p>
        </w:tc>
      </w:tr>
      <w:tr w:rsidR="0034022A" w:rsidRPr="0034022A" w:rsidTr="007236D3">
        <w:trPr>
          <w:trHeight w:val="1200"/>
          <w:jc w:val="center"/>
        </w:trPr>
        <w:tc>
          <w:tcPr>
            <w:tcW w:w="1320" w:type="dxa"/>
            <w:tcBorders>
              <w:top w:val="nil"/>
              <w:left w:val="single" w:sz="4" w:space="0" w:color="auto"/>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i/>
                <w:iCs/>
                <w:color w:val="000000"/>
                <w:lang w:val="de-DE" w:eastAsia="de-DE"/>
              </w:rPr>
            </w:pPr>
            <w:r w:rsidRPr="0034022A">
              <w:rPr>
                <w:rFonts w:ascii="Calibri" w:eastAsia="Times New Roman" w:hAnsi="Calibri" w:cs="Times New Roman"/>
                <w:i/>
                <w:iCs/>
                <w:color w:val="000000"/>
                <w:lang w:val="de-DE" w:eastAsia="de-DE"/>
              </w:rPr>
              <w:t>WRKY38</w:t>
            </w:r>
          </w:p>
        </w:tc>
        <w:tc>
          <w:tcPr>
            <w:tcW w:w="1240" w:type="dxa"/>
            <w:tcBorders>
              <w:top w:val="nil"/>
              <w:left w:val="nil"/>
              <w:bottom w:val="nil"/>
              <w:right w:val="single" w:sz="4" w:space="0" w:color="auto"/>
            </w:tcBorders>
            <w:shd w:val="clear" w:color="auto" w:fill="auto"/>
            <w:noWrap/>
            <w:vAlign w:val="center"/>
            <w:hideMark/>
          </w:tcPr>
          <w:p w:rsidR="0034022A" w:rsidRPr="001F5EB3" w:rsidRDefault="0034022A" w:rsidP="0034022A">
            <w:pPr>
              <w:spacing w:after="0" w:line="240" w:lineRule="auto"/>
              <w:jc w:val="center"/>
              <w:rPr>
                <w:rFonts w:ascii="Calibri" w:eastAsia="Times New Roman" w:hAnsi="Calibri" w:cs="Times New Roman"/>
                <w:i/>
                <w:color w:val="000000"/>
                <w:lang w:val="de-DE" w:eastAsia="de-DE"/>
              </w:rPr>
            </w:pPr>
            <w:r w:rsidRPr="001F5EB3">
              <w:rPr>
                <w:rFonts w:ascii="Calibri" w:eastAsia="Times New Roman" w:hAnsi="Calibri" w:cs="Times New Roman"/>
                <w:i/>
                <w:color w:val="000000"/>
                <w:lang w:val="de-DE" w:eastAsia="de-DE"/>
              </w:rPr>
              <w:t>At5g22570</w:t>
            </w:r>
          </w:p>
        </w:tc>
        <w:tc>
          <w:tcPr>
            <w:tcW w:w="22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en-US" w:eastAsia="de-DE"/>
              </w:rPr>
            </w:pPr>
            <w:r w:rsidRPr="0034022A">
              <w:rPr>
                <w:rFonts w:ascii="Calibri" w:eastAsia="Times New Roman" w:hAnsi="Calibri" w:cs="Times New Roman"/>
                <w:color w:val="000000"/>
                <w:lang w:val="en-US" w:eastAsia="de-DE"/>
              </w:rPr>
              <w:t>member of WRKY Transcription Factor; Group III</w:t>
            </w:r>
          </w:p>
        </w:tc>
        <w:tc>
          <w:tcPr>
            <w:tcW w:w="17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signalling</w:t>
            </w:r>
          </w:p>
        </w:tc>
        <w:tc>
          <w:tcPr>
            <w:tcW w:w="15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en-US" w:eastAsia="de-DE"/>
              </w:rPr>
            </w:pPr>
            <w:r w:rsidRPr="0034022A">
              <w:rPr>
                <w:rFonts w:ascii="Calibri" w:eastAsia="Times New Roman" w:hAnsi="Calibri" w:cs="Times New Roman"/>
                <w:color w:val="000000"/>
                <w:lang w:val="en-US" w:eastAsia="de-DE"/>
              </w:rPr>
              <w:t xml:space="preserve">ex. Pip;             </w:t>
            </w:r>
            <w:r w:rsidRPr="0034022A">
              <w:rPr>
                <w:rFonts w:ascii="Calibri" w:eastAsia="Times New Roman" w:hAnsi="Calibri" w:cs="Times New Roman"/>
                <w:i/>
                <w:iCs/>
                <w:color w:val="000000"/>
                <w:lang w:val="en-US" w:eastAsia="de-DE"/>
              </w:rPr>
              <w:t>Psm</w:t>
            </w:r>
            <w:r w:rsidRPr="0034022A">
              <w:rPr>
                <w:rFonts w:ascii="Calibri" w:eastAsia="Times New Roman" w:hAnsi="Calibri" w:cs="Times New Roman"/>
                <w:color w:val="000000"/>
                <w:lang w:val="en-US" w:eastAsia="de-DE"/>
              </w:rPr>
              <w:t xml:space="preserve"> local; SAR</w:t>
            </w:r>
          </w:p>
        </w:tc>
        <w:tc>
          <w:tcPr>
            <w:tcW w:w="20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SA-dependent</w:t>
            </w:r>
          </w:p>
        </w:tc>
        <w:tc>
          <w:tcPr>
            <w:tcW w:w="80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np</w:t>
            </w:r>
          </w:p>
        </w:tc>
        <w:tc>
          <w:tcPr>
            <w:tcW w:w="66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np</w:t>
            </w:r>
          </w:p>
        </w:tc>
        <w:tc>
          <w:tcPr>
            <w:tcW w:w="76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np</w:t>
            </w:r>
          </w:p>
        </w:tc>
      </w:tr>
      <w:tr w:rsidR="0034022A" w:rsidRPr="0034022A" w:rsidTr="007236D3">
        <w:trPr>
          <w:trHeight w:val="1200"/>
          <w:jc w:val="center"/>
        </w:trPr>
        <w:tc>
          <w:tcPr>
            <w:tcW w:w="1320" w:type="dxa"/>
            <w:tcBorders>
              <w:top w:val="nil"/>
              <w:left w:val="single" w:sz="4" w:space="0" w:color="auto"/>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i/>
                <w:iCs/>
                <w:color w:val="000000"/>
                <w:lang w:val="de-DE" w:eastAsia="de-DE"/>
              </w:rPr>
            </w:pPr>
            <w:r w:rsidRPr="0034022A">
              <w:rPr>
                <w:rFonts w:ascii="Calibri" w:eastAsia="Times New Roman" w:hAnsi="Calibri" w:cs="Times New Roman"/>
                <w:i/>
                <w:iCs/>
                <w:color w:val="000000"/>
                <w:lang w:val="de-DE" w:eastAsia="de-DE"/>
              </w:rPr>
              <w:t>XHT10</w:t>
            </w:r>
          </w:p>
        </w:tc>
        <w:tc>
          <w:tcPr>
            <w:tcW w:w="1240" w:type="dxa"/>
            <w:tcBorders>
              <w:top w:val="nil"/>
              <w:left w:val="nil"/>
              <w:bottom w:val="nil"/>
              <w:right w:val="single" w:sz="4" w:space="0" w:color="auto"/>
            </w:tcBorders>
            <w:shd w:val="clear" w:color="auto" w:fill="auto"/>
            <w:noWrap/>
            <w:vAlign w:val="center"/>
            <w:hideMark/>
          </w:tcPr>
          <w:p w:rsidR="0034022A" w:rsidRPr="001F5EB3" w:rsidRDefault="0034022A" w:rsidP="0034022A">
            <w:pPr>
              <w:spacing w:after="0" w:line="240" w:lineRule="auto"/>
              <w:jc w:val="center"/>
              <w:rPr>
                <w:rFonts w:ascii="Calibri" w:eastAsia="Times New Roman" w:hAnsi="Calibri" w:cs="Times New Roman"/>
                <w:i/>
                <w:color w:val="000000"/>
                <w:lang w:val="de-DE" w:eastAsia="de-DE"/>
              </w:rPr>
            </w:pPr>
            <w:r w:rsidRPr="001F5EB3">
              <w:rPr>
                <w:rFonts w:ascii="Calibri" w:eastAsia="Times New Roman" w:hAnsi="Calibri" w:cs="Times New Roman"/>
                <w:i/>
                <w:color w:val="000000"/>
                <w:lang w:val="de-DE" w:eastAsia="de-DE"/>
              </w:rPr>
              <w:t>At2g14620</w:t>
            </w:r>
          </w:p>
        </w:tc>
        <w:tc>
          <w:tcPr>
            <w:tcW w:w="22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endoxyloglucan glycosyltransferase</w:t>
            </w:r>
          </w:p>
        </w:tc>
        <w:tc>
          <w:tcPr>
            <w:tcW w:w="17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cell wall</w:t>
            </w:r>
          </w:p>
        </w:tc>
        <w:tc>
          <w:tcPr>
            <w:tcW w:w="15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SAR</w:t>
            </w:r>
          </w:p>
        </w:tc>
        <w:tc>
          <w:tcPr>
            <w:tcW w:w="20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SA-dependent</w:t>
            </w:r>
          </w:p>
        </w:tc>
        <w:tc>
          <w:tcPr>
            <w:tcW w:w="80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P</w:t>
            </w:r>
          </w:p>
        </w:tc>
        <w:tc>
          <w:tcPr>
            <w:tcW w:w="66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np</w:t>
            </w:r>
          </w:p>
        </w:tc>
        <w:tc>
          <w:tcPr>
            <w:tcW w:w="76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np</w:t>
            </w:r>
          </w:p>
        </w:tc>
      </w:tr>
      <w:tr w:rsidR="0034022A" w:rsidRPr="0034022A" w:rsidTr="007236D3">
        <w:trPr>
          <w:trHeight w:val="1200"/>
          <w:jc w:val="center"/>
        </w:trPr>
        <w:tc>
          <w:tcPr>
            <w:tcW w:w="1320" w:type="dxa"/>
            <w:tcBorders>
              <w:top w:val="nil"/>
              <w:left w:val="single" w:sz="4" w:space="0" w:color="auto"/>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i/>
                <w:iCs/>
                <w:color w:val="000000"/>
                <w:lang w:val="de-DE" w:eastAsia="de-DE"/>
              </w:rPr>
            </w:pPr>
            <w:r w:rsidRPr="0034022A">
              <w:rPr>
                <w:rFonts w:ascii="Calibri" w:eastAsia="Times New Roman" w:hAnsi="Calibri" w:cs="Times New Roman"/>
                <w:i/>
                <w:iCs/>
                <w:color w:val="000000"/>
                <w:lang w:val="de-DE" w:eastAsia="de-DE"/>
              </w:rPr>
              <w:t>ZCF37</w:t>
            </w:r>
          </w:p>
        </w:tc>
        <w:tc>
          <w:tcPr>
            <w:tcW w:w="1240" w:type="dxa"/>
            <w:tcBorders>
              <w:top w:val="nil"/>
              <w:left w:val="nil"/>
              <w:bottom w:val="nil"/>
              <w:right w:val="single" w:sz="4" w:space="0" w:color="auto"/>
            </w:tcBorders>
            <w:shd w:val="clear" w:color="auto" w:fill="auto"/>
            <w:noWrap/>
            <w:vAlign w:val="center"/>
            <w:hideMark/>
          </w:tcPr>
          <w:p w:rsidR="0034022A" w:rsidRPr="001F5EB3" w:rsidRDefault="0034022A" w:rsidP="0034022A">
            <w:pPr>
              <w:spacing w:after="0" w:line="240" w:lineRule="auto"/>
              <w:jc w:val="center"/>
              <w:rPr>
                <w:rFonts w:ascii="Calibri" w:eastAsia="Times New Roman" w:hAnsi="Calibri" w:cs="Times New Roman"/>
                <w:i/>
                <w:color w:val="000000"/>
                <w:lang w:val="de-DE" w:eastAsia="de-DE"/>
              </w:rPr>
            </w:pPr>
            <w:r w:rsidRPr="001F5EB3">
              <w:rPr>
                <w:rFonts w:ascii="Calibri" w:eastAsia="Times New Roman" w:hAnsi="Calibri" w:cs="Times New Roman"/>
                <w:i/>
                <w:color w:val="000000"/>
                <w:lang w:val="de-DE" w:eastAsia="de-DE"/>
              </w:rPr>
              <w:t>At1g59590</w:t>
            </w:r>
          </w:p>
        </w:tc>
        <w:tc>
          <w:tcPr>
            <w:tcW w:w="22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unknown</w:t>
            </w:r>
          </w:p>
        </w:tc>
        <w:tc>
          <w:tcPr>
            <w:tcW w:w="17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unknown</w:t>
            </w:r>
          </w:p>
        </w:tc>
        <w:tc>
          <w:tcPr>
            <w:tcW w:w="15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en-US" w:eastAsia="de-DE"/>
              </w:rPr>
            </w:pPr>
            <w:r w:rsidRPr="0034022A">
              <w:rPr>
                <w:rFonts w:ascii="Calibri" w:eastAsia="Times New Roman" w:hAnsi="Calibri" w:cs="Times New Roman"/>
                <w:color w:val="000000"/>
                <w:lang w:val="en-US" w:eastAsia="de-DE"/>
              </w:rPr>
              <w:t xml:space="preserve">ex. Pip;        </w:t>
            </w:r>
            <w:r w:rsidRPr="0034022A">
              <w:rPr>
                <w:rFonts w:ascii="Calibri" w:eastAsia="Times New Roman" w:hAnsi="Calibri" w:cs="Times New Roman"/>
                <w:i/>
                <w:iCs/>
                <w:color w:val="000000"/>
                <w:lang w:val="en-US" w:eastAsia="de-DE"/>
              </w:rPr>
              <w:t xml:space="preserve"> Psm</w:t>
            </w:r>
            <w:r w:rsidRPr="0034022A">
              <w:rPr>
                <w:rFonts w:ascii="Calibri" w:eastAsia="Times New Roman" w:hAnsi="Calibri" w:cs="Times New Roman"/>
                <w:color w:val="000000"/>
                <w:lang w:val="en-US" w:eastAsia="de-DE"/>
              </w:rPr>
              <w:t xml:space="preserve"> local; SAR</w:t>
            </w:r>
          </w:p>
        </w:tc>
        <w:tc>
          <w:tcPr>
            <w:tcW w:w="2060" w:type="dxa"/>
            <w:tcBorders>
              <w:top w:val="nil"/>
              <w:left w:val="nil"/>
              <w:bottom w:val="nil"/>
              <w:right w:val="single" w:sz="4" w:space="0" w:color="auto"/>
            </w:tcBorders>
            <w:shd w:val="clear" w:color="auto" w:fill="auto"/>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SA-independent</w:t>
            </w:r>
          </w:p>
        </w:tc>
        <w:tc>
          <w:tcPr>
            <w:tcW w:w="80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P</w:t>
            </w:r>
          </w:p>
        </w:tc>
        <w:tc>
          <w:tcPr>
            <w:tcW w:w="66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np</w:t>
            </w:r>
          </w:p>
        </w:tc>
        <w:tc>
          <w:tcPr>
            <w:tcW w:w="760" w:type="dxa"/>
            <w:tcBorders>
              <w:top w:val="nil"/>
              <w:left w:val="nil"/>
              <w:bottom w:val="nil"/>
              <w:right w:val="single" w:sz="4" w:space="0" w:color="auto"/>
            </w:tcBorders>
            <w:shd w:val="clear" w:color="auto" w:fill="auto"/>
            <w:noWrap/>
            <w:vAlign w:val="center"/>
            <w:hideMark/>
          </w:tcPr>
          <w:p w:rsidR="0034022A" w:rsidRPr="0034022A" w:rsidRDefault="0034022A" w:rsidP="0034022A">
            <w:pPr>
              <w:spacing w:after="0" w:line="240" w:lineRule="auto"/>
              <w:jc w:val="center"/>
              <w:rPr>
                <w:rFonts w:ascii="Calibri" w:eastAsia="Times New Roman" w:hAnsi="Calibri" w:cs="Times New Roman"/>
                <w:color w:val="000000"/>
                <w:lang w:val="de-DE" w:eastAsia="de-DE"/>
              </w:rPr>
            </w:pPr>
            <w:r w:rsidRPr="0034022A">
              <w:rPr>
                <w:rFonts w:ascii="Calibri" w:eastAsia="Times New Roman" w:hAnsi="Calibri" w:cs="Times New Roman"/>
                <w:color w:val="000000"/>
                <w:lang w:val="de-DE" w:eastAsia="de-DE"/>
              </w:rPr>
              <w:t>np</w:t>
            </w:r>
          </w:p>
        </w:tc>
      </w:tr>
    </w:tbl>
    <w:p w:rsidR="00AE030A" w:rsidRDefault="00AE030A" w:rsidP="00495667">
      <w:pPr>
        <w:spacing w:line="360" w:lineRule="auto"/>
        <w:jc w:val="both"/>
        <w:rPr>
          <w:lang w:val="en-US"/>
        </w:rPr>
      </w:pPr>
    </w:p>
    <w:p w:rsidR="006638F1" w:rsidRDefault="006638F1" w:rsidP="00495667">
      <w:pPr>
        <w:spacing w:line="360" w:lineRule="auto"/>
        <w:jc w:val="both"/>
        <w:rPr>
          <w:lang w:val="en-US"/>
        </w:rPr>
        <w:sectPr w:rsidR="006638F1" w:rsidSect="00AE030A">
          <w:pgSz w:w="16838" w:h="11906" w:orient="landscape"/>
          <w:pgMar w:top="1417" w:right="1417" w:bottom="1417" w:left="1134" w:header="708" w:footer="708" w:gutter="0"/>
          <w:cols w:space="708"/>
          <w:titlePg/>
          <w:docGrid w:linePitch="360"/>
        </w:sectPr>
      </w:pPr>
    </w:p>
    <w:p w:rsidR="00D65E2F" w:rsidRPr="008D163C" w:rsidRDefault="008D163C" w:rsidP="008D163C">
      <w:pPr>
        <w:spacing w:line="360" w:lineRule="auto"/>
        <w:jc w:val="both"/>
        <w:rPr>
          <w:lang w:val="en-US"/>
        </w:rPr>
      </w:pPr>
      <w:r>
        <w:rPr>
          <w:noProof/>
          <w:lang w:val="de-DE" w:eastAsia="de-DE"/>
        </w:rPr>
        <w:lastRenderedPageBreak/>
        <w:drawing>
          <wp:anchor distT="0" distB="0" distL="114300" distR="114300" simplePos="0" relativeHeight="251708416" behindDoc="0" locked="0" layoutInCell="1" allowOverlap="1" wp14:anchorId="3C5550F6" wp14:editId="300FCE2D">
            <wp:simplePos x="895350" y="3438525"/>
            <wp:positionH relativeFrom="page">
              <wp:align>center</wp:align>
            </wp:positionH>
            <wp:positionV relativeFrom="paragraph">
              <wp:posOffset>3810</wp:posOffset>
            </wp:positionV>
            <wp:extent cx="5759450" cy="3630930"/>
            <wp:effectExtent l="19050" t="19050" r="12700" b="26670"/>
            <wp:wrapTopAndBottom/>
            <wp:docPr id="44" name="Grafik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o priming SA-dependency.png"/>
                    <pic:cNvPicPr/>
                  </pic:nvPicPr>
                  <pic:blipFill>
                    <a:blip r:embed="rId54">
                      <a:extLst>
                        <a:ext uri="{28A0092B-C50C-407E-A947-70E740481C1C}">
                          <a14:useLocalDpi xmlns:a14="http://schemas.microsoft.com/office/drawing/2010/main" val="0"/>
                        </a:ext>
                      </a:extLst>
                    </a:blip>
                    <a:stretch>
                      <a:fillRect/>
                    </a:stretch>
                  </pic:blipFill>
                  <pic:spPr>
                    <a:xfrm>
                      <a:off x="0" y="0"/>
                      <a:ext cx="5760000" cy="3631367"/>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p>
    <w:p w:rsidR="00D65E2F" w:rsidRPr="00343090" w:rsidRDefault="00D65E2F" w:rsidP="006638F1">
      <w:pPr>
        <w:pStyle w:val="Beschriftung"/>
        <w:spacing w:after="0" w:line="360" w:lineRule="auto"/>
        <w:jc w:val="both"/>
        <w:rPr>
          <w:color w:val="auto"/>
          <w:lang w:val="en-US"/>
        </w:rPr>
      </w:pPr>
      <w:bookmarkStart w:id="71" w:name="_Toc435621145"/>
      <w:proofErr w:type="gramStart"/>
      <w:r w:rsidRPr="00343090">
        <w:rPr>
          <w:color w:val="auto"/>
        </w:rPr>
        <w:t xml:space="preserve">Figure </w:t>
      </w:r>
      <w:r w:rsidRPr="00343090">
        <w:rPr>
          <w:color w:val="auto"/>
        </w:rPr>
        <w:fldChar w:fldCharType="begin"/>
      </w:r>
      <w:r w:rsidRPr="00343090">
        <w:rPr>
          <w:color w:val="auto"/>
        </w:rPr>
        <w:instrText xml:space="preserve"> SEQ Figure \* ARABIC </w:instrText>
      </w:r>
      <w:r w:rsidRPr="00343090">
        <w:rPr>
          <w:color w:val="auto"/>
        </w:rPr>
        <w:fldChar w:fldCharType="separate"/>
      </w:r>
      <w:r w:rsidR="00CB17FE">
        <w:rPr>
          <w:noProof/>
          <w:color w:val="auto"/>
        </w:rPr>
        <w:t>27</w:t>
      </w:r>
      <w:r w:rsidRPr="00343090">
        <w:rPr>
          <w:color w:val="auto"/>
        </w:rPr>
        <w:fldChar w:fldCharType="end"/>
      </w:r>
      <w:r w:rsidR="0096402E">
        <w:rPr>
          <w:color w:val="auto"/>
        </w:rPr>
        <w:t>.</w:t>
      </w:r>
      <w:proofErr w:type="gramEnd"/>
      <w:r w:rsidRPr="00343090">
        <w:rPr>
          <w:color w:val="auto"/>
        </w:rPr>
        <w:t xml:space="preserve"> </w:t>
      </w:r>
      <w:r w:rsidR="00F21D2A" w:rsidRPr="00343090">
        <w:rPr>
          <w:color w:val="auto"/>
          <w:lang w:val="en-US"/>
        </w:rPr>
        <w:t xml:space="preserve">Categorisation of genes </w:t>
      </w:r>
      <w:r w:rsidR="00F875EB">
        <w:rPr>
          <w:color w:val="auto"/>
          <w:lang w:val="en-US"/>
        </w:rPr>
        <w:t>showing</w:t>
      </w:r>
      <w:r w:rsidR="00F21D2A" w:rsidRPr="00343090">
        <w:rPr>
          <w:color w:val="auto"/>
          <w:lang w:val="en-US"/>
        </w:rPr>
        <w:t xml:space="preserve"> primed expression during SAR</w:t>
      </w:r>
      <w:r w:rsidRPr="00343090">
        <w:rPr>
          <w:color w:val="auto"/>
          <w:lang w:val="en-US"/>
        </w:rPr>
        <w:t>.</w:t>
      </w:r>
      <w:bookmarkEnd w:id="71"/>
    </w:p>
    <w:p w:rsidR="00D65E2F" w:rsidRPr="00343090" w:rsidRDefault="000217AD" w:rsidP="00D65E2F">
      <w:pPr>
        <w:pStyle w:val="Beschriftung"/>
        <w:jc w:val="both"/>
        <w:rPr>
          <w:b w:val="0"/>
          <w:color w:val="auto"/>
          <w:lang w:val="en-US"/>
        </w:rPr>
      </w:pPr>
      <w:r w:rsidRPr="00343090">
        <w:rPr>
          <w:b w:val="0"/>
          <w:color w:val="auto"/>
          <w:lang w:val="en-US"/>
        </w:rPr>
        <w:t>The 67 chosen genes (see table 1) were analysed with respect to their SA-dependency</w:t>
      </w:r>
      <w:r w:rsidR="00F21D2A" w:rsidRPr="00343090">
        <w:rPr>
          <w:b w:val="0"/>
          <w:color w:val="auto"/>
          <w:lang w:val="en-US"/>
        </w:rPr>
        <w:t xml:space="preserve"> and priming of expression during </w:t>
      </w:r>
      <w:r w:rsidR="00F875EB">
        <w:rPr>
          <w:b w:val="0"/>
          <w:color w:val="auto"/>
          <w:lang w:val="en-US"/>
        </w:rPr>
        <w:t>SAR</w:t>
      </w:r>
      <w:r w:rsidR="00F21D2A" w:rsidRPr="00343090">
        <w:rPr>
          <w:b w:val="0"/>
          <w:color w:val="auto"/>
          <w:lang w:val="en-US"/>
        </w:rPr>
        <w:t>. (A) Of the 67 analysed genes, 60 % (</w:t>
      </w:r>
      <w:r w:rsidR="005F3B6E">
        <w:rPr>
          <w:b w:val="0"/>
          <w:color w:val="auto"/>
          <w:lang w:val="en-US"/>
        </w:rPr>
        <w:t>n=</w:t>
      </w:r>
      <w:r w:rsidR="00F21D2A" w:rsidRPr="00343090">
        <w:rPr>
          <w:b w:val="0"/>
          <w:color w:val="auto"/>
          <w:lang w:val="en-US"/>
        </w:rPr>
        <w:t>40) show</w:t>
      </w:r>
      <w:r w:rsidR="00F875EB">
        <w:rPr>
          <w:b w:val="0"/>
          <w:color w:val="auto"/>
          <w:lang w:val="en-US"/>
        </w:rPr>
        <w:t>ed</w:t>
      </w:r>
      <w:r w:rsidR="00F21D2A" w:rsidRPr="00343090">
        <w:rPr>
          <w:b w:val="0"/>
          <w:color w:val="auto"/>
          <w:lang w:val="en-US"/>
        </w:rPr>
        <w:t xml:space="preserve"> primed expression and 40 % (</w:t>
      </w:r>
      <w:r w:rsidR="005F3B6E">
        <w:rPr>
          <w:b w:val="0"/>
          <w:color w:val="auto"/>
          <w:lang w:val="en-US"/>
        </w:rPr>
        <w:t>n=</w:t>
      </w:r>
      <w:r w:rsidR="00F21D2A" w:rsidRPr="00343090">
        <w:rPr>
          <w:b w:val="0"/>
          <w:color w:val="auto"/>
          <w:lang w:val="en-US"/>
        </w:rPr>
        <w:t xml:space="preserve">27) </w:t>
      </w:r>
      <w:r w:rsidR="00F875EB">
        <w:rPr>
          <w:b w:val="0"/>
          <w:color w:val="auto"/>
          <w:lang w:val="en-US"/>
        </w:rPr>
        <w:t>were</w:t>
      </w:r>
      <w:r w:rsidR="00F21D2A" w:rsidRPr="00343090">
        <w:rPr>
          <w:b w:val="0"/>
          <w:color w:val="auto"/>
          <w:lang w:val="en-US"/>
        </w:rPr>
        <w:t xml:space="preserve"> not primed.</w:t>
      </w:r>
      <w:r w:rsidRPr="00343090">
        <w:rPr>
          <w:b w:val="0"/>
          <w:color w:val="auto"/>
          <w:lang w:val="en-US"/>
        </w:rPr>
        <w:t xml:space="preserve"> (B) </w:t>
      </w:r>
      <w:r w:rsidR="00F21D2A" w:rsidRPr="00343090">
        <w:rPr>
          <w:b w:val="0"/>
          <w:color w:val="auto"/>
          <w:lang w:val="en-US"/>
        </w:rPr>
        <w:t>The majority of ge</w:t>
      </w:r>
      <w:r w:rsidR="00F875EB">
        <w:rPr>
          <w:b w:val="0"/>
          <w:color w:val="auto"/>
          <w:lang w:val="en-US"/>
        </w:rPr>
        <w:t>nes showing primed expression was</w:t>
      </w:r>
      <w:r w:rsidR="00F21D2A" w:rsidRPr="00343090">
        <w:rPr>
          <w:b w:val="0"/>
          <w:color w:val="auto"/>
          <w:lang w:val="en-US"/>
        </w:rPr>
        <w:t xml:space="preserve"> SA-indep</w:t>
      </w:r>
      <w:r w:rsidR="00F875EB">
        <w:rPr>
          <w:b w:val="0"/>
          <w:color w:val="auto"/>
          <w:lang w:val="en-US"/>
        </w:rPr>
        <w:t>endent (60 %, n=24) and 20 % were</w:t>
      </w:r>
      <w:r w:rsidR="00F21D2A" w:rsidRPr="00343090">
        <w:rPr>
          <w:b w:val="0"/>
          <w:color w:val="auto"/>
          <w:lang w:val="en-US"/>
        </w:rPr>
        <w:t xml:space="preserve"> SA-dependent or partially SA-dependent, respectively (n=8). (C) </w:t>
      </w:r>
      <w:r w:rsidR="00F875EB">
        <w:rPr>
          <w:b w:val="0"/>
          <w:color w:val="auto"/>
          <w:lang w:val="en-US"/>
        </w:rPr>
        <w:t>The majority of primed genes were</w:t>
      </w:r>
      <w:r w:rsidR="00D65E2F" w:rsidRPr="00343090">
        <w:rPr>
          <w:b w:val="0"/>
          <w:color w:val="auto"/>
          <w:lang w:val="en-US"/>
        </w:rPr>
        <w:t xml:space="preserve"> involved in defence signalling</w:t>
      </w:r>
      <w:r w:rsidR="00F21D2A" w:rsidRPr="00343090">
        <w:rPr>
          <w:b w:val="0"/>
          <w:color w:val="auto"/>
          <w:lang w:val="en-US"/>
        </w:rPr>
        <w:t xml:space="preserve"> and metabolism</w:t>
      </w:r>
      <w:r w:rsidR="00D65E2F" w:rsidRPr="00343090">
        <w:rPr>
          <w:b w:val="0"/>
          <w:color w:val="auto"/>
          <w:lang w:val="en-US"/>
        </w:rPr>
        <w:t>, detoxifi</w:t>
      </w:r>
      <w:r w:rsidR="00F21D2A" w:rsidRPr="00343090">
        <w:rPr>
          <w:b w:val="0"/>
          <w:color w:val="auto"/>
          <w:lang w:val="en-US"/>
        </w:rPr>
        <w:t>cation, and cell wall-related processes</w:t>
      </w:r>
      <w:r w:rsidRPr="00343090">
        <w:rPr>
          <w:b w:val="0"/>
          <w:color w:val="auto"/>
          <w:lang w:val="en-US"/>
        </w:rPr>
        <w:t>.</w:t>
      </w:r>
      <w:r w:rsidR="00F21D2A" w:rsidRPr="00343090">
        <w:rPr>
          <w:b w:val="0"/>
          <w:color w:val="auto"/>
          <w:lang w:val="en-US"/>
        </w:rPr>
        <w:t xml:space="preserve"> (D) Genes not showing </w:t>
      </w:r>
      <w:r w:rsidR="00F875EB">
        <w:rPr>
          <w:b w:val="0"/>
          <w:color w:val="auto"/>
          <w:lang w:val="en-US"/>
        </w:rPr>
        <w:t>primed expression in defence were</w:t>
      </w:r>
      <w:r w:rsidR="00F21D2A" w:rsidRPr="00343090">
        <w:rPr>
          <w:b w:val="0"/>
          <w:color w:val="auto"/>
          <w:lang w:val="en-US"/>
        </w:rPr>
        <w:t xml:space="preserve"> mostly involved in cell signalling and metabolism processes (primary and secondary metabolism).</w:t>
      </w:r>
      <w:r w:rsidRPr="00343090">
        <w:rPr>
          <w:b w:val="0"/>
          <w:color w:val="auto"/>
          <w:lang w:val="en-US"/>
        </w:rPr>
        <w:t xml:space="preserve"> </w:t>
      </w:r>
    </w:p>
    <w:p w:rsidR="00E73298" w:rsidRDefault="008D163C" w:rsidP="0027250F">
      <w:pPr>
        <w:spacing w:after="0" w:line="360" w:lineRule="auto"/>
        <w:jc w:val="both"/>
        <w:rPr>
          <w:lang w:val="en-US"/>
        </w:rPr>
      </w:pPr>
      <w:r>
        <w:t xml:space="preserve">Gene expression analysis of the 67 genes </w:t>
      </w:r>
      <w:r w:rsidR="001A3685">
        <w:t>used</w:t>
      </w:r>
      <w:r>
        <w:t xml:space="preserve"> in this study showed that </w:t>
      </w:r>
      <w:r w:rsidR="00BC5FA2">
        <w:t>a large number</w:t>
      </w:r>
      <w:r>
        <w:t xml:space="preserve"> of genes exhibiting primed expression belonged to the group of SA-independent genes (Table 1; Figure 27 A). </w:t>
      </w:r>
      <w:r w:rsidR="00BC5FA2">
        <w:t>This is due in part to the majority of chosen genes showing SA-independent expression from the start (see Supplemental figure 9). More importantly</w:t>
      </w:r>
      <w:r>
        <w:t>, proteins encoded by genes with primed expression were found to be primarily involved in detoxification, defence signalling, defence metabolism, cell wall-related processes, cell death, and ROS generation or deto</w:t>
      </w:r>
      <w:r w:rsidR="00B92FE7">
        <w:t>xification (Table 1; Figure 27 C</w:t>
      </w:r>
      <w:r>
        <w:t>). Gene products of non-primed genes, on the other hand, chiefly participate in metabolism and signalling processes of non-stres</w:t>
      </w:r>
      <w:r w:rsidR="00B92FE7">
        <w:t>sed plants (Table 1; Figure 27 D</w:t>
      </w:r>
      <w:r>
        <w:t>).</w:t>
      </w:r>
      <w:r w:rsidR="006638F1">
        <w:t xml:space="preserve"> </w:t>
      </w:r>
      <w:r w:rsidR="000217AD">
        <w:rPr>
          <w:lang w:val="en-US"/>
        </w:rPr>
        <w:t>One conclusion that can be d</w:t>
      </w:r>
      <w:r w:rsidR="00210973">
        <w:rPr>
          <w:lang w:val="en-US"/>
        </w:rPr>
        <w:t>rawn from this study is that a</w:t>
      </w:r>
      <w:r w:rsidR="000217AD">
        <w:rPr>
          <w:lang w:val="en-US"/>
        </w:rPr>
        <w:t xml:space="preserve"> majority of genes exhibiting primed expression </w:t>
      </w:r>
      <w:r w:rsidR="001900E0">
        <w:rPr>
          <w:lang w:val="en-US"/>
        </w:rPr>
        <w:t>belong</w:t>
      </w:r>
      <w:r w:rsidR="000217AD">
        <w:rPr>
          <w:lang w:val="en-US"/>
        </w:rPr>
        <w:t xml:space="preserve"> to the group of </w:t>
      </w:r>
      <w:r w:rsidR="006638F1">
        <w:rPr>
          <w:lang w:val="en-US"/>
        </w:rPr>
        <w:t>SA</w:t>
      </w:r>
      <w:r w:rsidR="000217AD">
        <w:rPr>
          <w:lang w:val="en-US"/>
        </w:rPr>
        <w:t>-independent genes</w:t>
      </w:r>
      <w:r w:rsidR="001900E0">
        <w:rPr>
          <w:lang w:val="en-US"/>
        </w:rPr>
        <w:t xml:space="preserve">. Another conclusion is that </w:t>
      </w:r>
      <w:r w:rsidR="001900E0" w:rsidRPr="001900E0">
        <w:rPr>
          <w:i/>
          <w:lang w:val="en-US"/>
        </w:rPr>
        <w:t>ALD1</w:t>
      </w:r>
      <w:r w:rsidR="001900E0">
        <w:rPr>
          <w:lang w:val="en-US"/>
        </w:rPr>
        <w:t xml:space="preserve"> and </w:t>
      </w:r>
      <w:r w:rsidR="001900E0" w:rsidRPr="001900E0">
        <w:rPr>
          <w:i/>
          <w:lang w:val="en-US"/>
        </w:rPr>
        <w:t>FMO1</w:t>
      </w:r>
      <w:r w:rsidR="001900E0">
        <w:rPr>
          <w:lang w:val="en-US"/>
        </w:rPr>
        <w:t xml:space="preserve"> play an essential role in defence priming, as only a very small number of genes showed primed expression in the </w:t>
      </w:r>
      <w:r w:rsidR="001900E0" w:rsidRPr="001900E0">
        <w:rPr>
          <w:i/>
          <w:lang w:val="en-US"/>
        </w:rPr>
        <w:t>ald1</w:t>
      </w:r>
      <w:r w:rsidR="001900E0">
        <w:rPr>
          <w:lang w:val="en-US"/>
        </w:rPr>
        <w:t xml:space="preserve"> (</w:t>
      </w:r>
      <w:r w:rsidR="007167E2">
        <w:rPr>
          <w:i/>
          <w:lang w:val="en-US"/>
        </w:rPr>
        <w:t>ASK7,</w:t>
      </w:r>
      <w:r w:rsidR="001900E0" w:rsidRPr="001900E0">
        <w:rPr>
          <w:i/>
          <w:lang w:val="en-US"/>
        </w:rPr>
        <w:t xml:space="preserve"> UGT85A1</w:t>
      </w:r>
      <w:r w:rsidR="001900E0">
        <w:rPr>
          <w:lang w:val="en-US"/>
        </w:rPr>
        <w:t xml:space="preserve">) and </w:t>
      </w:r>
      <w:r w:rsidR="001900E0" w:rsidRPr="001900E0">
        <w:rPr>
          <w:i/>
          <w:lang w:val="en-US"/>
        </w:rPr>
        <w:t>fmo1</w:t>
      </w:r>
      <w:r w:rsidR="001900E0">
        <w:rPr>
          <w:lang w:val="en-US"/>
        </w:rPr>
        <w:t xml:space="preserve"> (</w:t>
      </w:r>
      <w:r w:rsidR="001900E0" w:rsidRPr="001900E0">
        <w:rPr>
          <w:i/>
          <w:lang w:val="en-US"/>
        </w:rPr>
        <w:t>GSTU1, TPPD</w:t>
      </w:r>
      <w:r w:rsidR="001900E0">
        <w:rPr>
          <w:lang w:val="en-US"/>
        </w:rPr>
        <w:t>) mutant lines.</w:t>
      </w:r>
      <w:r w:rsidR="003A7CCE">
        <w:rPr>
          <w:lang w:val="en-US"/>
        </w:rPr>
        <w:t xml:space="preserve"> </w:t>
      </w:r>
    </w:p>
    <w:p w:rsidR="006638F1" w:rsidRDefault="006638F1" w:rsidP="008109BE">
      <w:pPr>
        <w:spacing w:after="0" w:line="360" w:lineRule="auto"/>
        <w:ind w:firstLine="708"/>
        <w:jc w:val="both"/>
        <w:rPr>
          <w:lang w:val="en-US"/>
        </w:rPr>
      </w:pPr>
    </w:p>
    <w:p w:rsidR="008109BE" w:rsidRDefault="008109BE" w:rsidP="008109BE">
      <w:pPr>
        <w:spacing w:after="0" w:line="360" w:lineRule="auto"/>
        <w:ind w:firstLine="708"/>
        <w:jc w:val="both"/>
        <w:rPr>
          <w:lang w:val="en-US"/>
        </w:rPr>
      </w:pPr>
    </w:p>
    <w:p w:rsidR="00954FE1" w:rsidRDefault="00827FC1" w:rsidP="00FC7225">
      <w:pPr>
        <w:keepNext/>
        <w:spacing w:after="0" w:line="360" w:lineRule="auto"/>
        <w:jc w:val="both"/>
      </w:pPr>
      <w:r>
        <w:rPr>
          <w:noProof/>
          <w:lang w:val="de-DE" w:eastAsia="de-DE"/>
        </w:rPr>
        <w:lastRenderedPageBreak/>
        <w:drawing>
          <wp:anchor distT="0" distB="0" distL="114300" distR="114300" simplePos="0" relativeHeight="251687936" behindDoc="0" locked="0" layoutInCell="1" allowOverlap="1" wp14:anchorId="696561E5" wp14:editId="71698E51">
            <wp:simplePos x="895350" y="895350"/>
            <wp:positionH relativeFrom="page">
              <wp:align>center</wp:align>
            </wp:positionH>
            <wp:positionV relativeFrom="paragraph">
              <wp:posOffset>-3810</wp:posOffset>
            </wp:positionV>
            <wp:extent cx="5760000" cy="6575250"/>
            <wp:effectExtent l="19050" t="19050" r="12700" b="16510"/>
            <wp:wrapTopAndBottom/>
            <wp:docPr id="59" name="Grafik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parison bio and pip priming with double mutant.png"/>
                    <pic:cNvPicPr/>
                  </pic:nvPicPr>
                  <pic:blipFill>
                    <a:blip r:embed="rId55">
                      <a:extLst>
                        <a:ext uri="{28A0092B-C50C-407E-A947-70E740481C1C}">
                          <a14:useLocalDpi xmlns:a14="http://schemas.microsoft.com/office/drawing/2010/main" val="0"/>
                        </a:ext>
                      </a:extLst>
                    </a:blip>
                    <a:stretch>
                      <a:fillRect/>
                    </a:stretch>
                  </pic:blipFill>
                  <pic:spPr>
                    <a:xfrm>
                      <a:off x="0" y="0"/>
                      <a:ext cx="5760000" cy="6575250"/>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p>
    <w:p w:rsidR="00954FE1" w:rsidRPr="00343090" w:rsidRDefault="00954FE1" w:rsidP="006638F1">
      <w:pPr>
        <w:pStyle w:val="Beschriftung"/>
        <w:spacing w:after="0" w:line="360" w:lineRule="auto"/>
        <w:jc w:val="both"/>
        <w:rPr>
          <w:color w:val="auto"/>
          <w:lang w:val="en-US"/>
        </w:rPr>
      </w:pPr>
      <w:bookmarkStart w:id="72" w:name="_Toc435621146"/>
      <w:proofErr w:type="gramStart"/>
      <w:r w:rsidRPr="00343090">
        <w:rPr>
          <w:color w:val="auto"/>
        </w:rPr>
        <w:t xml:space="preserve">Figure </w:t>
      </w:r>
      <w:r w:rsidRPr="00343090">
        <w:rPr>
          <w:color w:val="auto"/>
        </w:rPr>
        <w:fldChar w:fldCharType="begin"/>
      </w:r>
      <w:r w:rsidRPr="00343090">
        <w:rPr>
          <w:color w:val="auto"/>
        </w:rPr>
        <w:instrText xml:space="preserve"> SEQ Figure \* ARABIC </w:instrText>
      </w:r>
      <w:r w:rsidRPr="00343090">
        <w:rPr>
          <w:color w:val="auto"/>
        </w:rPr>
        <w:fldChar w:fldCharType="separate"/>
      </w:r>
      <w:r w:rsidR="00CB17FE">
        <w:rPr>
          <w:noProof/>
          <w:color w:val="auto"/>
        </w:rPr>
        <w:t>28</w:t>
      </w:r>
      <w:r w:rsidRPr="00343090">
        <w:rPr>
          <w:color w:val="auto"/>
        </w:rPr>
        <w:fldChar w:fldCharType="end"/>
      </w:r>
      <w:r w:rsidR="0096402E">
        <w:rPr>
          <w:color w:val="auto"/>
        </w:rPr>
        <w:t>.</w:t>
      </w:r>
      <w:proofErr w:type="gramEnd"/>
      <w:r w:rsidRPr="00343090">
        <w:rPr>
          <w:color w:val="auto"/>
        </w:rPr>
        <w:t xml:space="preserve"> </w:t>
      </w:r>
      <w:r w:rsidRPr="00343090">
        <w:rPr>
          <w:color w:val="auto"/>
          <w:lang w:val="en-US"/>
        </w:rPr>
        <w:t>Regulation of SAR-associated defence priming.</w:t>
      </w:r>
      <w:bookmarkEnd w:id="72"/>
    </w:p>
    <w:p w:rsidR="00FD65FA" w:rsidRPr="00343090" w:rsidRDefault="00954FE1" w:rsidP="00954FE1">
      <w:pPr>
        <w:pStyle w:val="Beschriftung"/>
        <w:jc w:val="both"/>
        <w:rPr>
          <w:b w:val="0"/>
          <w:color w:val="auto"/>
          <w:lang w:val="en-US"/>
        </w:rPr>
      </w:pPr>
      <w:r w:rsidRPr="00343090">
        <w:rPr>
          <w:b w:val="0"/>
          <w:color w:val="auto"/>
          <w:lang w:val="en-US"/>
        </w:rPr>
        <w:t xml:space="preserve">(A) </w:t>
      </w:r>
      <w:proofErr w:type="gramStart"/>
      <w:r w:rsidRPr="00343090">
        <w:rPr>
          <w:b w:val="0"/>
          <w:color w:val="auto"/>
          <w:lang w:val="en-US"/>
        </w:rPr>
        <w:t>to</w:t>
      </w:r>
      <w:proofErr w:type="gramEnd"/>
      <w:r w:rsidRPr="00343090">
        <w:rPr>
          <w:b w:val="0"/>
          <w:color w:val="auto"/>
          <w:lang w:val="en-US"/>
        </w:rPr>
        <w:t xml:space="preserve"> (C) SAR priming and (D) to (F) Pip-induced priming of defence gene expression in Col-0, </w:t>
      </w:r>
      <w:r w:rsidR="007236D3" w:rsidRPr="00343090">
        <w:rPr>
          <w:b w:val="0"/>
          <w:i/>
          <w:color w:val="auto"/>
          <w:lang w:val="en-US"/>
        </w:rPr>
        <w:t>ald1, sid2</w:t>
      </w:r>
      <w:r w:rsidRPr="00343090">
        <w:rPr>
          <w:b w:val="0"/>
          <w:color w:val="auto"/>
          <w:lang w:val="en-US"/>
        </w:rPr>
        <w:t xml:space="preserve">, and </w:t>
      </w:r>
      <w:r w:rsidR="007236D3" w:rsidRPr="00343090">
        <w:rPr>
          <w:b w:val="0"/>
          <w:i/>
          <w:color w:val="auto"/>
          <w:lang w:val="en-US"/>
        </w:rPr>
        <w:t>sid2 ald1</w:t>
      </w:r>
      <w:r w:rsidRPr="00343090">
        <w:rPr>
          <w:b w:val="0"/>
          <w:color w:val="auto"/>
          <w:lang w:val="en-US"/>
        </w:rPr>
        <w:t xml:space="preserve">. (A) </w:t>
      </w:r>
      <w:proofErr w:type="gramStart"/>
      <w:r w:rsidRPr="00343090">
        <w:rPr>
          <w:b w:val="0"/>
          <w:color w:val="auto"/>
          <w:lang w:val="en-US"/>
        </w:rPr>
        <w:t>to</w:t>
      </w:r>
      <w:proofErr w:type="gramEnd"/>
      <w:r w:rsidRPr="00343090">
        <w:rPr>
          <w:b w:val="0"/>
          <w:color w:val="auto"/>
          <w:lang w:val="en-US"/>
        </w:rPr>
        <w:t xml:space="preserve"> (C) Plants were double inoculated to analyse defence priming during SAR in Col-0, </w:t>
      </w:r>
      <w:r w:rsidR="009A4D8D" w:rsidRPr="00343090">
        <w:rPr>
          <w:b w:val="0"/>
          <w:i/>
          <w:color w:val="auto"/>
          <w:lang w:val="en-US"/>
        </w:rPr>
        <w:t>ald1, sid2</w:t>
      </w:r>
      <w:r w:rsidRPr="00343090">
        <w:rPr>
          <w:b w:val="0"/>
          <w:color w:val="auto"/>
          <w:lang w:val="en-US"/>
        </w:rPr>
        <w:t xml:space="preserve">, and </w:t>
      </w:r>
      <w:r w:rsidR="009A4D8D" w:rsidRPr="00343090">
        <w:rPr>
          <w:b w:val="0"/>
          <w:i/>
          <w:color w:val="auto"/>
          <w:lang w:val="en-US"/>
        </w:rPr>
        <w:t>sid2 ald1</w:t>
      </w:r>
      <w:r w:rsidRPr="00343090">
        <w:rPr>
          <w:b w:val="0"/>
          <w:color w:val="auto"/>
          <w:lang w:val="en-US"/>
        </w:rPr>
        <w:t xml:space="preserve"> </w:t>
      </w:r>
      <w:r w:rsidR="00256EF4" w:rsidRPr="00343090">
        <w:rPr>
          <w:b w:val="0"/>
          <w:color w:val="auto"/>
          <w:lang w:val="en-US"/>
        </w:rPr>
        <w:t xml:space="preserve">as described in the legend to figure </w:t>
      </w:r>
      <w:r w:rsidR="00DF7A1C" w:rsidRPr="00343090">
        <w:rPr>
          <w:b w:val="0"/>
          <w:color w:val="auto"/>
          <w:lang w:val="en-US"/>
        </w:rPr>
        <w:t>24</w:t>
      </w:r>
      <w:r w:rsidR="00256EF4" w:rsidRPr="00343090">
        <w:rPr>
          <w:b w:val="0"/>
          <w:color w:val="auto"/>
          <w:lang w:val="en-US"/>
        </w:rPr>
        <w:t xml:space="preserve">. </w:t>
      </w:r>
      <w:r w:rsidR="00DF7A1C" w:rsidRPr="00343090">
        <w:rPr>
          <w:b w:val="0"/>
          <w:color w:val="auto"/>
          <w:lang w:val="en-US"/>
        </w:rPr>
        <w:t xml:space="preserve">(D) </w:t>
      </w:r>
      <w:proofErr w:type="gramStart"/>
      <w:r w:rsidR="00DF7A1C" w:rsidRPr="00343090">
        <w:rPr>
          <w:b w:val="0"/>
          <w:color w:val="auto"/>
          <w:lang w:val="en-US"/>
        </w:rPr>
        <w:t>to</w:t>
      </w:r>
      <w:proofErr w:type="gramEnd"/>
      <w:r w:rsidR="00DF7A1C" w:rsidRPr="00343090">
        <w:rPr>
          <w:b w:val="0"/>
          <w:color w:val="auto"/>
          <w:lang w:val="en-US"/>
        </w:rPr>
        <w:t xml:space="preserve"> (F) Water or 10 µmol</w:t>
      </w:r>
      <w:r w:rsidRPr="00343090">
        <w:rPr>
          <w:b w:val="0"/>
          <w:color w:val="auto"/>
          <w:lang w:val="en-US"/>
        </w:rPr>
        <w:t xml:space="preserve"> Pip were applied to plants via soil drench. Leaves were infiltrated 1 day later with either 10 mM MgCl</w:t>
      </w:r>
      <w:r w:rsidRPr="00343090">
        <w:rPr>
          <w:b w:val="0"/>
          <w:color w:val="auto"/>
          <w:vertAlign w:val="subscript"/>
          <w:lang w:val="en-US"/>
        </w:rPr>
        <w:t>2</w:t>
      </w:r>
      <w:r w:rsidRPr="00343090">
        <w:rPr>
          <w:b w:val="0"/>
          <w:color w:val="auto"/>
          <w:lang w:val="en-US"/>
        </w:rPr>
        <w:t xml:space="preserve"> or </w:t>
      </w:r>
      <w:r w:rsidRPr="00343090">
        <w:rPr>
          <w:b w:val="0"/>
          <w:i/>
          <w:color w:val="auto"/>
          <w:lang w:val="en-US"/>
        </w:rPr>
        <w:t>Psm</w:t>
      </w:r>
      <w:r w:rsidRPr="00343090">
        <w:rPr>
          <w:b w:val="0"/>
          <w:color w:val="auto"/>
          <w:lang w:val="en-US"/>
        </w:rPr>
        <w:t xml:space="preserve"> (OD</w:t>
      </w:r>
      <w:r w:rsidRPr="00343090">
        <w:rPr>
          <w:b w:val="0"/>
          <w:color w:val="auto"/>
          <w:vertAlign w:val="subscript"/>
          <w:lang w:val="en-US"/>
        </w:rPr>
        <w:t>600</w:t>
      </w:r>
      <w:r w:rsidRPr="00343090">
        <w:rPr>
          <w:b w:val="0"/>
          <w:color w:val="auto"/>
          <w:lang w:val="en-US"/>
        </w:rPr>
        <w:t xml:space="preserve">=0.005) and scored for gene expression analysis </w:t>
      </w:r>
      <w:r w:rsidR="00104C4E">
        <w:rPr>
          <w:b w:val="0"/>
          <w:color w:val="auto"/>
          <w:lang w:val="en-US"/>
        </w:rPr>
        <w:t xml:space="preserve">at </w:t>
      </w:r>
      <w:r w:rsidRPr="00343090">
        <w:rPr>
          <w:b w:val="0"/>
          <w:color w:val="auto"/>
          <w:lang w:val="en-US"/>
        </w:rPr>
        <w:t xml:space="preserve">10 </w:t>
      </w:r>
      <w:r w:rsidR="00104C4E">
        <w:rPr>
          <w:b w:val="0"/>
          <w:color w:val="auto"/>
          <w:lang w:val="en-US"/>
        </w:rPr>
        <w:t>hpi</w:t>
      </w:r>
      <w:r w:rsidRPr="00343090">
        <w:rPr>
          <w:b w:val="0"/>
          <w:color w:val="auto"/>
          <w:lang w:val="en-US"/>
        </w:rPr>
        <w:t xml:space="preserve">. Relative </w:t>
      </w:r>
      <w:r w:rsidRPr="00343090">
        <w:rPr>
          <w:b w:val="0"/>
          <w:i/>
          <w:color w:val="auto"/>
          <w:lang w:val="en-US"/>
        </w:rPr>
        <w:t>ALD1</w:t>
      </w:r>
      <w:r w:rsidRPr="00343090">
        <w:rPr>
          <w:b w:val="0"/>
          <w:color w:val="auto"/>
          <w:lang w:val="en-US"/>
        </w:rPr>
        <w:t xml:space="preserve"> (A) and (D), </w:t>
      </w:r>
      <w:r w:rsidRPr="00343090">
        <w:rPr>
          <w:b w:val="0"/>
          <w:i/>
          <w:color w:val="auto"/>
          <w:lang w:val="en-US"/>
        </w:rPr>
        <w:t>FMO1</w:t>
      </w:r>
      <w:r w:rsidRPr="00343090">
        <w:rPr>
          <w:b w:val="0"/>
          <w:color w:val="auto"/>
          <w:lang w:val="en-US"/>
        </w:rPr>
        <w:t xml:space="preserve"> (B) and (E), and </w:t>
      </w:r>
      <w:r w:rsidRPr="00343090">
        <w:rPr>
          <w:b w:val="0"/>
          <w:i/>
          <w:color w:val="auto"/>
          <w:lang w:val="en-US"/>
        </w:rPr>
        <w:t>PR-1</w:t>
      </w:r>
      <w:r w:rsidRPr="00343090">
        <w:rPr>
          <w:b w:val="0"/>
          <w:color w:val="auto"/>
          <w:lang w:val="en-US"/>
        </w:rPr>
        <w:t xml:space="preserve"> (C) and (F) gene expression was analysed </w:t>
      </w:r>
      <w:r w:rsidR="00103C4A" w:rsidRPr="00343090">
        <w:rPr>
          <w:b w:val="0"/>
          <w:color w:val="auto"/>
          <w:lang w:val="en-US"/>
        </w:rPr>
        <w:t>as de</w:t>
      </w:r>
      <w:r w:rsidR="00DF7A1C" w:rsidRPr="00343090">
        <w:rPr>
          <w:b w:val="0"/>
          <w:color w:val="auto"/>
          <w:lang w:val="en-US"/>
        </w:rPr>
        <w:t>scribed in figure 24</w:t>
      </w:r>
      <w:r w:rsidRPr="00343090">
        <w:rPr>
          <w:b w:val="0"/>
          <w:color w:val="auto"/>
          <w:lang w:val="en-US"/>
        </w:rPr>
        <w:t xml:space="preserve"> (</w:t>
      </w:r>
      <w:r w:rsidR="007236D3" w:rsidRPr="00343090">
        <w:rPr>
          <w:b w:val="0"/>
          <w:color w:val="auto"/>
          <w:lang w:val="en-US"/>
        </w:rPr>
        <w:t>P, primed</w:t>
      </w:r>
      <w:r w:rsidR="005C02D7" w:rsidRPr="00343090">
        <w:rPr>
          <w:b w:val="0"/>
          <w:color w:val="auto"/>
          <w:lang w:val="en-US"/>
        </w:rPr>
        <w:t xml:space="preserve"> gene expression</w:t>
      </w:r>
      <w:r w:rsidRPr="00343090">
        <w:rPr>
          <w:b w:val="0"/>
          <w:color w:val="auto"/>
          <w:lang w:val="en-US"/>
        </w:rPr>
        <w:t>).</w:t>
      </w:r>
      <w:r w:rsidR="00CE0C49" w:rsidRPr="00343090">
        <w:rPr>
          <w:b w:val="0"/>
          <w:color w:val="auto"/>
          <w:lang w:val="en-US"/>
        </w:rPr>
        <w:t xml:space="preserve"> This set of experiments was done in collaboration with </w:t>
      </w:r>
      <w:r w:rsidR="00F919B4" w:rsidRPr="00343090">
        <w:rPr>
          <w:b w:val="0"/>
          <w:color w:val="auto"/>
          <w:lang w:val="en-US"/>
        </w:rPr>
        <w:t xml:space="preserve">Dr </w:t>
      </w:r>
      <w:r w:rsidR="00CE0C49" w:rsidRPr="00343090">
        <w:rPr>
          <w:b w:val="0"/>
          <w:color w:val="auto"/>
          <w:lang w:val="en-US"/>
        </w:rPr>
        <w:t>Friederike Bernsdorff.</w:t>
      </w:r>
    </w:p>
    <w:p w:rsidR="00E573FD" w:rsidRDefault="001F5EB3" w:rsidP="00E573FD">
      <w:pPr>
        <w:spacing w:after="0" w:line="360" w:lineRule="auto"/>
        <w:jc w:val="both"/>
      </w:pPr>
      <w:r>
        <w:rPr>
          <w:lang w:val="en-US"/>
        </w:rPr>
        <w:t>We found in previous experiments</w:t>
      </w:r>
      <w:r w:rsidRPr="000217AD">
        <w:rPr>
          <w:lang w:val="en-US"/>
        </w:rPr>
        <w:t xml:space="preserve"> a partial</w:t>
      </w:r>
      <w:r>
        <w:rPr>
          <w:lang w:val="en-US"/>
        </w:rPr>
        <w:t xml:space="preserve">, </w:t>
      </w:r>
      <w:r w:rsidRPr="000217AD">
        <w:rPr>
          <w:lang w:val="en-US"/>
        </w:rPr>
        <w:t>SA-independent</w:t>
      </w:r>
      <w:r>
        <w:rPr>
          <w:lang w:val="en-US"/>
        </w:rPr>
        <w:t xml:space="preserve">, </w:t>
      </w:r>
      <w:r w:rsidRPr="000217AD">
        <w:rPr>
          <w:lang w:val="en-US"/>
        </w:rPr>
        <w:t xml:space="preserve">SAR response in </w:t>
      </w:r>
      <w:r w:rsidRPr="000217AD">
        <w:rPr>
          <w:i/>
          <w:lang w:val="en-US"/>
        </w:rPr>
        <w:t>sid2</w:t>
      </w:r>
      <w:r w:rsidRPr="000217AD">
        <w:rPr>
          <w:lang w:val="en-US"/>
        </w:rPr>
        <w:t xml:space="preserve"> (Bernsdorff, Döring, Gruner, Brä</w:t>
      </w:r>
      <w:r>
        <w:rPr>
          <w:lang w:val="en-US"/>
        </w:rPr>
        <w:t>utigam, Schuck &amp; Zeier, submitted to The Plant Cell) and i</w:t>
      </w:r>
      <w:r w:rsidRPr="000217AD">
        <w:rPr>
          <w:lang w:val="en-US"/>
        </w:rPr>
        <w:t>n order to study this phenomenon in more detail, a double</w:t>
      </w:r>
      <w:r>
        <w:rPr>
          <w:lang w:val="en-US"/>
        </w:rPr>
        <w:t xml:space="preserve"> mutant unable to synthesize Pip and SA</w:t>
      </w:r>
      <w:r w:rsidRPr="000217AD">
        <w:rPr>
          <w:lang w:val="en-US"/>
        </w:rPr>
        <w:t xml:space="preserve"> termed </w:t>
      </w:r>
      <w:r w:rsidRPr="000217AD">
        <w:rPr>
          <w:i/>
          <w:lang w:val="en-US"/>
        </w:rPr>
        <w:t>sid2-1 ald1-6</w:t>
      </w:r>
      <w:r w:rsidRPr="000217AD">
        <w:rPr>
          <w:lang w:val="en-US"/>
        </w:rPr>
        <w:t xml:space="preserve"> was generated (</w:t>
      </w:r>
      <w:r w:rsidRPr="000217AD">
        <w:rPr>
          <w:i/>
          <w:lang w:val="en-US"/>
        </w:rPr>
        <w:t>sid2 ald1</w:t>
      </w:r>
      <w:r w:rsidRPr="000217AD">
        <w:rPr>
          <w:lang w:val="en-US"/>
        </w:rPr>
        <w:t xml:space="preserve">; </w:t>
      </w:r>
      <w:r>
        <w:rPr>
          <w:lang w:val="en-US"/>
        </w:rPr>
        <w:t xml:space="preserve">Dr </w:t>
      </w:r>
      <w:r w:rsidRPr="000217AD">
        <w:rPr>
          <w:lang w:val="en-US"/>
        </w:rPr>
        <w:t xml:space="preserve">F. Bernsdorff, PhD thesis; Bernsdorff </w:t>
      </w:r>
      <w:r w:rsidRPr="000217AD">
        <w:rPr>
          <w:i/>
          <w:lang w:val="en-US"/>
        </w:rPr>
        <w:lastRenderedPageBreak/>
        <w:t>et al</w:t>
      </w:r>
      <w:r>
        <w:rPr>
          <w:lang w:val="en-US"/>
        </w:rPr>
        <w:t xml:space="preserve">., submitted to The Plant Cell). </w:t>
      </w:r>
      <w:r w:rsidR="006638F1">
        <w:rPr>
          <w:lang w:val="en-US"/>
        </w:rPr>
        <w:t xml:space="preserve">This mutant line, along with the parental lines </w:t>
      </w:r>
      <w:r w:rsidR="006638F1" w:rsidRPr="00D33281">
        <w:rPr>
          <w:i/>
          <w:lang w:val="en-US"/>
        </w:rPr>
        <w:t>sid2</w:t>
      </w:r>
      <w:r w:rsidR="006638F1">
        <w:rPr>
          <w:lang w:val="en-US"/>
        </w:rPr>
        <w:t xml:space="preserve"> and </w:t>
      </w:r>
      <w:r w:rsidR="006638F1" w:rsidRPr="00D33281">
        <w:rPr>
          <w:i/>
          <w:lang w:val="en-US"/>
        </w:rPr>
        <w:t>ald1</w:t>
      </w:r>
      <w:r w:rsidR="006638F1">
        <w:rPr>
          <w:lang w:val="en-US"/>
        </w:rPr>
        <w:t xml:space="preserve"> and Col-0 as </w:t>
      </w:r>
      <w:r w:rsidR="00104C4E">
        <w:rPr>
          <w:lang w:val="en-US"/>
        </w:rPr>
        <w:t>WT</w:t>
      </w:r>
      <w:r w:rsidR="006638F1">
        <w:rPr>
          <w:lang w:val="en-US"/>
        </w:rPr>
        <w:t xml:space="preserve"> control, was used t</w:t>
      </w:r>
      <w:r w:rsidR="006638F1" w:rsidRPr="000217AD">
        <w:rPr>
          <w:lang w:val="en-US"/>
        </w:rPr>
        <w:t>o further dissect defence priming and SA-dependency of gen</w:t>
      </w:r>
      <w:r w:rsidR="006638F1">
        <w:rPr>
          <w:lang w:val="en-US"/>
        </w:rPr>
        <w:t>e expression in priming (Figure 28</w:t>
      </w:r>
      <w:r w:rsidR="006638F1" w:rsidRPr="000217AD">
        <w:rPr>
          <w:lang w:val="en-US"/>
        </w:rPr>
        <w:t xml:space="preserve">; Bernsdorff </w:t>
      </w:r>
      <w:r w:rsidR="006638F1" w:rsidRPr="000217AD">
        <w:rPr>
          <w:i/>
          <w:lang w:val="en-US"/>
        </w:rPr>
        <w:t>et al</w:t>
      </w:r>
      <w:r w:rsidR="006638F1" w:rsidRPr="000217AD">
        <w:rPr>
          <w:lang w:val="en-US"/>
        </w:rPr>
        <w:t xml:space="preserve">., </w:t>
      </w:r>
      <w:r w:rsidR="00E0008D">
        <w:rPr>
          <w:lang w:val="en-US"/>
        </w:rPr>
        <w:t>submitted to The Plant Cell</w:t>
      </w:r>
      <w:r w:rsidR="006638F1" w:rsidRPr="000217AD">
        <w:rPr>
          <w:lang w:val="en-US"/>
        </w:rPr>
        <w:t>).</w:t>
      </w:r>
      <w:r w:rsidR="006638F1">
        <w:rPr>
          <w:lang w:val="en-US"/>
        </w:rPr>
        <w:t xml:space="preserve"> </w:t>
      </w:r>
      <w:r w:rsidR="00FD65FA" w:rsidRPr="00FD65FA">
        <w:t xml:space="preserve">In a biological priming experiment gene expression of the SA-independent defence-related genes </w:t>
      </w:r>
      <w:r w:rsidR="00FD65FA" w:rsidRPr="00FD65FA">
        <w:rPr>
          <w:i/>
        </w:rPr>
        <w:t>ALD1</w:t>
      </w:r>
      <w:r w:rsidR="00FD65FA" w:rsidRPr="00FD65FA">
        <w:t xml:space="preserve"> and </w:t>
      </w:r>
      <w:r w:rsidR="00FD65FA" w:rsidRPr="00FD65FA">
        <w:rPr>
          <w:i/>
        </w:rPr>
        <w:t>FMO1</w:t>
      </w:r>
      <w:r w:rsidR="00FD65FA" w:rsidRPr="00FD65FA">
        <w:t xml:space="preserve"> was strongly primed in Col-0 and </w:t>
      </w:r>
      <w:r w:rsidR="00C00D05">
        <w:rPr>
          <w:i/>
        </w:rPr>
        <w:t>sid2</w:t>
      </w:r>
      <w:r w:rsidR="00FD65FA" w:rsidRPr="00FD65FA">
        <w:t xml:space="preserve">, but not in </w:t>
      </w:r>
      <w:r w:rsidR="00FD65FA" w:rsidRPr="00FD65FA">
        <w:rPr>
          <w:i/>
        </w:rPr>
        <w:t>ald1</w:t>
      </w:r>
      <w:r w:rsidR="00FD65FA" w:rsidRPr="00FD65FA">
        <w:t xml:space="preserve"> or </w:t>
      </w:r>
      <w:r w:rsidR="00B02D87">
        <w:rPr>
          <w:i/>
        </w:rPr>
        <w:t>sid2 ald1</w:t>
      </w:r>
      <w:r w:rsidR="00C00D05">
        <w:t xml:space="preserve"> (Figure 28</w:t>
      </w:r>
      <w:r w:rsidR="00B02D87">
        <w:t xml:space="preserve"> </w:t>
      </w:r>
      <w:r w:rsidR="00C00D05">
        <w:t>A; Figure 28</w:t>
      </w:r>
      <w:r w:rsidR="00F62B40">
        <w:t xml:space="preserve"> </w:t>
      </w:r>
      <w:r w:rsidR="00FD65FA" w:rsidRPr="00FD65FA">
        <w:t xml:space="preserve">B). In Col-0 and </w:t>
      </w:r>
      <w:r w:rsidR="00B02D87">
        <w:rPr>
          <w:i/>
        </w:rPr>
        <w:t>sid2</w:t>
      </w:r>
      <w:r w:rsidR="00FD65FA" w:rsidRPr="00FD65FA">
        <w:t xml:space="preserve"> the same level of transcript abundance for </w:t>
      </w:r>
      <w:r w:rsidR="00FD65FA" w:rsidRPr="00FD65FA">
        <w:rPr>
          <w:i/>
        </w:rPr>
        <w:t>ALD1</w:t>
      </w:r>
      <w:r w:rsidR="00B02D87">
        <w:t xml:space="preserve"> </w:t>
      </w:r>
      <w:r w:rsidR="00E573FD">
        <w:t>was</w:t>
      </w:r>
      <w:r w:rsidR="00C00D05">
        <w:t xml:space="preserve"> determined (Figure 28</w:t>
      </w:r>
      <w:r w:rsidR="00B02D87">
        <w:t xml:space="preserve"> </w:t>
      </w:r>
      <w:r w:rsidR="00FD65FA" w:rsidRPr="00FD65FA">
        <w:t xml:space="preserve">A), for </w:t>
      </w:r>
      <w:r w:rsidR="00FD65FA" w:rsidRPr="00FD65FA">
        <w:rPr>
          <w:i/>
        </w:rPr>
        <w:t>FMO1</w:t>
      </w:r>
      <w:r w:rsidR="00FD65FA" w:rsidRPr="00FD65FA">
        <w:t xml:space="preserve">, gene expression was about twice as high in </w:t>
      </w:r>
      <w:r w:rsidR="00B02D87">
        <w:rPr>
          <w:i/>
        </w:rPr>
        <w:t>sid2</w:t>
      </w:r>
      <w:r w:rsidR="00C00D05">
        <w:t xml:space="preserve"> than in Col-0 (Figure 28</w:t>
      </w:r>
      <w:r w:rsidR="00B02D87">
        <w:t xml:space="preserve"> </w:t>
      </w:r>
      <w:r w:rsidR="00FD65FA" w:rsidRPr="00FD65FA">
        <w:t xml:space="preserve">B). Expression of the SA-dependent gene </w:t>
      </w:r>
      <w:r w:rsidR="00FD65FA" w:rsidRPr="00FD65FA">
        <w:rPr>
          <w:i/>
        </w:rPr>
        <w:t>PR-1</w:t>
      </w:r>
      <w:r w:rsidR="00FD65FA" w:rsidRPr="00FD65FA">
        <w:t xml:space="preserve"> was primed only in Col-0, and not in </w:t>
      </w:r>
      <w:r w:rsidR="00B02D87">
        <w:rPr>
          <w:i/>
        </w:rPr>
        <w:t>sid2</w:t>
      </w:r>
      <w:r w:rsidR="00FD65FA" w:rsidRPr="00FD65FA">
        <w:t xml:space="preserve"> or the double mutant </w:t>
      </w:r>
      <w:r w:rsidR="00B02D87">
        <w:rPr>
          <w:i/>
        </w:rPr>
        <w:t>sid2 ald1</w:t>
      </w:r>
      <w:r w:rsidR="00C00D05">
        <w:t xml:space="preserve"> (Figure 28</w:t>
      </w:r>
      <w:r w:rsidR="00B02D87">
        <w:t xml:space="preserve"> </w:t>
      </w:r>
      <w:r w:rsidR="00FD65FA" w:rsidRPr="00FD65FA">
        <w:t xml:space="preserve">C). </w:t>
      </w:r>
      <w:r w:rsidR="00E90564" w:rsidRPr="00E90564">
        <w:rPr>
          <w:lang w:val="en-US"/>
        </w:rPr>
        <w:t xml:space="preserve">From these results it can be deduced that </w:t>
      </w:r>
      <w:r w:rsidR="006638F1">
        <w:rPr>
          <w:lang w:val="en-US"/>
        </w:rPr>
        <w:t>for priming</w:t>
      </w:r>
      <w:r w:rsidR="00E90564" w:rsidRPr="00E90564">
        <w:rPr>
          <w:lang w:val="en-US"/>
        </w:rPr>
        <w:t xml:space="preserve"> of SA-independent genes </w:t>
      </w:r>
      <w:r w:rsidR="006638F1">
        <w:rPr>
          <w:lang w:val="en-US"/>
        </w:rPr>
        <w:t>the presence of SA is not necessary, but for</w:t>
      </w:r>
      <w:r w:rsidR="00E90564" w:rsidRPr="00E90564">
        <w:rPr>
          <w:lang w:val="en-US"/>
        </w:rPr>
        <w:t xml:space="preserve"> SA-dependent genes</w:t>
      </w:r>
      <w:r w:rsidR="006638F1">
        <w:rPr>
          <w:lang w:val="en-US"/>
        </w:rPr>
        <w:t xml:space="preserve"> SA is essential</w:t>
      </w:r>
      <w:r w:rsidR="00E90564" w:rsidRPr="00E90564">
        <w:rPr>
          <w:lang w:val="en-US"/>
        </w:rPr>
        <w:t xml:space="preserve">. </w:t>
      </w:r>
    </w:p>
    <w:p w:rsidR="00B517AA" w:rsidRDefault="00B517AA" w:rsidP="005E33AA">
      <w:pPr>
        <w:pStyle w:val="berschrift2"/>
        <w:spacing w:line="360" w:lineRule="auto"/>
        <w:jc w:val="both"/>
        <w:rPr>
          <w:color w:val="auto"/>
        </w:rPr>
        <w:sectPr w:rsidR="00B517AA" w:rsidSect="00AE030A">
          <w:pgSz w:w="11906" w:h="16838"/>
          <w:pgMar w:top="1417" w:right="1417" w:bottom="1134" w:left="1417" w:header="708" w:footer="708" w:gutter="0"/>
          <w:cols w:space="708"/>
          <w:titlePg/>
          <w:docGrid w:linePitch="360"/>
        </w:sectPr>
      </w:pPr>
    </w:p>
    <w:p w:rsidR="00C00D05" w:rsidRPr="005E33AA" w:rsidRDefault="00563EC1" w:rsidP="005E33AA">
      <w:pPr>
        <w:pStyle w:val="berschrift2"/>
        <w:spacing w:line="360" w:lineRule="auto"/>
        <w:jc w:val="both"/>
        <w:rPr>
          <w:color w:val="auto"/>
        </w:rPr>
      </w:pPr>
      <w:bookmarkStart w:id="73" w:name="_Toc435621238"/>
      <w:r>
        <w:rPr>
          <w:color w:val="auto"/>
        </w:rPr>
        <w:lastRenderedPageBreak/>
        <w:t xml:space="preserve">6.2 </w:t>
      </w:r>
      <w:r w:rsidR="005E33AA" w:rsidRPr="005E33AA">
        <w:rPr>
          <w:color w:val="auto"/>
        </w:rPr>
        <w:t>Regulation of Pip-induced priming of gene expression</w:t>
      </w:r>
      <w:bookmarkEnd w:id="73"/>
    </w:p>
    <w:p w:rsidR="00E73298" w:rsidRDefault="00FD65FA" w:rsidP="005E33AA">
      <w:pPr>
        <w:spacing w:after="0" w:line="360" w:lineRule="auto"/>
        <w:jc w:val="both"/>
        <w:rPr>
          <w:lang w:val="en-US"/>
        </w:rPr>
      </w:pPr>
      <w:r w:rsidRPr="00FD65FA">
        <w:t>We were able to show</w:t>
      </w:r>
      <w:r w:rsidR="00B02D87">
        <w:t xml:space="preserve"> in </w:t>
      </w:r>
      <w:r w:rsidRPr="00FD65FA">
        <w:t>earlier</w:t>
      </w:r>
      <w:r w:rsidR="00B02D87">
        <w:t xml:space="preserve"> experiments that exogenous application of </w:t>
      </w:r>
      <w:r w:rsidR="006638F1">
        <w:t>Pip</w:t>
      </w:r>
      <w:r w:rsidRPr="00FD65FA">
        <w:t xml:space="preserve"> to plants one day prior to infection with </w:t>
      </w:r>
      <w:r w:rsidR="006638F1">
        <w:rPr>
          <w:i/>
        </w:rPr>
        <w:t>Psm</w:t>
      </w:r>
      <w:r w:rsidRPr="00FD65FA">
        <w:t xml:space="preserve"> can prime gene expression in inoculated leaves (Návarová </w:t>
      </w:r>
      <w:r w:rsidRPr="00E573FD">
        <w:rPr>
          <w:i/>
        </w:rPr>
        <w:t>et al.,</w:t>
      </w:r>
      <w:r w:rsidRPr="00FD65FA">
        <w:t xml:space="preserve"> 2012). </w:t>
      </w:r>
      <w:r w:rsidR="00E73298" w:rsidRPr="00EB4603">
        <w:rPr>
          <w:lang w:val="en-US"/>
        </w:rPr>
        <w:t xml:space="preserve">To analyse </w:t>
      </w:r>
      <w:r w:rsidR="00E73298">
        <w:rPr>
          <w:lang w:val="en-US"/>
        </w:rPr>
        <w:t xml:space="preserve">the relationship between Pip and SA and the </w:t>
      </w:r>
      <w:r w:rsidR="00E73298" w:rsidRPr="00EB4603">
        <w:rPr>
          <w:lang w:val="en-US"/>
        </w:rPr>
        <w:t>SA-dependency of primed gene expression</w:t>
      </w:r>
      <w:r w:rsidR="005477C7">
        <w:rPr>
          <w:lang w:val="en-US"/>
        </w:rPr>
        <w:t xml:space="preserve"> in more detail</w:t>
      </w:r>
      <w:r w:rsidR="00E73298" w:rsidRPr="00EB4603">
        <w:rPr>
          <w:lang w:val="en-US"/>
        </w:rPr>
        <w:t xml:space="preserve">, Col-0, </w:t>
      </w:r>
      <w:r w:rsidR="00E73298">
        <w:rPr>
          <w:i/>
          <w:lang w:val="en-US"/>
        </w:rPr>
        <w:t>ald1, sid2</w:t>
      </w:r>
      <w:r w:rsidR="00E73298" w:rsidRPr="00EB4603">
        <w:rPr>
          <w:lang w:val="en-US"/>
        </w:rPr>
        <w:t xml:space="preserve">, and </w:t>
      </w:r>
      <w:r w:rsidR="00E73298">
        <w:rPr>
          <w:i/>
          <w:lang w:val="en-US"/>
        </w:rPr>
        <w:t>sid2 ald1</w:t>
      </w:r>
      <w:r w:rsidR="00E73298" w:rsidRPr="00EB4603">
        <w:rPr>
          <w:lang w:val="en-US"/>
        </w:rPr>
        <w:t xml:space="preserve"> plants were treat</w:t>
      </w:r>
      <w:r w:rsidR="00E73298">
        <w:rPr>
          <w:lang w:val="en-US"/>
        </w:rPr>
        <w:t>ed with 10 ml 1 mM (=10 µmol</w:t>
      </w:r>
      <w:r w:rsidR="00E73298" w:rsidRPr="00EB4603">
        <w:rPr>
          <w:lang w:val="en-US"/>
        </w:rPr>
        <w:t xml:space="preserve">) Pip one </w:t>
      </w:r>
      <w:r w:rsidR="00E73298">
        <w:rPr>
          <w:lang w:val="en-US"/>
        </w:rPr>
        <w:t xml:space="preserve">day before infiltrating leaves </w:t>
      </w:r>
      <w:r w:rsidR="00E73298" w:rsidRPr="00EB4603">
        <w:rPr>
          <w:lang w:val="en-US"/>
        </w:rPr>
        <w:t>with 10 mM MgCl</w:t>
      </w:r>
      <w:r w:rsidR="00E73298" w:rsidRPr="00876C8F">
        <w:rPr>
          <w:vertAlign w:val="subscript"/>
          <w:lang w:val="en-US"/>
        </w:rPr>
        <w:t>2</w:t>
      </w:r>
      <w:r w:rsidR="00E73298" w:rsidRPr="00EB4603">
        <w:rPr>
          <w:lang w:val="en-US"/>
        </w:rPr>
        <w:t xml:space="preserve"> or </w:t>
      </w:r>
      <w:r w:rsidR="00E73298" w:rsidRPr="00E573FD">
        <w:rPr>
          <w:i/>
          <w:lang w:val="en-US"/>
        </w:rPr>
        <w:t>Psm</w:t>
      </w:r>
      <w:r w:rsidR="00E73298" w:rsidRPr="00EB4603">
        <w:rPr>
          <w:lang w:val="en-US"/>
        </w:rPr>
        <w:t xml:space="preserve"> (OD</w:t>
      </w:r>
      <w:r w:rsidR="00E73298" w:rsidRPr="00876C8F">
        <w:rPr>
          <w:vertAlign w:val="subscript"/>
          <w:lang w:val="en-US"/>
        </w:rPr>
        <w:t>600</w:t>
      </w:r>
      <w:r w:rsidR="00E73298" w:rsidRPr="00EB4603">
        <w:rPr>
          <w:lang w:val="en-US"/>
        </w:rPr>
        <w:t>=0.005) and scoring gene expression 10 hours later. In plants treated in this manner</w:t>
      </w:r>
      <w:r w:rsidR="00E73298">
        <w:rPr>
          <w:lang w:val="en-US"/>
        </w:rPr>
        <w:t>,</w:t>
      </w:r>
      <w:r w:rsidR="00E73298" w:rsidRPr="00EB4603">
        <w:rPr>
          <w:lang w:val="en-US"/>
        </w:rPr>
        <w:t xml:space="preserve"> a strong priming response of </w:t>
      </w:r>
      <w:r w:rsidR="00E73298" w:rsidRPr="00E573FD">
        <w:rPr>
          <w:i/>
          <w:lang w:val="en-US"/>
        </w:rPr>
        <w:t>ALD1</w:t>
      </w:r>
      <w:r w:rsidR="00E73298" w:rsidRPr="00EB4603">
        <w:rPr>
          <w:lang w:val="en-US"/>
        </w:rPr>
        <w:t xml:space="preserve"> and </w:t>
      </w:r>
      <w:r w:rsidR="00E73298" w:rsidRPr="00E573FD">
        <w:rPr>
          <w:i/>
          <w:lang w:val="en-US"/>
        </w:rPr>
        <w:t>FMO1</w:t>
      </w:r>
      <w:r w:rsidR="00E73298" w:rsidRPr="00EB4603">
        <w:rPr>
          <w:lang w:val="en-US"/>
        </w:rPr>
        <w:t xml:space="preserve"> expressio</w:t>
      </w:r>
      <w:r w:rsidR="00E73298">
        <w:rPr>
          <w:lang w:val="en-US"/>
        </w:rPr>
        <w:t>n was observed in Col-0, with even stronger priming</w:t>
      </w:r>
      <w:r w:rsidR="00E73298" w:rsidRPr="00EB4603">
        <w:rPr>
          <w:lang w:val="en-US"/>
        </w:rPr>
        <w:t xml:space="preserve"> of these genes in </w:t>
      </w:r>
      <w:r w:rsidR="00E73298">
        <w:rPr>
          <w:i/>
          <w:lang w:val="en-US"/>
        </w:rPr>
        <w:t>sid2</w:t>
      </w:r>
      <w:r w:rsidR="00E73298">
        <w:rPr>
          <w:lang w:val="en-US"/>
        </w:rPr>
        <w:t xml:space="preserve"> (Figure 28 D; Figure 28 </w:t>
      </w:r>
      <w:r w:rsidR="00E73298" w:rsidRPr="00EB4603">
        <w:rPr>
          <w:lang w:val="en-US"/>
        </w:rPr>
        <w:t xml:space="preserve">E). </w:t>
      </w:r>
      <w:r w:rsidR="00E73298" w:rsidRPr="00E573FD">
        <w:rPr>
          <w:i/>
          <w:lang w:val="en-US"/>
        </w:rPr>
        <w:t>ALD1</w:t>
      </w:r>
      <w:r w:rsidR="00E73298" w:rsidRPr="00EB4603">
        <w:rPr>
          <w:lang w:val="en-US"/>
        </w:rPr>
        <w:t xml:space="preserve"> expression was completely abolished in </w:t>
      </w:r>
      <w:r w:rsidR="00E73298" w:rsidRPr="00E573FD">
        <w:rPr>
          <w:i/>
          <w:lang w:val="en-US"/>
        </w:rPr>
        <w:t>ald1</w:t>
      </w:r>
      <w:r w:rsidR="00E73298" w:rsidRPr="00EB4603">
        <w:rPr>
          <w:lang w:val="en-US"/>
        </w:rPr>
        <w:t xml:space="preserve"> and </w:t>
      </w:r>
      <w:r w:rsidR="00E73298">
        <w:rPr>
          <w:i/>
          <w:lang w:val="en-US"/>
        </w:rPr>
        <w:t xml:space="preserve">sid2 </w:t>
      </w:r>
      <w:r w:rsidR="00E73298" w:rsidRPr="00E573FD">
        <w:rPr>
          <w:i/>
          <w:lang w:val="en-US"/>
        </w:rPr>
        <w:t>ald1</w:t>
      </w:r>
      <w:r w:rsidR="00E73298">
        <w:rPr>
          <w:lang w:val="en-US"/>
        </w:rPr>
        <w:t xml:space="preserve"> (Figure 28 </w:t>
      </w:r>
      <w:r w:rsidR="00E73298" w:rsidRPr="00EB4603">
        <w:rPr>
          <w:lang w:val="en-US"/>
        </w:rPr>
        <w:t xml:space="preserve">D), and </w:t>
      </w:r>
      <w:r w:rsidR="00E73298" w:rsidRPr="00E573FD">
        <w:rPr>
          <w:i/>
          <w:lang w:val="en-US"/>
        </w:rPr>
        <w:t>FMO1</w:t>
      </w:r>
      <w:r w:rsidR="00E73298" w:rsidRPr="00EB4603">
        <w:rPr>
          <w:lang w:val="en-US"/>
        </w:rPr>
        <w:t xml:space="preserve"> expression </w:t>
      </w:r>
      <w:r w:rsidR="00E73298">
        <w:rPr>
          <w:lang w:val="en-US"/>
        </w:rPr>
        <w:t xml:space="preserve">was </w:t>
      </w:r>
      <w:r w:rsidR="005477C7">
        <w:rPr>
          <w:lang w:val="en-US"/>
        </w:rPr>
        <w:t>below WT-</w:t>
      </w:r>
      <w:r w:rsidR="00E73298" w:rsidRPr="00EB4603">
        <w:rPr>
          <w:lang w:val="en-US"/>
        </w:rPr>
        <w:t>l</w:t>
      </w:r>
      <w:r w:rsidR="00E73298">
        <w:rPr>
          <w:lang w:val="en-US"/>
        </w:rPr>
        <w:t xml:space="preserve">evels in these mutants (Figure 28 </w:t>
      </w:r>
      <w:r w:rsidR="00E73298" w:rsidRPr="00EB4603">
        <w:rPr>
          <w:lang w:val="en-US"/>
        </w:rPr>
        <w:t xml:space="preserve">E). </w:t>
      </w:r>
      <w:r w:rsidR="00E73298">
        <w:rPr>
          <w:lang w:val="en-US"/>
        </w:rPr>
        <w:t>Treatment</w:t>
      </w:r>
      <w:r w:rsidR="00E73298" w:rsidRPr="00EB4603">
        <w:rPr>
          <w:lang w:val="en-US"/>
        </w:rPr>
        <w:t xml:space="preserve"> with Pip prior to infection lead to strong priming of </w:t>
      </w:r>
      <w:r w:rsidR="00E73298" w:rsidRPr="00E573FD">
        <w:rPr>
          <w:i/>
          <w:lang w:val="en-US"/>
        </w:rPr>
        <w:t>PR-1</w:t>
      </w:r>
      <w:r w:rsidR="00E73298" w:rsidRPr="00EB4603">
        <w:rPr>
          <w:lang w:val="en-US"/>
        </w:rPr>
        <w:t xml:space="preserve"> expression in Col-0 and even restored priming of this gene to almost WT-levels in </w:t>
      </w:r>
      <w:r w:rsidR="00E73298" w:rsidRPr="00E573FD">
        <w:rPr>
          <w:i/>
          <w:lang w:val="en-US"/>
        </w:rPr>
        <w:t>ald1</w:t>
      </w:r>
      <w:r w:rsidR="00E73298">
        <w:rPr>
          <w:lang w:val="en-US"/>
        </w:rPr>
        <w:t xml:space="preserve"> (Figure 28 </w:t>
      </w:r>
      <w:r w:rsidR="00E73298" w:rsidRPr="00EB4603">
        <w:rPr>
          <w:lang w:val="en-US"/>
        </w:rPr>
        <w:t xml:space="preserve">F). The priming response of this SA-dependent gene was abolished in </w:t>
      </w:r>
      <w:r w:rsidR="00E73298">
        <w:rPr>
          <w:i/>
          <w:lang w:val="en-US"/>
        </w:rPr>
        <w:t>sid2</w:t>
      </w:r>
      <w:r w:rsidR="00E73298" w:rsidRPr="00EB4603">
        <w:rPr>
          <w:lang w:val="en-US"/>
        </w:rPr>
        <w:t xml:space="preserve"> and </w:t>
      </w:r>
      <w:r w:rsidR="00E73298">
        <w:rPr>
          <w:i/>
          <w:lang w:val="en-US"/>
        </w:rPr>
        <w:t>sid2 ald1</w:t>
      </w:r>
      <w:r w:rsidR="00E73298" w:rsidRPr="00EB4603">
        <w:rPr>
          <w:lang w:val="en-US"/>
        </w:rPr>
        <w:t xml:space="preserve"> even</w:t>
      </w:r>
      <w:r w:rsidR="00E73298">
        <w:rPr>
          <w:lang w:val="en-US"/>
        </w:rPr>
        <w:t xml:space="preserve"> after treating the plant with Pip prior to infection (Figure 28 </w:t>
      </w:r>
      <w:r w:rsidR="00E73298" w:rsidRPr="00EB4603">
        <w:rPr>
          <w:lang w:val="en-US"/>
        </w:rPr>
        <w:t xml:space="preserve">F). </w:t>
      </w:r>
      <w:r w:rsidR="00E73298" w:rsidRPr="009A4D8D">
        <w:rPr>
          <w:lang w:val="en-US"/>
        </w:rPr>
        <w:t>The exogenously applied</w:t>
      </w:r>
      <w:r w:rsidR="00E73298">
        <w:rPr>
          <w:lang w:val="en-US"/>
        </w:rPr>
        <w:t xml:space="preserve"> Pip seemed</w:t>
      </w:r>
      <w:r w:rsidR="00E73298" w:rsidRPr="009A4D8D">
        <w:rPr>
          <w:lang w:val="en-US"/>
        </w:rPr>
        <w:t xml:space="preserve"> to be not sufficient to induce primed expression of the SA-independent gene </w:t>
      </w:r>
      <w:r w:rsidR="00E73298" w:rsidRPr="009A4D8D">
        <w:rPr>
          <w:i/>
          <w:lang w:val="en-US"/>
        </w:rPr>
        <w:t>FMO1</w:t>
      </w:r>
      <w:r w:rsidR="00E73298" w:rsidRPr="009A4D8D">
        <w:rPr>
          <w:lang w:val="en-US"/>
        </w:rPr>
        <w:t xml:space="preserve"> in </w:t>
      </w:r>
      <w:r w:rsidR="00E73298" w:rsidRPr="009A4D8D">
        <w:rPr>
          <w:i/>
          <w:lang w:val="en-US"/>
        </w:rPr>
        <w:t>ald1</w:t>
      </w:r>
      <w:r w:rsidR="00E73298">
        <w:rPr>
          <w:lang w:val="en-US"/>
        </w:rPr>
        <w:t>, whereas</w:t>
      </w:r>
      <w:r w:rsidR="00E73298" w:rsidRPr="009A4D8D">
        <w:rPr>
          <w:lang w:val="en-US"/>
        </w:rPr>
        <w:t xml:space="preserve"> primed expression of the SA-dependent gene </w:t>
      </w:r>
      <w:r w:rsidR="00E73298" w:rsidRPr="009A4D8D">
        <w:rPr>
          <w:i/>
          <w:lang w:val="en-US"/>
        </w:rPr>
        <w:t>PR-1</w:t>
      </w:r>
      <w:r w:rsidR="00E73298" w:rsidRPr="009A4D8D">
        <w:rPr>
          <w:lang w:val="en-US"/>
        </w:rPr>
        <w:t xml:space="preserve"> </w:t>
      </w:r>
      <w:r w:rsidR="00E73298">
        <w:rPr>
          <w:lang w:val="en-US"/>
        </w:rPr>
        <w:t>could be observed very well in this line. This</w:t>
      </w:r>
      <w:r w:rsidR="00E73298" w:rsidRPr="009A4D8D">
        <w:rPr>
          <w:lang w:val="en-US"/>
        </w:rPr>
        <w:t xml:space="preserve"> hint</w:t>
      </w:r>
      <w:r w:rsidR="00E73298">
        <w:rPr>
          <w:lang w:val="en-US"/>
        </w:rPr>
        <w:t>s</w:t>
      </w:r>
      <w:r w:rsidR="00E73298" w:rsidRPr="009A4D8D">
        <w:rPr>
          <w:lang w:val="en-US"/>
        </w:rPr>
        <w:t xml:space="preserve"> at different priming thresholds for SA-dependent and -independent genes.</w:t>
      </w:r>
      <w:r w:rsidR="00E73298">
        <w:rPr>
          <w:lang w:val="en-US"/>
        </w:rPr>
        <w:t xml:space="preserve"> </w:t>
      </w:r>
    </w:p>
    <w:p w:rsidR="005E33AA" w:rsidRDefault="00E73298" w:rsidP="00E73298">
      <w:pPr>
        <w:spacing w:after="0" w:line="360" w:lineRule="auto"/>
        <w:ind w:firstLine="708"/>
        <w:jc w:val="both"/>
      </w:pPr>
      <w:r w:rsidRPr="00EB4603">
        <w:rPr>
          <w:lang w:val="en-US"/>
        </w:rPr>
        <w:t xml:space="preserve">As treatment of </w:t>
      </w:r>
      <w:r w:rsidRPr="00E573FD">
        <w:rPr>
          <w:i/>
          <w:lang w:val="en-US"/>
        </w:rPr>
        <w:t>Arabidopsis</w:t>
      </w:r>
      <w:r w:rsidRPr="00EB4603">
        <w:rPr>
          <w:lang w:val="en-US"/>
        </w:rPr>
        <w:t xml:space="preserve"> plants with Pip before inoculation in part restored priming of </w:t>
      </w:r>
      <w:r w:rsidRPr="00E573FD">
        <w:rPr>
          <w:i/>
          <w:lang w:val="en-US"/>
        </w:rPr>
        <w:t>PR-1</w:t>
      </w:r>
      <w:r w:rsidRPr="00EB4603">
        <w:rPr>
          <w:lang w:val="en-US"/>
        </w:rPr>
        <w:t xml:space="preserve"> expression in </w:t>
      </w:r>
      <w:r w:rsidRPr="00E573FD">
        <w:rPr>
          <w:i/>
          <w:lang w:val="en-US"/>
        </w:rPr>
        <w:t>ald1</w:t>
      </w:r>
      <w:r w:rsidRPr="00EB4603">
        <w:rPr>
          <w:lang w:val="en-US"/>
        </w:rPr>
        <w:t>, the effect of exogenous</w:t>
      </w:r>
      <w:r w:rsidR="005477C7">
        <w:rPr>
          <w:lang w:val="en-US"/>
        </w:rPr>
        <w:t>ly applied</w:t>
      </w:r>
      <w:r w:rsidRPr="00EB4603">
        <w:rPr>
          <w:lang w:val="en-US"/>
        </w:rPr>
        <w:t xml:space="preserve"> Pip on priming of gene expression in </w:t>
      </w:r>
      <w:r w:rsidRPr="00E573FD">
        <w:rPr>
          <w:i/>
          <w:lang w:val="en-US"/>
        </w:rPr>
        <w:t>fmo1</w:t>
      </w:r>
      <w:r w:rsidRPr="00EB4603">
        <w:rPr>
          <w:lang w:val="en-US"/>
        </w:rPr>
        <w:t xml:space="preserve"> was analysed.</w:t>
      </w:r>
      <w:r w:rsidRPr="00E73298">
        <w:rPr>
          <w:lang w:val="en-US"/>
        </w:rPr>
        <w:t xml:space="preserve"> </w:t>
      </w:r>
      <w:r w:rsidRPr="00EB4603">
        <w:rPr>
          <w:lang w:val="en-US"/>
        </w:rPr>
        <w:t xml:space="preserve">Expression of the SA-independent genes </w:t>
      </w:r>
      <w:r w:rsidRPr="00E573FD">
        <w:rPr>
          <w:i/>
          <w:lang w:val="en-US"/>
        </w:rPr>
        <w:t>ALD1</w:t>
      </w:r>
      <w:r w:rsidRPr="00EB4603">
        <w:rPr>
          <w:lang w:val="en-US"/>
        </w:rPr>
        <w:t xml:space="preserve"> and </w:t>
      </w:r>
      <w:r w:rsidRPr="00E573FD">
        <w:rPr>
          <w:i/>
          <w:lang w:val="en-US"/>
        </w:rPr>
        <w:t>SAG13</w:t>
      </w:r>
      <w:r w:rsidRPr="00EB4603">
        <w:rPr>
          <w:lang w:val="en-US"/>
        </w:rPr>
        <w:t>, as well as exp</w:t>
      </w:r>
      <w:r w:rsidR="005477C7">
        <w:rPr>
          <w:lang w:val="en-US"/>
        </w:rPr>
        <w:t>ression of the SA-dependent</w:t>
      </w:r>
      <w:r w:rsidRPr="00EB4603">
        <w:rPr>
          <w:lang w:val="en-US"/>
        </w:rPr>
        <w:t xml:space="preserve"> </w:t>
      </w:r>
      <w:r w:rsidRPr="00E573FD">
        <w:rPr>
          <w:i/>
          <w:lang w:val="en-US"/>
        </w:rPr>
        <w:t>PR-1</w:t>
      </w:r>
      <w:r w:rsidRPr="00EB4603">
        <w:rPr>
          <w:lang w:val="en-US"/>
        </w:rPr>
        <w:t>, was primed by exogenous</w:t>
      </w:r>
      <w:r w:rsidR="005477C7">
        <w:rPr>
          <w:lang w:val="en-US"/>
        </w:rPr>
        <w:t>ly supplied</w:t>
      </w:r>
      <w:r w:rsidRPr="00EB4603">
        <w:rPr>
          <w:lang w:val="en-US"/>
        </w:rPr>
        <w:t xml:space="preserve"> Pip in Col-0, but not in </w:t>
      </w:r>
      <w:r w:rsidRPr="00E573FD">
        <w:rPr>
          <w:i/>
          <w:lang w:val="en-US"/>
        </w:rPr>
        <w:t>fmo1</w:t>
      </w:r>
      <w:r>
        <w:rPr>
          <w:lang w:val="en-US"/>
        </w:rPr>
        <w:t xml:space="preserve"> (Figure 29 A-C). Priming of c</w:t>
      </w:r>
      <w:r w:rsidRPr="00EB4603">
        <w:rPr>
          <w:lang w:val="en-US"/>
        </w:rPr>
        <w:t>amalexin accumulation by Pip</w:t>
      </w:r>
      <w:r w:rsidR="005477C7">
        <w:rPr>
          <w:lang w:val="en-US"/>
        </w:rPr>
        <w:t>-treatment</w:t>
      </w:r>
      <w:r w:rsidRPr="00EB4603">
        <w:rPr>
          <w:lang w:val="en-US"/>
        </w:rPr>
        <w:t xml:space="preserve"> </w:t>
      </w:r>
      <w:r>
        <w:rPr>
          <w:lang w:val="en-US"/>
        </w:rPr>
        <w:t>was</w:t>
      </w:r>
      <w:r w:rsidRPr="00EB4603">
        <w:rPr>
          <w:lang w:val="en-US"/>
        </w:rPr>
        <w:t xml:space="preserve"> observed in Col-0, as described previously (Návarová </w:t>
      </w:r>
      <w:r w:rsidRPr="00E573FD">
        <w:rPr>
          <w:i/>
          <w:lang w:val="en-US"/>
        </w:rPr>
        <w:t>et al.</w:t>
      </w:r>
      <w:r w:rsidRPr="00EB4603">
        <w:rPr>
          <w:lang w:val="en-US"/>
        </w:rPr>
        <w:t xml:space="preserve">, 2012), but was completely abolished in </w:t>
      </w:r>
      <w:r w:rsidRPr="00E573FD">
        <w:rPr>
          <w:i/>
          <w:lang w:val="en-US"/>
        </w:rPr>
        <w:t>fmo1</w:t>
      </w:r>
      <w:r>
        <w:rPr>
          <w:lang w:val="en-US"/>
        </w:rPr>
        <w:t xml:space="preserve"> (Figure 29 </w:t>
      </w:r>
      <w:r w:rsidRPr="00EB4603">
        <w:rPr>
          <w:lang w:val="en-US"/>
        </w:rPr>
        <w:t>D).</w:t>
      </w:r>
    </w:p>
    <w:p w:rsidR="00E73298" w:rsidRDefault="00E73298" w:rsidP="005E33AA">
      <w:pPr>
        <w:spacing w:after="0" w:line="360" w:lineRule="auto"/>
        <w:jc w:val="both"/>
      </w:pPr>
    </w:p>
    <w:p w:rsidR="00AE6E2B" w:rsidRPr="005C4464" w:rsidRDefault="00C52A83" w:rsidP="005E33AA">
      <w:pPr>
        <w:spacing w:after="0" w:line="360" w:lineRule="auto"/>
        <w:jc w:val="both"/>
        <w:rPr>
          <w:b/>
        </w:rPr>
      </w:pPr>
      <w:r>
        <w:rPr>
          <w:noProof/>
          <w:lang w:val="de-DE" w:eastAsia="de-DE"/>
        </w:rPr>
        <w:lastRenderedPageBreak/>
        <w:drawing>
          <wp:anchor distT="0" distB="0" distL="114300" distR="114300" simplePos="0" relativeHeight="251688960" behindDoc="0" locked="0" layoutInCell="1" allowOverlap="1" wp14:anchorId="7985AA7D" wp14:editId="17EA815D">
            <wp:simplePos x="895350" y="895350"/>
            <wp:positionH relativeFrom="page">
              <wp:align>center</wp:align>
            </wp:positionH>
            <wp:positionV relativeFrom="paragraph">
              <wp:posOffset>-3810</wp:posOffset>
            </wp:positionV>
            <wp:extent cx="5760000" cy="4399740"/>
            <wp:effectExtent l="19050" t="19050" r="12700" b="20320"/>
            <wp:wrapTopAndBottom/>
            <wp:docPr id="60" name="Grafik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p-priming with fmo1.png"/>
                    <pic:cNvPicPr/>
                  </pic:nvPicPr>
                  <pic:blipFill>
                    <a:blip r:embed="rId56">
                      <a:extLst>
                        <a:ext uri="{28A0092B-C50C-407E-A947-70E740481C1C}">
                          <a14:useLocalDpi xmlns:a14="http://schemas.microsoft.com/office/drawing/2010/main" val="0"/>
                        </a:ext>
                      </a:extLst>
                    </a:blip>
                    <a:stretch>
                      <a:fillRect/>
                    </a:stretch>
                  </pic:blipFill>
                  <pic:spPr>
                    <a:xfrm>
                      <a:off x="0" y="0"/>
                      <a:ext cx="5760000" cy="4399740"/>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p>
    <w:p w:rsidR="00AE6E2B" w:rsidRPr="00343090" w:rsidRDefault="00AE6E2B" w:rsidP="00E73298">
      <w:pPr>
        <w:pStyle w:val="Beschriftung"/>
        <w:spacing w:after="0" w:line="360" w:lineRule="auto"/>
        <w:jc w:val="both"/>
        <w:rPr>
          <w:color w:val="auto"/>
          <w:lang w:val="en-US"/>
        </w:rPr>
      </w:pPr>
      <w:bookmarkStart w:id="74" w:name="_Toc435621147"/>
      <w:proofErr w:type="gramStart"/>
      <w:r w:rsidRPr="00343090">
        <w:rPr>
          <w:color w:val="auto"/>
        </w:rPr>
        <w:t xml:space="preserve">Figure </w:t>
      </w:r>
      <w:r w:rsidRPr="00343090">
        <w:rPr>
          <w:color w:val="auto"/>
        </w:rPr>
        <w:fldChar w:fldCharType="begin"/>
      </w:r>
      <w:r w:rsidRPr="00343090">
        <w:rPr>
          <w:color w:val="auto"/>
        </w:rPr>
        <w:instrText xml:space="preserve"> SEQ Figure \* ARABIC </w:instrText>
      </w:r>
      <w:r w:rsidRPr="00343090">
        <w:rPr>
          <w:color w:val="auto"/>
        </w:rPr>
        <w:fldChar w:fldCharType="separate"/>
      </w:r>
      <w:r w:rsidR="00CB17FE">
        <w:rPr>
          <w:noProof/>
          <w:color w:val="auto"/>
        </w:rPr>
        <w:t>29</w:t>
      </w:r>
      <w:r w:rsidRPr="00343090">
        <w:rPr>
          <w:color w:val="auto"/>
        </w:rPr>
        <w:fldChar w:fldCharType="end"/>
      </w:r>
      <w:r w:rsidR="0096402E">
        <w:rPr>
          <w:color w:val="auto"/>
        </w:rPr>
        <w:t>.</w:t>
      </w:r>
      <w:proofErr w:type="gramEnd"/>
      <w:r w:rsidRPr="00343090">
        <w:rPr>
          <w:color w:val="auto"/>
        </w:rPr>
        <w:t xml:space="preserve"> </w:t>
      </w:r>
      <w:r w:rsidR="005477C7">
        <w:rPr>
          <w:color w:val="auto"/>
        </w:rPr>
        <w:t>Pip-</w:t>
      </w:r>
      <w:r w:rsidR="00A850DE">
        <w:rPr>
          <w:color w:val="auto"/>
        </w:rPr>
        <w:t>t</w:t>
      </w:r>
      <w:r w:rsidRPr="00343090">
        <w:rPr>
          <w:color w:val="auto"/>
          <w:lang w:val="en-US"/>
        </w:rPr>
        <w:t xml:space="preserve">reatment of </w:t>
      </w:r>
      <w:r w:rsidRPr="00343090">
        <w:rPr>
          <w:i/>
          <w:color w:val="auto"/>
          <w:lang w:val="en-US"/>
        </w:rPr>
        <w:t>Arabidopsis</w:t>
      </w:r>
      <w:r w:rsidRPr="00343090">
        <w:rPr>
          <w:color w:val="auto"/>
          <w:lang w:val="en-US"/>
        </w:rPr>
        <w:t xml:space="preserve"> leads to priming of gene expression and camalexin a</w:t>
      </w:r>
      <w:r w:rsidR="0025710B" w:rsidRPr="00343090">
        <w:rPr>
          <w:color w:val="auto"/>
          <w:lang w:val="en-US"/>
        </w:rPr>
        <w:t>ccumulation in WT plants, but not</w:t>
      </w:r>
      <w:r w:rsidRPr="00343090">
        <w:rPr>
          <w:color w:val="auto"/>
          <w:lang w:val="en-US"/>
        </w:rPr>
        <w:t xml:space="preserve"> in </w:t>
      </w:r>
      <w:r w:rsidRPr="00343090">
        <w:rPr>
          <w:i/>
          <w:color w:val="auto"/>
          <w:lang w:val="en-US"/>
        </w:rPr>
        <w:t>fmo1.</w:t>
      </w:r>
      <w:bookmarkEnd w:id="74"/>
    </w:p>
    <w:p w:rsidR="00FD65FA" w:rsidRPr="00343090" w:rsidRDefault="00AE6E2B" w:rsidP="00AE6E2B">
      <w:pPr>
        <w:pStyle w:val="Beschriftung"/>
        <w:jc w:val="both"/>
        <w:rPr>
          <w:b w:val="0"/>
          <w:color w:val="auto"/>
          <w:lang w:val="en-US"/>
        </w:rPr>
      </w:pPr>
      <w:r w:rsidRPr="00343090">
        <w:rPr>
          <w:b w:val="0"/>
          <w:color w:val="auto"/>
          <w:lang w:val="en-US"/>
        </w:rPr>
        <w:t xml:space="preserve">Plants were supplied with either water or </w:t>
      </w:r>
      <w:r w:rsidR="00E73298">
        <w:rPr>
          <w:b w:val="0"/>
          <w:color w:val="auto"/>
          <w:lang w:val="en-US"/>
        </w:rPr>
        <w:t>Pip</w:t>
      </w:r>
      <w:r w:rsidRPr="00343090">
        <w:rPr>
          <w:b w:val="0"/>
          <w:color w:val="auto"/>
          <w:lang w:val="en-US"/>
        </w:rPr>
        <w:t xml:space="preserve"> via soil drench 1 day before infiltration with 10 mM MgCl</w:t>
      </w:r>
      <w:r w:rsidRPr="00343090">
        <w:rPr>
          <w:b w:val="0"/>
          <w:color w:val="auto"/>
          <w:vertAlign w:val="subscript"/>
          <w:lang w:val="en-US"/>
        </w:rPr>
        <w:t>2</w:t>
      </w:r>
      <w:r w:rsidRPr="00343090">
        <w:rPr>
          <w:b w:val="0"/>
          <w:color w:val="auto"/>
          <w:lang w:val="en-US"/>
        </w:rPr>
        <w:t xml:space="preserve"> or </w:t>
      </w:r>
      <w:r w:rsidRPr="00343090">
        <w:rPr>
          <w:b w:val="0"/>
          <w:i/>
          <w:color w:val="auto"/>
          <w:lang w:val="en-US"/>
        </w:rPr>
        <w:t>Psm</w:t>
      </w:r>
      <w:r w:rsidRPr="00343090">
        <w:rPr>
          <w:b w:val="0"/>
          <w:color w:val="auto"/>
          <w:lang w:val="en-US"/>
        </w:rPr>
        <w:t xml:space="preserve"> (OD</w:t>
      </w:r>
      <w:r w:rsidRPr="00343090">
        <w:rPr>
          <w:b w:val="0"/>
          <w:color w:val="auto"/>
          <w:vertAlign w:val="subscript"/>
          <w:lang w:val="en-US"/>
        </w:rPr>
        <w:t>600</w:t>
      </w:r>
      <w:r w:rsidRPr="00343090">
        <w:rPr>
          <w:b w:val="0"/>
          <w:color w:val="auto"/>
          <w:lang w:val="en-US"/>
        </w:rPr>
        <w:t xml:space="preserve">=0.005), respectively. </w:t>
      </w:r>
      <w:proofErr w:type="gramStart"/>
      <w:r w:rsidRPr="00343090">
        <w:rPr>
          <w:b w:val="0"/>
          <w:color w:val="auto"/>
          <w:lang w:val="en-US"/>
        </w:rPr>
        <w:t xml:space="preserve">Relative expression of </w:t>
      </w:r>
      <w:r w:rsidRPr="00343090">
        <w:rPr>
          <w:b w:val="0"/>
          <w:i/>
          <w:color w:val="auto"/>
          <w:lang w:val="en-US"/>
        </w:rPr>
        <w:t>ALD1</w:t>
      </w:r>
      <w:r w:rsidRPr="00343090">
        <w:rPr>
          <w:b w:val="0"/>
          <w:color w:val="auto"/>
          <w:lang w:val="en-US"/>
        </w:rPr>
        <w:t xml:space="preserve"> (A), </w:t>
      </w:r>
      <w:r w:rsidRPr="00343090">
        <w:rPr>
          <w:b w:val="0"/>
          <w:i/>
          <w:color w:val="auto"/>
          <w:lang w:val="en-US"/>
        </w:rPr>
        <w:t xml:space="preserve">PR-1 </w:t>
      </w:r>
      <w:r w:rsidRPr="00343090">
        <w:rPr>
          <w:b w:val="0"/>
          <w:color w:val="auto"/>
          <w:lang w:val="en-US"/>
        </w:rPr>
        <w:t xml:space="preserve">(B), and </w:t>
      </w:r>
      <w:r w:rsidRPr="00343090">
        <w:rPr>
          <w:b w:val="0"/>
          <w:i/>
          <w:color w:val="auto"/>
          <w:lang w:val="en-US"/>
        </w:rPr>
        <w:t>SAG13</w:t>
      </w:r>
      <w:r w:rsidRPr="00343090">
        <w:rPr>
          <w:b w:val="0"/>
          <w:color w:val="auto"/>
          <w:lang w:val="en-US"/>
        </w:rPr>
        <w:t xml:space="preserve"> (C)</w:t>
      </w:r>
      <w:r w:rsidR="00103C4A" w:rsidRPr="00343090">
        <w:rPr>
          <w:b w:val="0"/>
          <w:color w:val="auto"/>
          <w:lang w:val="en-US"/>
        </w:rPr>
        <w:t xml:space="preserve"> </w:t>
      </w:r>
      <w:r w:rsidR="005477C7">
        <w:rPr>
          <w:b w:val="0"/>
          <w:color w:val="auto"/>
          <w:lang w:val="en-US"/>
        </w:rPr>
        <w:t>at 10 hpi</w:t>
      </w:r>
      <w:r w:rsidRPr="00343090">
        <w:rPr>
          <w:b w:val="0"/>
          <w:color w:val="auto"/>
          <w:lang w:val="en-US"/>
        </w:rPr>
        <w:t>.</w:t>
      </w:r>
      <w:proofErr w:type="gramEnd"/>
      <w:r w:rsidRPr="00343090">
        <w:rPr>
          <w:b w:val="0"/>
          <w:color w:val="auto"/>
          <w:lang w:val="en-US"/>
        </w:rPr>
        <w:t xml:space="preserve"> Transcript abundance was ascertained </w:t>
      </w:r>
      <w:r w:rsidR="00103C4A" w:rsidRPr="00343090">
        <w:rPr>
          <w:b w:val="0"/>
          <w:color w:val="auto"/>
          <w:lang w:val="en-US"/>
        </w:rPr>
        <w:t>and analysed as de</w:t>
      </w:r>
      <w:r w:rsidR="00DF7A1C" w:rsidRPr="00343090">
        <w:rPr>
          <w:b w:val="0"/>
          <w:color w:val="auto"/>
          <w:lang w:val="en-US"/>
        </w:rPr>
        <w:t>scribed in figure 24</w:t>
      </w:r>
      <w:r w:rsidRPr="00343090">
        <w:rPr>
          <w:b w:val="0"/>
          <w:color w:val="auto"/>
          <w:lang w:val="en-US"/>
        </w:rPr>
        <w:t xml:space="preserve"> (P, primed gene</w:t>
      </w:r>
      <w:r w:rsidR="005C02D7" w:rsidRPr="00343090">
        <w:rPr>
          <w:b w:val="0"/>
          <w:color w:val="auto"/>
          <w:lang w:val="en-US"/>
        </w:rPr>
        <w:t xml:space="preserve"> expression</w:t>
      </w:r>
      <w:r w:rsidRPr="00343090">
        <w:rPr>
          <w:b w:val="0"/>
          <w:color w:val="auto"/>
          <w:lang w:val="en-US"/>
        </w:rPr>
        <w:t>). Accumulation of camalexin (D) at 10 h post inoculation in infiltrated leaves. Bars represent the mean ±SD of three replicate samples</w:t>
      </w:r>
      <w:r w:rsidR="00CD0423" w:rsidRPr="00343090">
        <w:rPr>
          <w:b w:val="0"/>
          <w:color w:val="auto"/>
          <w:lang w:val="en-US"/>
        </w:rPr>
        <w:t>;</w:t>
      </w:r>
      <w:r w:rsidR="005C02D7" w:rsidRPr="00343090">
        <w:rPr>
          <w:b w:val="0"/>
          <w:color w:val="auto"/>
          <w:lang w:val="en-US"/>
        </w:rPr>
        <w:t xml:space="preserve"> P, primed response</w:t>
      </w:r>
      <w:r w:rsidRPr="00343090">
        <w:rPr>
          <w:b w:val="0"/>
          <w:color w:val="auto"/>
          <w:lang w:val="en-US"/>
        </w:rPr>
        <w:t>.</w:t>
      </w:r>
      <w:r w:rsidR="00CE0C49" w:rsidRPr="00343090">
        <w:rPr>
          <w:b w:val="0"/>
          <w:color w:val="auto"/>
          <w:lang w:val="en-US"/>
        </w:rPr>
        <w:t xml:space="preserve"> This experiment was done in collaboration with </w:t>
      </w:r>
      <w:r w:rsidR="00F919B4" w:rsidRPr="00343090">
        <w:rPr>
          <w:b w:val="0"/>
          <w:color w:val="auto"/>
          <w:lang w:val="en-US"/>
        </w:rPr>
        <w:t xml:space="preserve">Dr </w:t>
      </w:r>
      <w:r w:rsidR="00CE0C49" w:rsidRPr="00343090">
        <w:rPr>
          <w:b w:val="0"/>
          <w:color w:val="auto"/>
          <w:lang w:val="en-US"/>
        </w:rPr>
        <w:t>Friederike Bernsdorff.</w:t>
      </w:r>
    </w:p>
    <w:p w:rsidR="00FD65FA" w:rsidRPr="00EB4603" w:rsidRDefault="008B1584" w:rsidP="00827DA4">
      <w:pPr>
        <w:spacing w:after="0" w:line="360" w:lineRule="auto"/>
        <w:jc w:val="both"/>
        <w:rPr>
          <w:lang w:val="en-US"/>
        </w:rPr>
      </w:pPr>
      <w:r>
        <w:rPr>
          <w:lang w:val="en-US"/>
        </w:rPr>
        <w:t>This experiment shows</w:t>
      </w:r>
      <w:r w:rsidR="00633AD8">
        <w:rPr>
          <w:lang w:val="en-US"/>
        </w:rPr>
        <w:t xml:space="preserve"> that processing of the signal given by Pip via </w:t>
      </w:r>
      <w:r w:rsidR="00633AD8" w:rsidRPr="005A4161">
        <w:rPr>
          <w:i/>
          <w:lang w:val="en-US"/>
        </w:rPr>
        <w:t>FMO1</w:t>
      </w:r>
      <w:r w:rsidR="00633AD8">
        <w:rPr>
          <w:lang w:val="en-US"/>
        </w:rPr>
        <w:t xml:space="preserve"> is necessary for Pip-induced priming of gene expression and camalexin accumulation</w:t>
      </w:r>
      <w:r w:rsidR="00E73298">
        <w:rPr>
          <w:lang w:val="en-US"/>
        </w:rPr>
        <w:t>.</w:t>
      </w:r>
    </w:p>
    <w:p w:rsidR="00B517AA" w:rsidRDefault="00B517AA" w:rsidP="00B517AA">
      <w:pPr>
        <w:pStyle w:val="berschrift2"/>
        <w:rPr>
          <w:color w:val="auto"/>
        </w:rPr>
        <w:sectPr w:rsidR="00B517AA" w:rsidSect="00B517AA">
          <w:headerReference w:type="default" r:id="rId57"/>
          <w:type w:val="continuous"/>
          <w:pgSz w:w="11906" w:h="16838"/>
          <w:pgMar w:top="1417" w:right="1417" w:bottom="1134" w:left="1417" w:header="708" w:footer="708" w:gutter="0"/>
          <w:cols w:space="708"/>
          <w:titlePg/>
          <w:docGrid w:linePitch="360"/>
        </w:sectPr>
      </w:pPr>
    </w:p>
    <w:p w:rsidR="00FD65FA" w:rsidRPr="001C7E95" w:rsidRDefault="00563EC1" w:rsidP="001C7E95">
      <w:pPr>
        <w:pStyle w:val="berschrift2"/>
        <w:spacing w:after="240"/>
        <w:rPr>
          <w:color w:val="auto"/>
        </w:rPr>
      </w:pPr>
      <w:bookmarkStart w:id="75" w:name="_Toc435621239"/>
      <w:r>
        <w:rPr>
          <w:color w:val="auto"/>
        </w:rPr>
        <w:lastRenderedPageBreak/>
        <w:t xml:space="preserve">6.3 </w:t>
      </w:r>
      <w:r w:rsidR="00E8171E">
        <w:rPr>
          <w:color w:val="auto"/>
        </w:rPr>
        <w:t xml:space="preserve">A role for MAP </w:t>
      </w:r>
      <w:r w:rsidR="00FD65FA" w:rsidRPr="001C7E95">
        <w:rPr>
          <w:color w:val="auto"/>
        </w:rPr>
        <w:t>kinase signalling cascades in defence priming?</w:t>
      </w:r>
      <w:bookmarkEnd w:id="75"/>
    </w:p>
    <w:p w:rsidR="00431343" w:rsidRDefault="00FD65FA" w:rsidP="00431343">
      <w:pPr>
        <w:spacing w:after="0" w:line="360" w:lineRule="auto"/>
        <w:jc w:val="both"/>
      </w:pPr>
      <w:r w:rsidRPr="00FD65FA">
        <w:t>Mito</w:t>
      </w:r>
      <w:r w:rsidR="004559EF">
        <w:t>gen-</w:t>
      </w:r>
      <w:r w:rsidRPr="00FD65FA">
        <w:t>activated protein kinases (MAP kinases; MAPK</w:t>
      </w:r>
      <w:r w:rsidR="003108D6">
        <w:t>s</w:t>
      </w:r>
      <w:r w:rsidRPr="00FD65FA">
        <w:t xml:space="preserve">) are more and more discussed as playing a central role in plant defence and particularly in defence-related priming (Beckers </w:t>
      </w:r>
      <w:r w:rsidRPr="00FD65FA">
        <w:rPr>
          <w:i/>
        </w:rPr>
        <w:t>et al</w:t>
      </w:r>
      <w:r w:rsidRPr="00FD65FA">
        <w:t>., 2009). To further in</w:t>
      </w:r>
      <w:r w:rsidR="003108D6">
        <w:t>vestigate the role of MAPK</w:t>
      </w:r>
      <w:r w:rsidRPr="00FD65FA">
        <w:t xml:space="preserve">s in defence, the ability of </w:t>
      </w:r>
      <w:r w:rsidR="00794FE4">
        <w:rPr>
          <w:i/>
        </w:rPr>
        <w:t>mpk3</w:t>
      </w:r>
      <w:r w:rsidR="00B91E04">
        <w:rPr>
          <w:i/>
        </w:rPr>
        <w:t>,</w:t>
      </w:r>
      <w:r w:rsidR="00794FE4">
        <w:rPr>
          <w:i/>
        </w:rPr>
        <w:t xml:space="preserve"> </w:t>
      </w:r>
      <w:r w:rsidRPr="00FD65FA">
        <w:t xml:space="preserve">and </w:t>
      </w:r>
      <w:r w:rsidR="00794FE4">
        <w:rPr>
          <w:i/>
        </w:rPr>
        <w:t>mpk6</w:t>
      </w:r>
      <w:r w:rsidRPr="00FD65FA">
        <w:t xml:space="preserve">, as well as the double mutant </w:t>
      </w:r>
      <w:r w:rsidR="00794FE4">
        <w:rPr>
          <w:i/>
        </w:rPr>
        <w:t>mpk3 mpk6</w:t>
      </w:r>
      <w:r w:rsidR="00B91E04">
        <w:t xml:space="preserve">, </w:t>
      </w:r>
      <w:r w:rsidRPr="00FD65FA">
        <w:t xml:space="preserve">to establish </w:t>
      </w:r>
      <w:r w:rsidR="004559EF">
        <w:t>SAR</w:t>
      </w:r>
      <w:r w:rsidRPr="00FD65FA">
        <w:t xml:space="preserve"> was te</w:t>
      </w:r>
      <w:r w:rsidR="00794FE4">
        <w:t>sted.</w:t>
      </w:r>
      <w:r w:rsidR="00B91E04">
        <w:t xml:space="preserve"> The </w:t>
      </w:r>
      <w:r w:rsidR="00B91E04" w:rsidRPr="00EF09A5">
        <w:rPr>
          <w:i/>
        </w:rPr>
        <w:t>mpk3</w:t>
      </w:r>
      <w:r w:rsidR="00B91E04">
        <w:t xml:space="preserve"> line was previously described as </w:t>
      </w:r>
      <w:r w:rsidR="00D1649D">
        <w:t xml:space="preserve">being </w:t>
      </w:r>
      <w:r w:rsidR="00B91E04">
        <w:t xml:space="preserve">impaired in SAR (Beckers </w:t>
      </w:r>
      <w:r w:rsidR="00B91E04" w:rsidRPr="00EF09A5">
        <w:rPr>
          <w:i/>
        </w:rPr>
        <w:t>et al</w:t>
      </w:r>
      <w:r w:rsidR="00B91E04">
        <w:t xml:space="preserve">., 2009) and as MPK3 and MPK6 were shown to be partly redundant, the </w:t>
      </w:r>
      <w:r w:rsidR="00B91E04" w:rsidRPr="00EF09A5">
        <w:rPr>
          <w:i/>
        </w:rPr>
        <w:t>mpk3</w:t>
      </w:r>
      <w:r w:rsidR="004559EF">
        <w:t xml:space="preserve"> (+/-)</w:t>
      </w:r>
      <w:r w:rsidR="00B91E04" w:rsidRPr="00EF09A5">
        <w:rPr>
          <w:i/>
        </w:rPr>
        <w:t xml:space="preserve"> mpk6</w:t>
      </w:r>
      <w:r w:rsidR="00EF09A5">
        <w:t xml:space="preserve"> </w:t>
      </w:r>
      <w:r w:rsidR="004559EF">
        <w:t>(-</w:t>
      </w:r>
      <w:r w:rsidR="00F33EE7">
        <w:t xml:space="preserve">/-) </w:t>
      </w:r>
      <w:r w:rsidR="00EF09A5">
        <w:t>double mutant was</w:t>
      </w:r>
      <w:r w:rsidR="004559EF">
        <w:t xml:space="preserve"> also</w:t>
      </w:r>
      <w:r w:rsidR="00EF09A5">
        <w:t xml:space="preserve"> used</w:t>
      </w:r>
      <w:r w:rsidR="004559EF">
        <w:t xml:space="preserve"> for experiments</w:t>
      </w:r>
      <w:r w:rsidR="00EF09A5">
        <w:t>.</w:t>
      </w:r>
      <w:r w:rsidR="00B91E04">
        <w:t xml:space="preserve"> </w:t>
      </w:r>
      <w:r w:rsidR="00EF09A5">
        <w:t xml:space="preserve">This line </w:t>
      </w:r>
      <w:r w:rsidR="00B91E04">
        <w:t xml:space="preserve">is only available in </w:t>
      </w:r>
      <w:r w:rsidR="004559EF">
        <w:t xml:space="preserve">a </w:t>
      </w:r>
      <w:r w:rsidR="00B91E04">
        <w:t xml:space="preserve">heterozygous </w:t>
      </w:r>
      <w:r w:rsidR="00F33EE7">
        <w:t>for</w:t>
      </w:r>
      <w:r w:rsidR="004559EF">
        <w:t>m for</w:t>
      </w:r>
      <w:r w:rsidR="00F33EE7">
        <w:t xml:space="preserve"> </w:t>
      </w:r>
      <w:r w:rsidR="00F33EE7" w:rsidRPr="00F33EE7">
        <w:rPr>
          <w:i/>
        </w:rPr>
        <w:t>mpk3</w:t>
      </w:r>
      <w:r w:rsidR="00B91E04">
        <w:t xml:space="preserve">, as a </w:t>
      </w:r>
      <w:r w:rsidR="00B468EC">
        <w:t>null mutant</w:t>
      </w:r>
      <w:r w:rsidR="00B91E04">
        <w:t xml:space="preserve"> of</w:t>
      </w:r>
      <w:r w:rsidR="00F33EE7">
        <w:t xml:space="preserve"> both genes proved to be embryo </w:t>
      </w:r>
      <w:r w:rsidR="00B91E04">
        <w:t>lethal</w:t>
      </w:r>
      <w:r w:rsidR="00F33EE7">
        <w:t xml:space="preserve"> (</w:t>
      </w:r>
      <w:r w:rsidR="00B468EC">
        <w:t xml:space="preserve">Wang </w:t>
      </w:r>
      <w:r w:rsidR="00B468EC" w:rsidRPr="00B468EC">
        <w:rPr>
          <w:i/>
        </w:rPr>
        <w:t>et al.</w:t>
      </w:r>
      <w:r w:rsidR="00B468EC">
        <w:t>, 2007 b)</w:t>
      </w:r>
      <w:r w:rsidR="00B91E04">
        <w:t>.</w:t>
      </w:r>
      <w:r w:rsidR="00F33EE7">
        <w:t xml:space="preserve"> As </w:t>
      </w:r>
      <w:r w:rsidR="004559EF">
        <w:t>shown</w:t>
      </w:r>
      <w:r w:rsidR="00F33EE7">
        <w:t xml:space="preserve"> in Figure </w:t>
      </w:r>
      <w:r w:rsidR="00F33EE7">
        <w:lastRenderedPageBreak/>
        <w:t>30</w:t>
      </w:r>
      <w:r w:rsidR="00794FE4">
        <w:t xml:space="preserve"> </w:t>
      </w:r>
      <w:r w:rsidRPr="00FD65FA">
        <w:t xml:space="preserve">A, the SAR response in MAPK mutants was not impaired </w:t>
      </w:r>
      <w:r w:rsidR="004559EF">
        <w:t>to the extent</w:t>
      </w:r>
      <w:r w:rsidRPr="00FD65FA">
        <w:t xml:space="preserve"> previousl</w:t>
      </w:r>
      <w:r w:rsidR="0019424D">
        <w:t>y described</w:t>
      </w:r>
      <w:r w:rsidR="004559EF">
        <w:t xml:space="preserve"> (Beckers </w:t>
      </w:r>
      <w:r w:rsidR="004559EF" w:rsidRPr="004559EF">
        <w:rPr>
          <w:i/>
        </w:rPr>
        <w:t>et al</w:t>
      </w:r>
      <w:r w:rsidR="004559EF">
        <w:t>., 2009)</w:t>
      </w:r>
      <w:r w:rsidR="0019424D">
        <w:t xml:space="preserve">. </w:t>
      </w:r>
    </w:p>
    <w:p w:rsidR="00D1649D" w:rsidRDefault="00D1649D" w:rsidP="00431343">
      <w:pPr>
        <w:spacing w:after="0" w:line="360" w:lineRule="auto"/>
        <w:jc w:val="both"/>
      </w:pPr>
    </w:p>
    <w:p w:rsidR="00105FBB" w:rsidRDefault="00E013F2" w:rsidP="00431343">
      <w:pPr>
        <w:spacing w:after="0" w:line="360" w:lineRule="auto"/>
        <w:jc w:val="both"/>
      </w:pPr>
      <w:r>
        <w:rPr>
          <w:noProof/>
          <w:lang w:val="de-DE" w:eastAsia="de-DE"/>
        </w:rPr>
        <w:drawing>
          <wp:anchor distT="0" distB="0" distL="114300" distR="114300" simplePos="0" relativeHeight="251689984" behindDoc="0" locked="0" layoutInCell="1" allowOverlap="1" wp14:anchorId="1A717B51" wp14:editId="0E94A48D">
            <wp:simplePos x="895350" y="895350"/>
            <wp:positionH relativeFrom="page">
              <wp:align>center</wp:align>
            </wp:positionH>
            <wp:positionV relativeFrom="paragraph">
              <wp:posOffset>-3810</wp:posOffset>
            </wp:positionV>
            <wp:extent cx="5760000" cy="5804310"/>
            <wp:effectExtent l="19050" t="19050" r="12700" b="25400"/>
            <wp:wrapTopAndBottom/>
            <wp:docPr id="61" name="Grafik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owth and priming with mapks.png"/>
                    <pic:cNvPicPr/>
                  </pic:nvPicPr>
                  <pic:blipFill>
                    <a:blip r:embed="rId58" cstate="print">
                      <a:extLst>
                        <a:ext uri="{28A0092B-C50C-407E-A947-70E740481C1C}">
                          <a14:useLocalDpi xmlns:a14="http://schemas.microsoft.com/office/drawing/2010/main" val="0"/>
                        </a:ext>
                      </a:extLst>
                    </a:blip>
                    <a:stretch>
                      <a:fillRect/>
                    </a:stretch>
                  </pic:blipFill>
                  <pic:spPr>
                    <a:xfrm>
                      <a:off x="0" y="0"/>
                      <a:ext cx="5760000" cy="5804310"/>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p>
    <w:p w:rsidR="00105FBB" w:rsidRPr="00343090" w:rsidRDefault="00105FBB" w:rsidP="004559EF">
      <w:pPr>
        <w:pStyle w:val="Beschriftung"/>
        <w:spacing w:after="0" w:line="360" w:lineRule="auto"/>
        <w:jc w:val="both"/>
        <w:rPr>
          <w:color w:val="auto"/>
          <w:lang w:val="en-US"/>
        </w:rPr>
      </w:pPr>
      <w:bookmarkStart w:id="76" w:name="_Toc435621148"/>
      <w:proofErr w:type="gramStart"/>
      <w:r w:rsidRPr="00343090">
        <w:rPr>
          <w:color w:val="auto"/>
        </w:rPr>
        <w:t xml:space="preserve">Figure </w:t>
      </w:r>
      <w:r w:rsidRPr="00343090">
        <w:rPr>
          <w:color w:val="auto"/>
        </w:rPr>
        <w:fldChar w:fldCharType="begin"/>
      </w:r>
      <w:r w:rsidRPr="00343090">
        <w:rPr>
          <w:color w:val="auto"/>
        </w:rPr>
        <w:instrText xml:space="preserve"> SEQ Figure \* ARABIC </w:instrText>
      </w:r>
      <w:r w:rsidRPr="00343090">
        <w:rPr>
          <w:color w:val="auto"/>
        </w:rPr>
        <w:fldChar w:fldCharType="separate"/>
      </w:r>
      <w:r w:rsidR="00CB17FE">
        <w:rPr>
          <w:noProof/>
          <w:color w:val="auto"/>
        </w:rPr>
        <w:t>30</w:t>
      </w:r>
      <w:r w:rsidRPr="00343090">
        <w:rPr>
          <w:color w:val="auto"/>
        </w:rPr>
        <w:fldChar w:fldCharType="end"/>
      </w:r>
      <w:r w:rsidR="0096402E">
        <w:rPr>
          <w:color w:val="auto"/>
        </w:rPr>
        <w:t>.</w:t>
      </w:r>
      <w:proofErr w:type="gramEnd"/>
      <w:r w:rsidRPr="00343090">
        <w:rPr>
          <w:color w:val="auto"/>
        </w:rPr>
        <w:t xml:space="preserve"> </w:t>
      </w:r>
      <w:proofErr w:type="gramStart"/>
      <w:r w:rsidR="004559EF">
        <w:rPr>
          <w:color w:val="auto"/>
        </w:rPr>
        <w:t xml:space="preserve">Role of </w:t>
      </w:r>
      <w:r w:rsidR="004559EF">
        <w:rPr>
          <w:color w:val="auto"/>
          <w:lang w:val="en-US"/>
        </w:rPr>
        <w:t>MPK3 and MPK6</w:t>
      </w:r>
      <w:r w:rsidRPr="00343090">
        <w:rPr>
          <w:color w:val="auto"/>
          <w:lang w:val="en-US"/>
        </w:rPr>
        <w:t xml:space="preserve"> in Pip-induced resistance and SAR-associated defence priming.</w:t>
      </w:r>
      <w:bookmarkEnd w:id="76"/>
      <w:proofErr w:type="gramEnd"/>
    </w:p>
    <w:p w:rsidR="00FD65FA" w:rsidRPr="00343090" w:rsidRDefault="00105FBB" w:rsidP="00F07B3C">
      <w:pPr>
        <w:pStyle w:val="Beschriftung"/>
        <w:jc w:val="both"/>
        <w:rPr>
          <w:b w:val="0"/>
          <w:color w:val="auto"/>
          <w:lang w:val="en-US"/>
        </w:rPr>
      </w:pPr>
      <w:r w:rsidRPr="00343090">
        <w:rPr>
          <w:b w:val="0"/>
          <w:color w:val="auto"/>
          <w:lang w:val="en-US"/>
        </w:rPr>
        <w:t xml:space="preserve">(A) Analysis of </w:t>
      </w:r>
      <w:r w:rsidR="004559EF">
        <w:rPr>
          <w:b w:val="0"/>
          <w:color w:val="auto"/>
          <w:lang w:val="en-US"/>
        </w:rPr>
        <w:t>SAR</w:t>
      </w:r>
      <w:r w:rsidRPr="00343090">
        <w:rPr>
          <w:b w:val="0"/>
          <w:color w:val="auto"/>
          <w:lang w:val="en-US"/>
        </w:rPr>
        <w:t xml:space="preserve"> in Col-0, </w:t>
      </w:r>
      <w:r w:rsidR="00DF7A1C" w:rsidRPr="00343090">
        <w:rPr>
          <w:b w:val="0"/>
          <w:i/>
          <w:color w:val="auto"/>
          <w:lang w:val="en-US"/>
        </w:rPr>
        <w:t>mpk3, mpk6</w:t>
      </w:r>
      <w:r w:rsidRPr="00343090">
        <w:rPr>
          <w:b w:val="0"/>
          <w:color w:val="auto"/>
          <w:lang w:val="en-US"/>
        </w:rPr>
        <w:t xml:space="preserve">, and </w:t>
      </w:r>
      <w:r w:rsidR="00DF7A1C" w:rsidRPr="00343090">
        <w:rPr>
          <w:b w:val="0"/>
          <w:i/>
          <w:color w:val="auto"/>
          <w:lang w:val="en-US"/>
        </w:rPr>
        <w:t>mpk3 mpk6</w:t>
      </w:r>
      <w:r w:rsidRPr="00343090">
        <w:rPr>
          <w:b w:val="0"/>
          <w:color w:val="auto"/>
          <w:lang w:val="en-US"/>
        </w:rPr>
        <w:t xml:space="preserve">. Lower leaves of </w:t>
      </w:r>
      <w:r w:rsidRPr="00343090">
        <w:rPr>
          <w:b w:val="0"/>
          <w:i/>
          <w:color w:val="auto"/>
          <w:lang w:val="en-US"/>
        </w:rPr>
        <w:t>Arabidopsis</w:t>
      </w:r>
      <w:r w:rsidRPr="00343090">
        <w:rPr>
          <w:b w:val="0"/>
          <w:color w:val="auto"/>
          <w:lang w:val="en-US"/>
        </w:rPr>
        <w:t xml:space="preserve"> plants were infiltrated with 10 mM MgCl</w:t>
      </w:r>
      <w:r w:rsidRPr="00343090">
        <w:rPr>
          <w:b w:val="0"/>
          <w:color w:val="auto"/>
          <w:vertAlign w:val="subscript"/>
          <w:lang w:val="en-US"/>
        </w:rPr>
        <w:t>2</w:t>
      </w:r>
      <w:r w:rsidRPr="00343090">
        <w:rPr>
          <w:b w:val="0"/>
          <w:color w:val="auto"/>
          <w:lang w:val="en-US"/>
        </w:rPr>
        <w:t xml:space="preserve"> or </w:t>
      </w:r>
      <w:r w:rsidRPr="00343090">
        <w:rPr>
          <w:b w:val="0"/>
          <w:i/>
          <w:color w:val="auto"/>
          <w:lang w:val="en-US"/>
        </w:rPr>
        <w:t>Psm</w:t>
      </w:r>
      <w:r w:rsidRPr="00343090">
        <w:rPr>
          <w:b w:val="0"/>
          <w:color w:val="auto"/>
          <w:lang w:val="en-US"/>
        </w:rPr>
        <w:t xml:space="preserve"> (OD</w:t>
      </w:r>
      <w:r w:rsidRPr="00343090">
        <w:rPr>
          <w:b w:val="0"/>
          <w:color w:val="auto"/>
          <w:vertAlign w:val="subscript"/>
          <w:lang w:val="en-US"/>
        </w:rPr>
        <w:t>600</w:t>
      </w:r>
      <w:r w:rsidRPr="00343090">
        <w:rPr>
          <w:b w:val="0"/>
          <w:color w:val="auto"/>
          <w:lang w:val="en-US"/>
        </w:rPr>
        <w:t xml:space="preserve">=0.005), respectively. Two days later, upper leaves were challenge infected with </w:t>
      </w:r>
      <w:r w:rsidRPr="00343090">
        <w:rPr>
          <w:b w:val="0"/>
          <w:i/>
          <w:color w:val="auto"/>
          <w:lang w:val="en-US"/>
        </w:rPr>
        <w:t>Psm</w:t>
      </w:r>
      <w:r w:rsidRPr="00343090">
        <w:rPr>
          <w:b w:val="0"/>
          <w:color w:val="auto"/>
          <w:lang w:val="en-US"/>
        </w:rPr>
        <w:t xml:space="preserve"> (OD</w:t>
      </w:r>
      <w:r w:rsidRPr="00343090">
        <w:rPr>
          <w:b w:val="0"/>
          <w:color w:val="auto"/>
          <w:vertAlign w:val="subscript"/>
          <w:lang w:val="en-US"/>
        </w:rPr>
        <w:t>600</w:t>
      </w:r>
      <w:r w:rsidRPr="00343090">
        <w:rPr>
          <w:b w:val="0"/>
          <w:color w:val="auto"/>
          <w:lang w:val="en-US"/>
        </w:rPr>
        <w:t>=0.001) and disease symptoms scored by measuring bacterial growth in 2° leaves 3 days</w:t>
      </w:r>
      <w:r w:rsidR="00D67A08">
        <w:rPr>
          <w:b w:val="0"/>
          <w:color w:val="auto"/>
          <w:lang w:val="en-US"/>
        </w:rPr>
        <w:t xml:space="preserve"> post inoculation.</w:t>
      </w:r>
      <w:r w:rsidRPr="00343090">
        <w:rPr>
          <w:b w:val="0"/>
          <w:color w:val="auto"/>
          <w:lang w:val="en-US"/>
        </w:rPr>
        <w:t xml:space="preserve"> Asterisks above the bars signify statistical differences between MgCl</w:t>
      </w:r>
      <w:r w:rsidRPr="00343090">
        <w:rPr>
          <w:b w:val="0"/>
          <w:color w:val="auto"/>
          <w:vertAlign w:val="subscript"/>
          <w:lang w:val="en-US"/>
        </w:rPr>
        <w:t>2</w:t>
      </w:r>
      <w:r w:rsidRPr="00343090">
        <w:rPr>
          <w:b w:val="0"/>
          <w:color w:val="auto"/>
          <w:lang w:val="en-US"/>
        </w:rPr>
        <w:t xml:space="preserve">-treated and </w:t>
      </w:r>
      <w:r w:rsidRPr="00343090">
        <w:rPr>
          <w:b w:val="0"/>
          <w:i/>
          <w:color w:val="auto"/>
          <w:lang w:val="en-US"/>
        </w:rPr>
        <w:t>Psm</w:t>
      </w:r>
      <w:r w:rsidRPr="00343090">
        <w:rPr>
          <w:b w:val="0"/>
          <w:color w:val="auto"/>
          <w:lang w:val="en-US"/>
        </w:rPr>
        <w:t>-treated plants, letters above the bars indicate statistical differen</w:t>
      </w:r>
      <w:r w:rsidR="00DF7A1C" w:rsidRPr="00343090">
        <w:rPr>
          <w:b w:val="0"/>
          <w:color w:val="auto"/>
          <w:lang w:val="en-US"/>
        </w:rPr>
        <w:t>ces between the Col-0 WT and mutant plants</w:t>
      </w:r>
      <w:r w:rsidRPr="00343090">
        <w:rPr>
          <w:b w:val="0"/>
          <w:color w:val="auto"/>
          <w:lang w:val="en-US"/>
        </w:rPr>
        <w:t xml:space="preserve"> (two-tailed </w:t>
      </w:r>
      <w:r w:rsidRPr="00343090">
        <w:rPr>
          <w:b w:val="0"/>
          <w:i/>
          <w:color w:val="auto"/>
          <w:lang w:val="en-US"/>
        </w:rPr>
        <w:t>t</w:t>
      </w:r>
      <w:r w:rsidRPr="00343090">
        <w:rPr>
          <w:b w:val="0"/>
          <w:color w:val="auto"/>
          <w:lang w:val="en-US"/>
        </w:rPr>
        <w:t xml:space="preserve"> test; *a, P&lt;0.05; **b, P&lt;0.01; ***c, P&lt;0.001</w:t>
      </w:r>
      <w:r w:rsidR="00D1649D">
        <w:rPr>
          <w:b w:val="0"/>
          <w:color w:val="auto"/>
          <w:lang w:val="en-US"/>
        </w:rPr>
        <w:t>). (B) Pip-induced resistance against</w:t>
      </w:r>
      <w:r w:rsidRPr="00343090">
        <w:rPr>
          <w:b w:val="0"/>
          <w:color w:val="auto"/>
          <w:lang w:val="en-US"/>
        </w:rPr>
        <w:t xml:space="preserve"> </w:t>
      </w:r>
      <w:r w:rsidRPr="00343090">
        <w:rPr>
          <w:b w:val="0"/>
          <w:i/>
          <w:color w:val="auto"/>
          <w:lang w:val="en-US"/>
        </w:rPr>
        <w:t>Psm</w:t>
      </w:r>
      <w:r w:rsidRPr="00343090">
        <w:rPr>
          <w:b w:val="0"/>
          <w:color w:val="auto"/>
          <w:lang w:val="en-US"/>
        </w:rPr>
        <w:t xml:space="preserve"> in Col-0, </w:t>
      </w:r>
      <w:r w:rsidR="00DF7A1C" w:rsidRPr="00343090">
        <w:rPr>
          <w:b w:val="0"/>
          <w:i/>
          <w:color w:val="auto"/>
          <w:lang w:val="en-US"/>
        </w:rPr>
        <w:t>mpk3, mpk6</w:t>
      </w:r>
      <w:r w:rsidRPr="00343090">
        <w:rPr>
          <w:b w:val="0"/>
          <w:i/>
          <w:color w:val="auto"/>
          <w:lang w:val="en-US"/>
        </w:rPr>
        <w:t>,</w:t>
      </w:r>
      <w:r w:rsidRPr="00343090">
        <w:rPr>
          <w:b w:val="0"/>
          <w:color w:val="auto"/>
          <w:lang w:val="en-US"/>
        </w:rPr>
        <w:t xml:space="preserve"> and </w:t>
      </w:r>
      <w:r w:rsidR="00DF7A1C" w:rsidRPr="00343090">
        <w:rPr>
          <w:b w:val="0"/>
          <w:i/>
          <w:color w:val="auto"/>
          <w:lang w:val="en-US"/>
        </w:rPr>
        <w:t>mpk3 mpk6</w:t>
      </w:r>
      <w:r w:rsidRPr="00343090">
        <w:rPr>
          <w:b w:val="0"/>
          <w:i/>
          <w:color w:val="auto"/>
          <w:lang w:val="en-US"/>
        </w:rPr>
        <w:t>.</w:t>
      </w:r>
      <w:r w:rsidRPr="00343090">
        <w:rPr>
          <w:b w:val="0"/>
          <w:color w:val="auto"/>
          <w:lang w:val="en-US"/>
        </w:rPr>
        <w:t xml:space="preserve"> Plants </w:t>
      </w:r>
      <w:r w:rsidR="004559EF">
        <w:rPr>
          <w:b w:val="0"/>
          <w:color w:val="auto"/>
          <w:lang w:val="en-US"/>
        </w:rPr>
        <w:t>were treated as described in figure 28 (D)-(F)</w:t>
      </w:r>
      <w:r w:rsidRPr="00343090">
        <w:rPr>
          <w:b w:val="0"/>
          <w:color w:val="auto"/>
          <w:lang w:val="en-US"/>
        </w:rPr>
        <w:t xml:space="preserve">. Asterisks above the bars denote statistically significant differences between water-treated and Pip-treated plants (two-tailed </w:t>
      </w:r>
      <w:r w:rsidRPr="00343090">
        <w:rPr>
          <w:b w:val="0"/>
          <w:i/>
          <w:color w:val="auto"/>
          <w:lang w:val="en-US"/>
        </w:rPr>
        <w:t>t</w:t>
      </w:r>
      <w:r w:rsidRPr="00343090">
        <w:rPr>
          <w:b w:val="0"/>
          <w:color w:val="auto"/>
          <w:lang w:val="en-US"/>
        </w:rPr>
        <w:t xml:space="preserve"> test; *, P&lt;0.</w:t>
      </w:r>
      <w:r w:rsidR="00F07B3C" w:rsidRPr="00343090">
        <w:rPr>
          <w:b w:val="0"/>
          <w:color w:val="auto"/>
          <w:lang w:val="en-US"/>
        </w:rPr>
        <w:t xml:space="preserve">05; **, P&lt;0.01; ***, P&lt;0.001). Accumulation of </w:t>
      </w:r>
      <w:r w:rsidR="004559EF">
        <w:rPr>
          <w:b w:val="0"/>
          <w:color w:val="auto"/>
          <w:lang w:val="en-US"/>
        </w:rPr>
        <w:t>Pip</w:t>
      </w:r>
      <w:r w:rsidRPr="00343090">
        <w:rPr>
          <w:b w:val="0"/>
          <w:color w:val="auto"/>
          <w:lang w:val="en-US"/>
        </w:rPr>
        <w:t xml:space="preserve"> (C) and camalexin (D) at 10 </w:t>
      </w:r>
      <w:r w:rsidR="00D1649D">
        <w:rPr>
          <w:b w:val="0"/>
          <w:color w:val="auto"/>
          <w:lang w:val="en-US"/>
        </w:rPr>
        <w:t>hpi</w:t>
      </w:r>
      <w:r w:rsidRPr="00343090">
        <w:rPr>
          <w:b w:val="0"/>
          <w:color w:val="auto"/>
          <w:lang w:val="en-US"/>
        </w:rPr>
        <w:t xml:space="preserve"> in 2° leaves. </w:t>
      </w:r>
      <w:r w:rsidR="00805D25" w:rsidRPr="00343090">
        <w:rPr>
          <w:b w:val="0"/>
          <w:color w:val="auto"/>
          <w:lang w:val="en-US"/>
        </w:rPr>
        <w:t>Samples were treated</w:t>
      </w:r>
      <w:r w:rsidR="00DF7A1C" w:rsidRPr="00343090">
        <w:rPr>
          <w:b w:val="0"/>
          <w:color w:val="auto"/>
          <w:lang w:val="en-US"/>
        </w:rPr>
        <w:t xml:space="preserve"> as described in figure 24</w:t>
      </w:r>
      <w:r w:rsidR="00805D25" w:rsidRPr="00343090">
        <w:rPr>
          <w:b w:val="0"/>
          <w:color w:val="auto"/>
          <w:lang w:val="en-US"/>
        </w:rPr>
        <w:t xml:space="preserve"> and analysed as described</w:t>
      </w:r>
      <w:r w:rsidR="00DF7A1C" w:rsidRPr="00343090">
        <w:rPr>
          <w:b w:val="0"/>
          <w:color w:val="auto"/>
          <w:lang w:val="en-US"/>
        </w:rPr>
        <w:t xml:space="preserve"> in figure 29 (D)</w:t>
      </w:r>
      <w:r w:rsidRPr="00343090">
        <w:rPr>
          <w:b w:val="0"/>
          <w:color w:val="auto"/>
          <w:lang w:val="en-US"/>
        </w:rPr>
        <w:t>; P,</w:t>
      </w:r>
      <w:r w:rsidR="00805D25" w:rsidRPr="00343090">
        <w:rPr>
          <w:b w:val="0"/>
          <w:color w:val="auto"/>
          <w:lang w:val="en-US"/>
        </w:rPr>
        <w:t xml:space="preserve"> primed response</w:t>
      </w:r>
      <w:r w:rsidR="0036529E" w:rsidRPr="00343090">
        <w:rPr>
          <w:b w:val="0"/>
          <w:color w:val="auto"/>
          <w:lang w:val="en-US"/>
        </w:rPr>
        <w:t>; np, not primed</w:t>
      </w:r>
      <w:r w:rsidRPr="00343090">
        <w:rPr>
          <w:b w:val="0"/>
          <w:color w:val="auto"/>
          <w:lang w:val="en-US"/>
        </w:rPr>
        <w:t xml:space="preserve">. Relative </w:t>
      </w:r>
      <w:r w:rsidRPr="00343090">
        <w:rPr>
          <w:b w:val="0"/>
          <w:i/>
          <w:color w:val="auto"/>
          <w:lang w:val="en-US"/>
        </w:rPr>
        <w:t>ALD1</w:t>
      </w:r>
      <w:r w:rsidRPr="00343090">
        <w:rPr>
          <w:b w:val="0"/>
          <w:color w:val="auto"/>
          <w:lang w:val="en-US"/>
        </w:rPr>
        <w:t xml:space="preserve"> (E) and </w:t>
      </w:r>
      <w:r w:rsidRPr="00343090">
        <w:rPr>
          <w:b w:val="0"/>
          <w:i/>
          <w:color w:val="auto"/>
          <w:lang w:val="en-US"/>
        </w:rPr>
        <w:t>FMO1</w:t>
      </w:r>
      <w:r w:rsidRPr="00343090">
        <w:rPr>
          <w:b w:val="0"/>
          <w:color w:val="auto"/>
          <w:lang w:val="en-US"/>
        </w:rPr>
        <w:t xml:space="preserve"> (F) expression in 2° treated leaves, </w:t>
      </w:r>
      <w:r w:rsidR="00D1649D">
        <w:rPr>
          <w:b w:val="0"/>
          <w:color w:val="auto"/>
          <w:lang w:val="en-US"/>
        </w:rPr>
        <w:t>at 10 hpi</w:t>
      </w:r>
      <w:r w:rsidRPr="00343090">
        <w:rPr>
          <w:b w:val="0"/>
          <w:color w:val="auto"/>
          <w:lang w:val="en-US"/>
        </w:rPr>
        <w:t xml:space="preserve">. </w:t>
      </w:r>
      <w:r w:rsidR="00805D25" w:rsidRPr="00343090">
        <w:rPr>
          <w:b w:val="0"/>
          <w:color w:val="auto"/>
          <w:lang w:val="en-US"/>
        </w:rPr>
        <w:t>Plants were treated and gene expression analysed as de</w:t>
      </w:r>
      <w:r w:rsidR="001A528F" w:rsidRPr="00343090">
        <w:rPr>
          <w:b w:val="0"/>
          <w:color w:val="auto"/>
          <w:lang w:val="en-US"/>
        </w:rPr>
        <w:t xml:space="preserve">scribed in figure </w:t>
      </w:r>
      <w:r w:rsidR="00DF7A1C" w:rsidRPr="00343090">
        <w:rPr>
          <w:b w:val="0"/>
          <w:color w:val="auto"/>
          <w:lang w:val="en-US"/>
        </w:rPr>
        <w:t>24</w:t>
      </w:r>
      <w:r w:rsidR="00805D25" w:rsidRPr="00343090">
        <w:rPr>
          <w:b w:val="0"/>
          <w:color w:val="auto"/>
          <w:lang w:val="en-US"/>
        </w:rPr>
        <w:t>; P, primed gene expression</w:t>
      </w:r>
      <w:r w:rsidRPr="00343090">
        <w:rPr>
          <w:b w:val="0"/>
          <w:color w:val="auto"/>
          <w:lang w:val="en-US"/>
        </w:rPr>
        <w:t>.</w:t>
      </w:r>
      <w:r w:rsidR="00F62B40" w:rsidRPr="00343090">
        <w:rPr>
          <w:b w:val="0"/>
          <w:color w:val="auto"/>
          <w:lang w:val="en-US"/>
        </w:rPr>
        <w:t xml:space="preserve"> Seeds for </w:t>
      </w:r>
      <w:r w:rsidR="00F62B40" w:rsidRPr="00343090">
        <w:rPr>
          <w:b w:val="0"/>
          <w:i/>
          <w:color w:val="auto"/>
          <w:lang w:val="en-US"/>
        </w:rPr>
        <w:t>mpk3, mpk6</w:t>
      </w:r>
      <w:r w:rsidR="00F62B40" w:rsidRPr="00343090">
        <w:rPr>
          <w:b w:val="0"/>
          <w:color w:val="auto"/>
          <w:lang w:val="en-US"/>
        </w:rPr>
        <w:t xml:space="preserve">, and </w:t>
      </w:r>
      <w:r w:rsidR="00F62B40" w:rsidRPr="00343090">
        <w:rPr>
          <w:b w:val="0"/>
          <w:i/>
          <w:color w:val="auto"/>
          <w:lang w:val="en-US"/>
        </w:rPr>
        <w:t>mpk3 mpk6</w:t>
      </w:r>
      <w:r w:rsidR="00F62B40" w:rsidRPr="00343090">
        <w:rPr>
          <w:b w:val="0"/>
          <w:color w:val="auto"/>
          <w:lang w:val="en-US"/>
        </w:rPr>
        <w:t xml:space="preserve"> </w:t>
      </w:r>
      <w:r w:rsidR="00805D25" w:rsidRPr="00343090">
        <w:rPr>
          <w:b w:val="0"/>
          <w:color w:val="auto"/>
          <w:lang w:val="en-US"/>
        </w:rPr>
        <w:t xml:space="preserve">were </w:t>
      </w:r>
      <w:r w:rsidR="00F62B40" w:rsidRPr="00343090">
        <w:rPr>
          <w:b w:val="0"/>
          <w:color w:val="auto"/>
          <w:lang w:val="en-US"/>
        </w:rPr>
        <w:t>kindly provided by Dr Ken Tsuda</w:t>
      </w:r>
      <w:r w:rsidR="00805D25" w:rsidRPr="00343090">
        <w:rPr>
          <w:b w:val="0"/>
          <w:color w:val="auto"/>
          <w:lang w:val="en-US"/>
        </w:rPr>
        <w:t xml:space="preserve"> (MPIZ Cologne)</w:t>
      </w:r>
      <w:r w:rsidR="00F62B40" w:rsidRPr="00343090">
        <w:rPr>
          <w:b w:val="0"/>
          <w:color w:val="auto"/>
          <w:lang w:val="en-US"/>
        </w:rPr>
        <w:t>.</w:t>
      </w:r>
    </w:p>
    <w:p w:rsidR="00D67A08" w:rsidRDefault="004559EF" w:rsidP="00D67A08">
      <w:pPr>
        <w:spacing w:after="0" w:line="360" w:lineRule="auto"/>
        <w:jc w:val="both"/>
      </w:pPr>
      <w:r>
        <w:lastRenderedPageBreak/>
        <w:t>The SAR response was</w:t>
      </w:r>
      <w:r w:rsidRPr="00FD65FA">
        <w:t xml:space="preserve"> </w:t>
      </w:r>
      <w:r>
        <w:t xml:space="preserve">slightly </w:t>
      </w:r>
      <w:r w:rsidRPr="00FD65FA">
        <w:t xml:space="preserve">reduced in </w:t>
      </w:r>
      <w:r>
        <w:rPr>
          <w:i/>
        </w:rPr>
        <w:t>mpk3</w:t>
      </w:r>
      <w:r w:rsidRPr="00FD65FA">
        <w:t xml:space="preserve"> and </w:t>
      </w:r>
      <w:r>
        <w:rPr>
          <w:i/>
        </w:rPr>
        <w:t>mpk3 mpk6</w:t>
      </w:r>
      <w:r w:rsidRPr="00FD65FA">
        <w:t xml:space="preserve"> compared to Col-0 plants, nevertheless bacterial growth </w:t>
      </w:r>
      <w:r>
        <w:t>was</w:t>
      </w:r>
      <w:r w:rsidRPr="00FD65FA">
        <w:t xml:space="preserve"> significantly inhibited</w:t>
      </w:r>
      <w:r>
        <w:t xml:space="preserve"> in SAR-induced leaves (Figure 30 </w:t>
      </w:r>
      <w:r w:rsidRPr="00FD65FA">
        <w:t xml:space="preserve">A). In addition to </w:t>
      </w:r>
      <w:r>
        <w:t>SAR</w:t>
      </w:r>
      <w:r w:rsidRPr="00FD65FA">
        <w:t>, the impact of exogenous</w:t>
      </w:r>
      <w:r w:rsidR="00D1649D">
        <w:t>ly</w:t>
      </w:r>
      <w:r w:rsidRPr="00FD65FA">
        <w:t xml:space="preserve"> applied Pip on resistance in </w:t>
      </w:r>
      <w:r>
        <w:rPr>
          <w:i/>
        </w:rPr>
        <w:t>mpk3, mpk6</w:t>
      </w:r>
      <w:r w:rsidRPr="00FD65FA">
        <w:t xml:space="preserve">, and </w:t>
      </w:r>
      <w:r>
        <w:rPr>
          <w:i/>
        </w:rPr>
        <w:t>mpk3 mpk6</w:t>
      </w:r>
      <w:r w:rsidRPr="00FD65FA">
        <w:t xml:space="preserve"> was tes</w:t>
      </w:r>
      <w:r>
        <w:t>ted. Supplying plants with 10 µmol</w:t>
      </w:r>
      <w:r w:rsidRPr="00FD65FA">
        <w:t xml:space="preserve"> Pip via the root system</w:t>
      </w:r>
      <w:r>
        <w:t xml:space="preserve"> one day prior to inoculation</w:t>
      </w:r>
      <w:r w:rsidRPr="00FD65FA">
        <w:t xml:space="preserve"> with </w:t>
      </w:r>
      <w:r w:rsidRPr="00FD65FA">
        <w:rPr>
          <w:i/>
        </w:rPr>
        <w:t>Psm</w:t>
      </w:r>
      <w:r w:rsidRPr="00FD65FA">
        <w:t xml:space="preserve"> (OD</w:t>
      </w:r>
      <w:r w:rsidRPr="00FD65FA">
        <w:rPr>
          <w:vertAlign w:val="subscript"/>
        </w:rPr>
        <w:t>600</w:t>
      </w:r>
      <w:r w:rsidRPr="00FD65FA">
        <w:t>=0.005) induced re</w:t>
      </w:r>
      <w:r>
        <w:t>sistance against infection</w:t>
      </w:r>
      <w:r w:rsidRPr="00FD65FA">
        <w:t xml:space="preserve"> with no significant differences between Col-0 and </w:t>
      </w:r>
      <w:r w:rsidRPr="00FD65FA">
        <w:rPr>
          <w:i/>
        </w:rPr>
        <w:t>mpk</w:t>
      </w:r>
      <w:r>
        <w:t xml:space="preserve"> mutants (Figure 30 </w:t>
      </w:r>
      <w:r w:rsidRPr="00FD65FA">
        <w:t xml:space="preserve">B). </w:t>
      </w:r>
      <w:r w:rsidRPr="00E07EE1">
        <w:t xml:space="preserve">As a next step biological priming of defence metabolites </w:t>
      </w:r>
      <w:r>
        <w:t xml:space="preserve">in MAPK mutant lines </w:t>
      </w:r>
      <w:r w:rsidRPr="00E07EE1">
        <w:t>wa</w:t>
      </w:r>
      <w:r w:rsidR="00D1649D">
        <w:t>s tested. A high Pip-accumulation</w:t>
      </w:r>
      <w:r w:rsidRPr="00431343">
        <w:t xml:space="preserve"> was observed in </w:t>
      </w:r>
      <w:r w:rsidRPr="00431343">
        <w:rPr>
          <w:i/>
        </w:rPr>
        <w:t>mpk3</w:t>
      </w:r>
      <w:r w:rsidRPr="00431343">
        <w:t xml:space="preserve"> and </w:t>
      </w:r>
      <w:r w:rsidRPr="00431343">
        <w:rPr>
          <w:i/>
        </w:rPr>
        <w:t>mpk6</w:t>
      </w:r>
      <w:r w:rsidR="00D1649D">
        <w:t xml:space="preserve"> in</w:t>
      </w:r>
      <w:r>
        <w:t xml:space="preserve"> systemic</w:t>
      </w:r>
      <w:r w:rsidR="00D1649D">
        <w:t xml:space="preserve"> leaves (1° </w:t>
      </w:r>
      <w:r w:rsidR="00D1649D" w:rsidRPr="00D1649D">
        <w:rPr>
          <w:i/>
        </w:rPr>
        <w:t>Psm</w:t>
      </w:r>
      <w:r w:rsidR="00D1649D">
        <w:t>/2° MgCl</w:t>
      </w:r>
      <w:r w:rsidR="00D1649D" w:rsidRPr="00D1649D">
        <w:rPr>
          <w:vertAlign w:val="subscript"/>
        </w:rPr>
        <w:t>2</w:t>
      </w:r>
      <w:r w:rsidR="00D1649D">
        <w:t>)</w:t>
      </w:r>
      <w:proofErr w:type="gramStart"/>
      <w:r w:rsidRPr="00431343">
        <w:t>,</w:t>
      </w:r>
      <w:proofErr w:type="gramEnd"/>
      <w:r w:rsidRPr="00431343">
        <w:t xml:space="preserve"> </w:t>
      </w:r>
      <w:r w:rsidR="000B4D4B">
        <w:t>Pip-levels</w:t>
      </w:r>
      <w:r w:rsidRPr="00431343">
        <w:t xml:space="preserve"> in these mutants were found to be higher than in Col-0 (Figure 30 C).</w:t>
      </w:r>
      <w:r w:rsidRPr="009846F5">
        <w:t xml:space="preserve"> </w:t>
      </w:r>
      <w:r w:rsidRPr="00431343">
        <w:t xml:space="preserve">The double mutant </w:t>
      </w:r>
      <w:r w:rsidRPr="00431343">
        <w:rPr>
          <w:i/>
        </w:rPr>
        <w:t>mpk3 mpk6</w:t>
      </w:r>
      <w:r w:rsidRPr="00431343">
        <w:t xml:space="preserve"> exhibited</w:t>
      </w:r>
      <w:r>
        <w:t xml:space="preserve"> WT-levels of Pip in </w:t>
      </w:r>
      <w:r w:rsidRPr="00431343">
        <w:t xml:space="preserve">systemic </w:t>
      </w:r>
      <w:r w:rsidR="00D1649D">
        <w:t>leaves</w:t>
      </w:r>
      <w:r w:rsidRPr="00431343">
        <w:t xml:space="preserve"> and a rather high accumulation </w:t>
      </w:r>
      <w:r>
        <w:t xml:space="preserve">in </w:t>
      </w:r>
      <w:r w:rsidR="00D1649D">
        <w:t>local leaves (1° MgCl</w:t>
      </w:r>
      <w:r w:rsidR="00D1649D" w:rsidRPr="00D1649D">
        <w:rPr>
          <w:vertAlign w:val="subscript"/>
        </w:rPr>
        <w:t>2</w:t>
      </w:r>
      <w:r w:rsidR="00D1649D">
        <w:t xml:space="preserve">/2° </w:t>
      </w:r>
      <w:r w:rsidR="00D1649D" w:rsidRPr="00D1649D">
        <w:rPr>
          <w:i/>
        </w:rPr>
        <w:t>Psm</w:t>
      </w:r>
      <w:r w:rsidR="00D1649D">
        <w:t>)</w:t>
      </w:r>
      <w:r>
        <w:t xml:space="preserve">. </w:t>
      </w:r>
      <w:r w:rsidR="00431343" w:rsidRPr="00431343">
        <w:t xml:space="preserve">In the shown experiment, </w:t>
      </w:r>
      <w:r w:rsidR="00431343" w:rsidRPr="00431343">
        <w:rPr>
          <w:i/>
        </w:rPr>
        <w:t>mpk3</w:t>
      </w:r>
      <w:r w:rsidR="00D67A08">
        <w:t xml:space="preserve"> did not show priming of Pip-</w:t>
      </w:r>
      <w:r w:rsidR="00431343" w:rsidRPr="00431343">
        <w:t xml:space="preserve">accumulation due to already high levels in systemic </w:t>
      </w:r>
      <w:r w:rsidR="00D1649D">
        <w:t>tissue</w:t>
      </w:r>
      <w:r w:rsidR="00E07EE1">
        <w:t xml:space="preserve">, but </w:t>
      </w:r>
      <w:r w:rsidR="00D67A08">
        <w:t>Pip-</w:t>
      </w:r>
      <w:r w:rsidR="00E07EE1">
        <w:t>accumulation was found to be primed in a second e</w:t>
      </w:r>
      <w:r w:rsidR="00A12E0B">
        <w:t>xperiment (Supplemental figure 11</w:t>
      </w:r>
      <w:r w:rsidR="00E07EE1">
        <w:t>)</w:t>
      </w:r>
      <w:r w:rsidR="00431343" w:rsidRPr="00431343">
        <w:t xml:space="preserve">. Both </w:t>
      </w:r>
      <w:r w:rsidR="00431343" w:rsidRPr="00431343">
        <w:rPr>
          <w:i/>
        </w:rPr>
        <w:t>mpk6</w:t>
      </w:r>
      <w:r w:rsidR="00431343" w:rsidRPr="00431343">
        <w:t xml:space="preserve"> as well as the double mutant </w:t>
      </w:r>
      <w:r w:rsidR="00431343" w:rsidRPr="00431343">
        <w:rPr>
          <w:i/>
        </w:rPr>
        <w:t>mpk3 mpk6</w:t>
      </w:r>
      <w:r w:rsidR="00D67A08">
        <w:t xml:space="preserve"> showed priming of Pip-</w:t>
      </w:r>
      <w:r w:rsidR="00431343" w:rsidRPr="00431343">
        <w:t xml:space="preserve">accumulation. Most </w:t>
      </w:r>
      <w:r w:rsidR="00E07EE1">
        <w:t>interestingly, these two mutant lines</w:t>
      </w:r>
      <w:r w:rsidR="00431343" w:rsidRPr="00431343">
        <w:t xml:space="preserve"> already show high Pip-levels in the mock/mock control situation. Accumulation of camalexin, a very important defence-related metabolite primed in Col-0, was also biologically primed in the three stud</w:t>
      </w:r>
      <w:r w:rsidR="00D86DE0">
        <w:t>ied MAPK mutant lines (Figure 30</w:t>
      </w:r>
      <w:r w:rsidR="00431343" w:rsidRPr="00431343">
        <w:t xml:space="preserve"> D). </w:t>
      </w:r>
      <w:r w:rsidR="00EB4603" w:rsidRPr="00EB4603">
        <w:t xml:space="preserve">Camalexin levels in </w:t>
      </w:r>
      <w:r w:rsidR="00784D4B">
        <w:rPr>
          <w:i/>
        </w:rPr>
        <w:t>mpk3</w:t>
      </w:r>
      <w:r w:rsidR="00EB4603" w:rsidRPr="00EB4603">
        <w:t xml:space="preserve"> were similar to those in Col-</w:t>
      </w:r>
      <w:proofErr w:type="gramStart"/>
      <w:r w:rsidR="00EB4603" w:rsidRPr="00EB4603">
        <w:t>0,</w:t>
      </w:r>
      <w:proofErr w:type="gramEnd"/>
      <w:r w:rsidR="00EB4603" w:rsidRPr="00EB4603">
        <w:t xml:space="preserve"> in </w:t>
      </w:r>
      <w:r w:rsidR="00784D4B">
        <w:rPr>
          <w:i/>
        </w:rPr>
        <w:t>mpk6</w:t>
      </w:r>
      <w:r w:rsidR="00EB4603" w:rsidRPr="00EB4603">
        <w:t xml:space="preserve"> levels were</w:t>
      </w:r>
      <w:r w:rsidR="0019424D">
        <w:t xml:space="preserve"> even</w:t>
      </w:r>
      <w:r w:rsidR="00EB4603" w:rsidRPr="00EB4603">
        <w:t xml:space="preserve"> higher than in WT and in the </w:t>
      </w:r>
      <w:r w:rsidR="00784D4B">
        <w:rPr>
          <w:i/>
        </w:rPr>
        <w:t>mpk3 mpk6</w:t>
      </w:r>
      <w:r w:rsidR="00784D4B">
        <w:t xml:space="preserve"> double mutant camalexin</w:t>
      </w:r>
      <w:r w:rsidR="00EB4603" w:rsidRPr="00EB4603">
        <w:t xml:space="preserve"> levels were somew</w:t>
      </w:r>
      <w:r w:rsidR="00784D4B">
        <w:t>h</w:t>
      </w:r>
      <w:r w:rsidR="00D86DE0">
        <w:t>at less than in Col-0 (Figure 30</w:t>
      </w:r>
      <w:r w:rsidR="00784D4B">
        <w:t xml:space="preserve"> </w:t>
      </w:r>
      <w:r w:rsidR="00EB4603" w:rsidRPr="00EB4603">
        <w:t>D). For the double mutant</w:t>
      </w:r>
      <w:r w:rsidR="0019424D">
        <w:t>,</w:t>
      </w:r>
      <w:r w:rsidR="00EB4603" w:rsidRPr="00EB4603">
        <w:t xml:space="preserve"> very high camalexin levels were also</w:t>
      </w:r>
      <w:r w:rsidR="0019424D">
        <w:t xml:space="preserve"> detected</w:t>
      </w:r>
      <w:r w:rsidR="00EB4603" w:rsidRPr="00EB4603">
        <w:t xml:space="preserve"> in local </w:t>
      </w:r>
      <w:r w:rsidR="00D1649D">
        <w:t>leaves</w:t>
      </w:r>
      <w:r w:rsidR="00AD0629">
        <w:t>. Moreover,</w:t>
      </w:r>
      <w:r w:rsidR="00D86DE0">
        <w:t xml:space="preserve"> camalexin accumulation was</w:t>
      </w:r>
      <w:r w:rsidR="00AD0629">
        <w:t xml:space="preserve"> also</w:t>
      </w:r>
      <w:r w:rsidR="00D86DE0">
        <w:t xml:space="preserve"> primed</w:t>
      </w:r>
      <w:r w:rsidR="00AD0629">
        <w:t xml:space="preserve"> in this line</w:t>
      </w:r>
      <w:r w:rsidR="00D86DE0">
        <w:t xml:space="preserve"> (Figure 30 D)</w:t>
      </w:r>
      <w:r w:rsidR="00EB4603" w:rsidRPr="00EB4603">
        <w:t xml:space="preserve">. </w:t>
      </w:r>
      <w:r w:rsidR="00D67A08">
        <w:t>Defence</w:t>
      </w:r>
      <w:r w:rsidR="00D67A08" w:rsidRPr="00981B76">
        <w:t xml:space="preserve"> priming of </w:t>
      </w:r>
      <w:r w:rsidR="00D67A08" w:rsidRPr="00981B76">
        <w:rPr>
          <w:i/>
        </w:rPr>
        <w:t>ALD1</w:t>
      </w:r>
      <w:r w:rsidR="00D67A08" w:rsidRPr="00981B76">
        <w:t xml:space="preserve"> and </w:t>
      </w:r>
      <w:r w:rsidR="00D67A08" w:rsidRPr="00981B76">
        <w:rPr>
          <w:i/>
        </w:rPr>
        <w:t>FMO1</w:t>
      </w:r>
      <w:r w:rsidR="00D67A08" w:rsidRPr="00981B76">
        <w:t xml:space="preserve"> gene expression was studied in the MAPK mutants</w:t>
      </w:r>
      <w:r w:rsidR="00D67A08">
        <w:t xml:space="preserve"> as well</w:t>
      </w:r>
      <w:r w:rsidR="00D67A08" w:rsidRPr="00981B76">
        <w:t xml:space="preserve">. A strong priming of </w:t>
      </w:r>
      <w:r w:rsidR="00D67A08" w:rsidRPr="00981B76">
        <w:rPr>
          <w:i/>
        </w:rPr>
        <w:t>ALD1</w:t>
      </w:r>
      <w:r w:rsidR="00D67A08" w:rsidRPr="00981B76">
        <w:t xml:space="preserve"> expression was observed in Col-0 and comparable transcript abundance </w:t>
      </w:r>
      <w:r w:rsidR="00D1649D">
        <w:t xml:space="preserve">was found </w:t>
      </w:r>
      <w:r w:rsidR="00D67A08" w:rsidRPr="00981B76">
        <w:t xml:space="preserve">in </w:t>
      </w:r>
      <w:r w:rsidR="00D67A08" w:rsidRPr="00981B76">
        <w:rPr>
          <w:i/>
        </w:rPr>
        <w:t>mpk3</w:t>
      </w:r>
      <w:r w:rsidR="00D67A08">
        <w:t xml:space="preserve"> (Figure 30</w:t>
      </w:r>
      <w:r w:rsidR="00D67A08" w:rsidRPr="00981B76">
        <w:t xml:space="preserve"> E). The </w:t>
      </w:r>
      <w:r w:rsidR="00D67A08" w:rsidRPr="00981B76">
        <w:rPr>
          <w:i/>
        </w:rPr>
        <w:t>mpk6</w:t>
      </w:r>
      <w:r w:rsidR="00D67A08" w:rsidRPr="00981B76">
        <w:t xml:space="preserve"> and the </w:t>
      </w:r>
      <w:r w:rsidR="00D67A08" w:rsidRPr="00981B76">
        <w:rPr>
          <w:i/>
        </w:rPr>
        <w:t>mpk3 mpk6</w:t>
      </w:r>
      <w:r w:rsidR="00D67A08" w:rsidRPr="00981B76">
        <w:t xml:space="preserve"> double mutant </w:t>
      </w:r>
      <w:r w:rsidR="00D67A08">
        <w:t>exhibited</w:t>
      </w:r>
      <w:r w:rsidR="00D67A08" w:rsidRPr="00981B76">
        <w:t xml:space="preserve"> an even stronger priming of </w:t>
      </w:r>
      <w:r w:rsidR="00D67A08" w:rsidRPr="00981B76">
        <w:rPr>
          <w:i/>
        </w:rPr>
        <w:t>ALD1</w:t>
      </w:r>
      <w:r w:rsidR="00D67A08" w:rsidRPr="00981B76">
        <w:t xml:space="preserve"> expression</w:t>
      </w:r>
      <w:r w:rsidR="00D67A08">
        <w:t xml:space="preserve"> compared to Col-0</w:t>
      </w:r>
      <w:r w:rsidR="00D67A08" w:rsidRPr="00981B76">
        <w:t xml:space="preserve">. For expression of </w:t>
      </w:r>
      <w:r w:rsidR="00D67A08" w:rsidRPr="00981B76">
        <w:rPr>
          <w:i/>
        </w:rPr>
        <w:t>FMO1</w:t>
      </w:r>
      <w:r w:rsidR="00D67A08">
        <w:rPr>
          <w:i/>
        </w:rPr>
        <w:t>,</w:t>
      </w:r>
      <w:r w:rsidR="00D67A08" w:rsidRPr="00981B76">
        <w:t xml:space="preserve"> a strong priming response was observed in Col-0, </w:t>
      </w:r>
      <w:r w:rsidR="00D67A08" w:rsidRPr="00981B76">
        <w:rPr>
          <w:i/>
        </w:rPr>
        <w:t>mpk6</w:t>
      </w:r>
      <w:r w:rsidR="00D67A08" w:rsidRPr="00981B76">
        <w:t xml:space="preserve">, </w:t>
      </w:r>
      <w:r w:rsidR="00D67A08">
        <w:t>and the double mutant (Figure 30</w:t>
      </w:r>
      <w:r w:rsidR="00D67A08" w:rsidRPr="00981B76">
        <w:t xml:space="preserve"> F). In the mutant line </w:t>
      </w:r>
      <w:r w:rsidR="00D67A08" w:rsidRPr="00981B76">
        <w:rPr>
          <w:i/>
        </w:rPr>
        <w:t>mpk3</w:t>
      </w:r>
      <w:r w:rsidR="00D67A08">
        <w:rPr>
          <w:i/>
        </w:rPr>
        <w:t>,</w:t>
      </w:r>
      <w:r w:rsidR="00D67A08" w:rsidRPr="00981B76">
        <w:t xml:space="preserve"> priming of </w:t>
      </w:r>
      <w:r w:rsidR="00D67A08" w:rsidRPr="00981B76">
        <w:rPr>
          <w:i/>
        </w:rPr>
        <w:t>FMO1</w:t>
      </w:r>
      <w:r w:rsidR="00D67A08" w:rsidRPr="00981B76">
        <w:t xml:space="preserve"> expression was not as pronounced as in Col-0 or t</w:t>
      </w:r>
      <w:r w:rsidR="00D67A08">
        <w:t xml:space="preserve">he other studied MAPK mutants. This tendency was not confirmed in a second experiment, which showed strongly primed expression of </w:t>
      </w:r>
      <w:r w:rsidR="00D67A08" w:rsidRPr="00B540E0">
        <w:rPr>
          <w:i/>
        </w:rPr>
        <w:t>FMO1</w:t>
      </w:r>
      <w:r w:rsidR="00D67A08">
        <w:t xml:space="preserve"> in </w:t>
      </w:r>
      <w:r w:rsidR="00D67A08" w:rsidRPr="00B540E0">
        <w:rPr>
          <w:i/>
        </w:rPr>
        <w:t>mpk3</w:t>
      </w:r>
      <w:r w:rsidR="00A12E0B">
        <w:t xml:space="preserve"> (Supplemental figure 11</w:t>
      </w:r>
      <w:r w:rsidR="00D67A08">
        <w:t xml:space="preserve">). </w:t>
      </w:r>
    </w:p>
    <w:p w:rsidR="00D86DE0" w:rsidRDefault="00D67A08" w:rsidP="00D67A08">
      <w:pPr>
        <w:spacing w:after="0" w:line="360" w:lineRule="auto"/>
        <w:ind w:firstLine="708"/>
        <w:jc w:val="both"/>
      </w:pPr>
      <w:r w:rsidRPr="00EB4603">
        <w:t xml:space="preserve">The next step </w:t>
      </w:r>
      <w:r>
        <w:t>in studying the involvement of MAPKs</w:t>
      </w:r>
      <w:r w:rsidRPr="00EB4603">
        <w:t xml:space="preserve"> in innate immunity was to test </w:t>
      </w:r>
      <w:r>
        <w:t>MAPK</w:t>
      </w:r>
      <w:r w:rsidRPr="00EB4603">
        <w:t xml:space="preserve"> activity in</w:t>
      </w:r>
      <w:r>
        <w:t xml:space="preserve"> Col-0,</w:t>
      </w:r>
      <w:r w:rsidRPr="00EB4603">
        <w:t xml:space="preserve"> </w:t>
      </w:r>
      <w:r w:rsidRPr="006B60AD">
        <w:rPr>
          <w:i/>
        </w:rPr>
        <w:t>ald1</w:t>
      </w:r>
      <w:r w:rsidRPr="00EB4603">
        <w:t xml:space="preserve"> and </w:t>
      </w:r>
      <w:r w:rsidRPr="006B60AD">
        <w:rPr>
          <w:i/>
        </w:rPr>
        <w:t>fmo1</w:t>
      </w:r>
      <w:r>
        <w:t xml:space="preserve"> after infection with a vir</w:t>
      </w:r>
      <w:r w:rsidRPr="00EB4603">
        <w:t>u</w:t>
      </w:r>
      <w:r>
        <w:t>l</w:t>
      </w:r>
      <w:r w:rsidRPr="00EB4603">
        <w:t>ent and</w:t>
      </w:r>
      <w:r>
        <w:t xml:space="preserve"> an</w:t>
      </w:r>
      <w:r w:rsidRPr="00EB4603">
        <w:t xml:space="preserve"> avirulent strain of </w:t>
      </w:r>
      <w:r>
        <w:rPr>
          <w:i/>
        </w:rPr>
        <w:t>Psm</w:t>
      </w:r>
      <w:r w:rsidRPr="00EB4603">
        <w:t xml:space="preserve">. Five week old </w:t>
      </w:r>
      <w:r w:rsidRPr="006B60AD">
        <w:rPr>
          <w:i/>
        </w:rPr>
        <w:t>Arabidopsis</w:t>
      </w:r>
      <w:r w:rsidRPr="00EB4603">
        <w:t xml:space="preserve"> plants were infiltrated with either 10 mM MgCl</w:t>
      </w:r>
      <w:r w:rsidRPr="006B60AD">
        <w:rPr>
          <w:vertAlign w:val="subscript"/>
        </w:rPr>
        <w:t>2</w:t>
      </w:r>
      <w:r w:rsidRPr="00EB4603">
        <w:t xml:space="preserve">, </w:t>
      </w:r>
      <w:r w:rsidRPr="006B60AD">
        <w:rPr>
          <w:i/>
        </w:rPr>
        <w:t>Psm</w:t>
      </w:r>
      <w:r w:rsidRPr="00EB4603">
        <w:t xml:space="preserve"> (OD</w:t>
      </w:r>
      <w:r w:rsidRPr="006B60AD">
        <w:rPr>
          <w:vertAlign w:val="subscript"/>
        </w:rPr>
        <w:t>600</w:t>
      </w:r>
      <w:r w:rsidRPr="00EB4603">
        <w:t xml:space="preserve">=0.005), or </w:t>
      </w:r>
      <w:r w:rsidRPr="006B60AD">
        <w:rPr>
          <w:i/>
        </w:rPr>
        <w:t>Psm avrRpm1</w:t>
      </w:r>
      <w:r w:rsidRPr="00EB4603">
        <w:t xml:space="preserve"> (OD</w:t>
      </w:r>
      <w:r w:rsidRPr="006B60AD">
        <w:rPr>
          <w:vertAlign w:val="subscript"/>
        </w:rPr>
        <w:t>600</w:t>
      </w:r>
      <w:r>
        <w:t>=0.005) and inoculated as well as distal leaves</w:t>
      </w:r>
      <w:r w:rsidRPr="00EB4603">
        <w:t xml:space="preserve"> </w:t>
      </w:r>
      <w:r>
        <w:t xml:space="preserve">were </w:t>
      </w:r>
      <w:r w:rsidRPr="00EB4603">
        <w:t xml:space="preserve">harvested 6 and 48 hours post infiltration. </w:t>
      </w:r>
      <w:r>
        <w:t>MAPK</w:t>
      </w:r>
      <w:r w:rsidRPr="00FD65FA">
        <w:t xml:space="preserve"> activity was tested by separating total protein by SDS PAGE, gelblotting (western blot) and immunodetection with a</w:t>
      </w:r>
      <w:r>
        <w:t>n anti-p44/42 MAPK</w:t>
      </w:r>
      <w:r w:rsidRPr="00FD65FA">
        <w:t xml:space="preserve"> polyclonal antibody</w:t>
      </w:r>
      <w:r>
        <w:t xml:space="preserve"> (Tsuda </w:t>
      </w:r>
      <w:r w:rsidRPr="00FD1155">
        <w:rPr>
          <w:i/>
        </w:rPr>
        <w:t>et al</w:t>
      </w:r>
      <w:r>
        <w:t>., 2013).</w:t>
      </w:r>
    </w:p>
    <w:p w:rsidR="00F73E41" w:rsidRDefault="00FD65FA" w:rsidP="00D86DE0">
      <w:pPr>
        <w:keepNext/>
        <w:spacing w:after="0" w:line="360" w:lineRule="auto"/>
        <w:jc w:val="both"/>
      </w:pPr>
      <w:r w:rsidRPr="00FD65FA">
        <w:rPr>
          <w:noProof/>
          <w:lang w:val="de-DE" w:eastAsia="de-DE"/>
        </w:rPr>
        <w:lastRenderedPageBreak/>
        <w:drawing>
          <wp:anchor distT="0" distB="0" distL="114300" distR="114300" simplePos="0" relativeHeight="251691008" behindDoc="0" locked="0" layoutInCell="1" allowOverlap="1" wp14:anchorId="77796BB1" wp14:editId="08256788">
            <wp:simplePos x="895350" y="895350"/>
            <wp:positionH relativeFrom="page">
              <wp:align>center</wp:align>
            </wp:positionH>
            <wp:positionV relativeFrom="paragraph">
              <wp:posOffset>-3810</wp:posOffset>
            </wp:positionV>
            <wp:extent cx="4680000" cy="3579709"/>
            <wp:effectExtent l="19050" t="19050" r="25400" b="20955"/>
            <wp:wrapTopAndBottom/>
            <wp:docPr id="27" name="Grafi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PK assay western.png"/>
                    <pic:cNvPicPr/>
                  </pic:nvPicPr>
                  <pic:blipFill>
                    <a:blip r:embed="rId59">
                      <a:extLst>
                        <a:ext uri="{28A0092B-C50C-407E-A947-70E740481C1C}">
                          <a14:useLocalDpi xmlns:a14="http://schemas.microsoft.com/office/drawing/2010/main" val="0"/>
                        </a:ext>
                      </a:extLst>
                    </a:blip>
                    <a:stretch>
                      <a:fillRect/>
                    </a:stretch>
                  </pic:blipFill>
                  <pic:spPr>
                    <a:xfrm>
                      <a:off x="0" y="0"/>
                      <a:ext cx="4680000" cy="3579709"/>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p>
    <w:p w:rsidR="00F73E41" w:rsidRPr="00343090" w:rsidRDefault="00F73E41" w:rsidP="00D67A08">
      <w:pPr>
        <w:pStyle w:val="Beschriftung"/>
        <w:spacing w:after="0" w:line="360" w:lineRule="auto"/>
        <w:jc w:val="both"/>
        <w:rPr>
          <w:color w:val="auto"/>
          <w:lang w:val="en-US"/>
        </w:rPr>
      </w:pPr>
      <w:bookmarkStart w:id="77" w:name="_Toc435621149"/>
      <w:proofErr w:type="gramStart"/>
      <w:r w:rsidRPr="00343090">
        <w:rPr>
          <w:color w:val="auto"/>
        </w:rPr>
        <w:t xml:space="preserve">Figure </w:t>
      </w:r>
      <w:r w:rsidRPr="00343090">
        <w:rPr>
          <w:color w:val="auto"/>
        </w:rPr>
        <w:fldChar w:fldCharType="begin"/>
      </w:r>
      <w:r w:rsidRPr="00343090">
        <w:rPr>
          <w:color w:val="auto"/>
        </w:rPr>
        <w:instrText xml:space="preserve"> SEQ Figure \* ARABIC </w:instrText>
      </w:r>
      <w:r w:rsidRPr="00343090">
        <w:rPr>
          <w:color w:val="auto"/>
        </w:rPr>
        <w:fldChar w:fldCharType="separate"/>
      </w:r>
      <w:r w:rsidR="00CB17FE">
        <w:rPr>
          <w:noProof/>
          <w:color w:val="auto"/>
        </w:rPr>
        <w:t>31</w:t>
      </w:r>
      <w:r w:rsidRPr="00343090">
        <w:rPr>
          <w:color w:val="auto"/>
        </w:rPr>
        <w:fldChar w:fldCharType="end"/>
      </w:r>
      <w:r w:rsidR="0096402E">
        <w:rPr>
          <w:color w:val="auto"/>
        </w:rPr>
        <w:t>.</w:t>
      </w:r>
      <w:proofErr w:type="gramEnd"/>
      <w:r w:rsidRPr="00343090">
        <w:rPr>
          <w:color w:val="auto"/>
        </w:rPr>
        <w:t xml:space="preserve"> </w:t>
      </w:r>
      <w:proofErr w:type="gramStart"/>
      <w:r w:rsidR="00D67A08">
        <w:rPr>
          <w:color w:val="auto"/>
        </w:rPr>
        <w:t xml:space="preserve">Reduced </w:t>
      </w:r>
      <w:r w:rsidR="00D67A08">
        <w:rPr>
          <w:color w:val="auto"/>
          <w:lang w:val="en-US"/>
        </w:rPr>
        <w:t>a</w:t>
      </w:r>
      <w:r w:rsidRPr="00343090">
        <w:rPr>
          <w:color w:val="auto"/>
          <w:lang w:val="en-US"/>
        </w:rPr>
        <w:t xml:space="preserve">ctivity of MPK3 and MPK6 in </w:t>
      </w:r>
      <w:r w:rsidRPr="00343090">
        <w:rPr>
          <w:i/>
          <w:color w:val="auto"/>
          <w:lang w:val="en-US"/>
        </w:rPr>
        <w:t>ald1</w:t>
      </w:r>
      <w:r w:rsidRPr="00343090">
        <w:rPr>
          <w:color w:val="auto"/>
          <w:lang w:val="en-US"/>
        </w:rPr>
        <w:t xml:space="preserve"> and </w:t>
      </w:r>
      <w:r w:rsidRPr="00343090">
        <w:rPr>
          <w:i/>
          <w:color w:val="auto"/>
          <w:lang w:val="en-US"/>
        </w:rPr>
        <w:t>fmo1</w:t>
      </w:r>
      <w:r w:rsidRPr="00343090">
        <w:rPr>
          <w:color w:val="auto"/>
          <w:lang w:val="en-US"/>
        </w:rPr>
        <w:t xml:space="preserve"> upon infection with </w:t>
      </w:r>
      <w:r w:rsidR="00D67A08">
        <w:rPr>
          <w:i/>
          <w:color w:val="auto"/>
          <w:lang w:val="en-US"/>
        </w:rPr>
        <w:t>Psm.</w:t>
      </w:r>
      <w:bookmarkEnd w:id="77"/>
      <w:proofErr w:type="gramEnd"/>
    </w:p>
    <w:p w:rsidR="00F73E41" w:rsidRPr="00343090" w:rsidRDefault="00F73E41" w:rsidP="00F73E41">
      <w:pPr>
        <w:pStyle w:val="Beschriftung"/>
        <w:jc w:val="both"/>
        <w:rPr>
          <w:b w:val="0"/>
          <w:color w:val="auto"/>
          <w:lang w:val="en-US"/>
        </w:rPr>
      </w:pPr>
      <w:r w:rsidRPr="00343090">
        <w:rPr>
          <w:b w:val="0"/>
          <w:color w:val="auto"/>
          <w:lang w:val="en-US"/>
        </w:rPr>
        <w:t xml:space="preserve">Three leaves of 5 week old </w:t>
      </w:r>
      <w:r w:rsidRPr="00343090">
        <w:rPr>
          <w:b w:val="0"/>
          <w:i/>
          <w:color w:val="auto"/>
          <w:lang w:val="en-US"/>
        </w:rPr>
        <w:t>Arabidopsis</w:t>
      </w:r>
      <w:r w:rsidRPr="00343090">
        <w:rPr>
          <w:b w:val="0"/>
          <w:color w:val="auto"/>
          <w:lang w:val="en-US"/>
        </w:rPr>
        <w:t xml:space="preserve"> plants were infiltrated with 10 mM MgCl</w:t>
      </w:r>
      <w:r w:rsidRPr="00343090">
        <w:rPr>
          <w:b w:val="0"/>
          <w:color w:val="auto"/>
          <w:vertAlign w:val="subscript"/>
          <w:lang w:val="en-US"/>
        </w:rPr>
        <w:t>2</w:t>
      </w:r>
      <w:r w:rsidRPr="00343090">
        <w:rPr>
          <w:b w:val="0"/>
          <w:color w:val="auto"/>
          <w:lang w:val="en-US"/>
        </w:rPr>
        <w:t xml:space="preserve">, </w:t>
      </w:r>
      <w:r w:rsidRPr="00343090">
        <w:rPr>
          <w:b w:val="0"/>
          <w:i/>
          <w:color w:val="auto"/>
          <w:lang w:val="en-US"/>
        </w:rPr>
        <w:t>Psm</w:t>
      </w:r>
      <w:r w:rsidRPr="00343090">
        <w:rPr>
          <w:b w:val="0"/>
          <w:color w:val="auto"/>
          <w:lang w:val="en-US"/>
        </w:rPr>
        <w:t xml:space="preserve"> (OD</w:t>
      </w:r>
      <w:r w:rsidRPr="00343090">
        <w:rPr>
          <w:b w:val="0"/>
          <w:color w:val="auto"/>
          <w:vertAlign w:val="subscript"/>
          <w:lang w:val="en-US"/>
        </w:rPr>
        <w:t>600</w:t>
      </w:r>
      <w:r w:rsidR="00E07EE1" w:rsidRPr="00343090">
        <w:rPr>
          <w:b w:val="0"/>
          <w:color w:val="auto"/>
          <w:lang w:val="en-US"/>
        </w:rPr>
        <w:t>=0.005), or</w:t>
      </w:r>
      <w:r w:rsidRPr="00343090">
        <w:rPr>
          <w:b w:val="0"/>
          <w:color w:val="auto"/>
          <w:lang w:val="en-US"/>
        </w:rPr>
        <w:t xml:space="preserve"> </w:t>
      </w:r>
      <w:r w:rsidRPr="00343090">
        <w:rPr>
          <w:b w:val="0"/>
          <w:i/>
          <w:color w:val="auto"/>
          <w:lang w:val="en-US"/>
        </w:rPr>
        <w:t>Psm avrRpm1</w:t>
      </w:r>
      <w:r w:rsidRPr="00343090">
        <w:rPr>
          <w:b w:val="0"/>
          <w:color w:val="auto"/>
          <w:lang w:val="en-US"/>
        </w:rPr>
        <w:t xml:space="preserve"> (OD</w:t>
      </w:r>
      <w:r w:rsidRPr="00343090">
        <w:rPr>
          <w:b w:val="0"/>
          <w:color w:val="auto"/>
          <w:vertAlign w:val="subscript"/>
          <w:lang w:val="en-US"/>
        </w:rPr>
        <w:t>600</w:t>
      </w:r>
      <w:r w:rsidRPr="00343090">
        <w:rPr>
          <w:b w:val="0"/>
          <w:color w:val="auto"/>
          <w:lang w:val="en-US"/>
        </w:rPr>
        <w:t>=0.005), respectively, and samples taken fo</w:t>
      </w:r>
      <w:r w:rsidR="003C67B0">
        <w:rPr>
          <w:b w:val="0"/>
          <w:color w:val="auto"/>
          <w:lang w:val="en-US"/>
        </w:rPr>
        <w:t>r analysis of MAPK</w:t>
      </w:r>
      <w:r w:rsidRPr="00343090">
        <w:rPr>
          <w:b w:val="0"/>
          <w:color w:val="auto"/>
          <w:lang w:val="en-US"/>
        </w:rPr>
        <w:t xml:space="preserve"> activity in local and systemic leaves at 6 hpi and 48 hpi. Total protein was extracted, proteins were separated</w:t>
      </w:r>
      <w:r w:rsidR="003C67B0">
        <w:rPr>
          <w:b w:val="0"/>
          <w:color w:val="auto"/>
          <w:lang w:val="en-US"/>
        </w:rPr>
        <w:t xml:space="preserve"> using SDS-PAGE, and MAPKs</w:t>
      </w:r>
      <w:r w:rsidRPr="00343090">
        <w:rPr>
          <w:b w:val="0"/>
          <w:color w:val="auto"/>
          <w:lang w:val="en-US"/>
        </w:rPr>
        <w:t xml:space="preserve"> detected with </w:t>
      </w:r>
      <w:r w:rsidR="003C67B0">
        <w:rPr>
          <w:b w:val="0"/>
          <w:color w:val="auto"/>
          <w:lang w:val="en-US"/>
        </w:rPr>
        <w:t xml:space="preserve">an </w:t>
      </w:r>
      <w:r w:rsidRPr="00343090">
        <w:rPr>
          <w:b w:val="0"/>
          <w:color w:val="auto"/>
          <w:lang w:val="en-US"/>
        </w:rPr>
        <w:t>anti-p42/44 antibody.</w:t>
      </w:r>
      <w:r w:rsidR="003C67B0">
        <w:rPr>
          <w:b w:val="0"/>
          <w:color w:val="auto"/>
          <w:lang w:val="en-US"/>
        </w:rPr>
        <w:t xml:space="preserve"> The MAPK</w:t>
      </w:r>
      <w:r w:rsidR="00237FC0" w:rsidRPr="00343090">
        <w:rPr>
          <w:b w:val="0"/>
          <w:color w:val="auto"/>
          <w:lang w:val="en-US"/>
        </w:rPr>
        <w:t xml:space="preserve"> assay was performed in cooperation with</w:t>
      </w:r>
      <w:r w:rsidRPr="00343090">
        <w:rPr>
          <w:b w:val="0"/>
          <w:color w:val="auto"/>
          <w:lang w:val="en-US"/>
        </w:rPr>
        <w:t xml:space="preserve"> Dr Yiming Wang</w:t>
      </w:r>
      <w:r w:rsidR="00237FC0" w:rsidRPr="00343090">
        <w:rPr>
          <w:b w:val="0"/>
          <w:color w:val="auto"/>
          <w:lang w:val="en-US"/>
        </w:rPr>
        <w:t xml:space="preserve"> (MPIZ Cologne)</w:t>
      </w:r>
      <w:r w:rsidRPr="00343090">
        <w:rPr>
          <w:b w:val="0"/>
          <w:color w:val="auto"/>
          <w:lang w:val="en-US"/>
        </w:rPr>
        <w:t xml:space="preserve">; the experiment was done one time so far. PC, positive control flg22-treated Col-0, 3 h post </w:t>
      </w:r>
      <w:proofErr w:type="gramStart"/>
      <w:r w:rsidRPr="00343090">
        <w:rPr>
          <w:b w:val="0"/>
          <w:color w:val="auto"/>
          <w:lang w:val="en-US"/>
        </w:rPr>
        <w:t>treatment</w:t>
      </w:r>
      <w:proofErr w:type="gramEnd"/>
      <w:r w:rsidRPr="00343090">
        <w:rPr>
          <w:b w:val="0"/>
          <w:color w:val="auto"/>
          <w:lang w:val="en-US"/>
        </w:rPr>
        <w:t>.</w:t>
      </w:r>
    </w:p>
    <w:p w:rsidR="003C67B0" w:rsidRDefault="00FD65FA" w:rsidP="003C67B0">
      <w:pPr>
        <w:spacing w:after="0" w:line="360" w:lineRule="auto"/>
        <w:jc w:val="both"/>
      </w:pPr>
      <w:r w:rsidRPr="00FD65FA">
        <w:t>Six hours after infiltration</w:t>
      </w:r>
      <w:r w:rsidR="006B60AD">
        <w:t>,</w:t>
      </w:r>
      <w:r w:rsidRPr="00FD65FA">
        <w:t xml:space="preserve"> activity</w:t>
      </w:r>
      <w:r w:rsidR="00A02FA0">
        <w:t xml:space="preserve"> for MPK3</w:t>
      </w:r>
      <w:r w:rsidRPr="00FD65FA">
        <w:t xml:space="preserve"> </w:t>
      </w:r>
      <w:r w:rsidR="00721C38">
        <w:t>was</w:t>
      </w:r>
      <w:r w:rsidRPr="00FD65FA">
        <w:t xml:space="preserve"> observed in Col-0, </w:t>
      </w:r>
      <w:r w:rsidRPr="00FD65FA">
        <w:rPr>
          <w:i/>
        </w:rPr>
        <w:t>ald1</w:t>
      </w:r>
      <w:r w:rsidRPr="00FD65FA">
        <w:t xml:space="preserve"> and </w:t>
      </w:r>
      <w:r w:rsidRPr="00FD65FA">
        <w:rPr>
          <w:i/>
        </w:rPr>
        <w:t>fmo1</w:t>
      </w:r>
      <w:r w:rsidRPr="00FD65FA">
        <w:t xml:space="preserve"> </w:t>
      </w:r>
      <w:r w:rsidR="00987D38">
        <w:t xml:space="preserve">leaves </w:t>
      </w:r>
      <w:r w:rsidRPr="00FD65FA">
        <w:t xml:space="preserve">treated with </w:t>
      </w:r>
      <w:r w:rsidRPr="00FD65FA">
        <w:rPr>
          <w:i/>
        </w:rPr>
        <w:t>Psm avrRpm1</w:t>
      </w:r>
      <w:r w:rsidRPr="00FD65FA">
        <w:t>, with a weaker</w:t>
      </w:r>
      <w:r w:rsidR="00DD79C5">
        <w:t xml:space="preserve"> signal in the mutant</w:t>
      </w:r>
      <w:r w:rsidR="00A02FA0">
        <w:t xml:space="preserve"> lines (Figure 31</w:t>
      </w:r>
      <w:r w:rsidRPr="00FD65FA">
        <w:t xml:space="preserve">). No </w:t>
      </w:r>
      <w:r w:rsidR="002D2AA1">
        <w:t>M</w:t>
      </w:r>
      <w:r w:rsidR="003C67B0">
        <w:t>A</w:t>
      </w:r>
      <w:r w:rsidR="002D2AA1">
        <w:t>PK</w:t>
      </w:r>
      <w:r w:rsidRPr="00FD65FA">
        <w:t xml:space="preserve"> activity was detected in systemic leaves </w:t>
      </w:r>
      <w:r w:rsidR="003C67B0">
        <w:t>at 6 hpi</w:t>
      </w:r>
      <w:r w:rsidRPr="00FD65FA">
        <w:t xml:space="preserve">. Forty-eight hours post infiltration activation </w:t>
      </w:r>
      <w:r w:rsidR="00721C38">
        <w:t>was</w:t>
      </w:r>
      <w:r w:rsidRPr="00FD65FA">
        <w:t xml:space="preserve"> detected for MPK6 and MPK3 in local samples of Col-0 treated with both </w:t>
      </w:r>
      <w:r w:rsidRPr="00FD65FA">
        <w:rPr>
          <w:i/>
        </w:rPr>
        <w:t>Psm</w:t>
      </w:r>
      <w:r w:rsidRPr="00FD65FA">
        <w:t xml:space="preserve"> and </w:t>
      </w:r>
      <w:r w:rsidRPr="00FD65FA">
        <w:rPr>
          <w:i/>
        </w:rPr>
        <w:t>Psm avrRpm1</w:t>
      </w:r>
      <w:r w:rsidRPr="00FD65FA">
        <w:t xml:space="preserve">. Again, MAPK activation in </w:t>
      </w:r>
      <w:r w:rsidRPr="00FD65FA">
        <w:rPr>
          <w:i/>
        </w:rPr>
        <w:t>ald1</w:t>
      </w:r>
      <w:r w:rsidRPr="00FD65FA">
        <w:t xml:space="preserve"> and </w:t>
      </w:r>
      <w:r w:rsidRPr="00FD65FA">
        <w:rPr>
          <w:i/>
        </w:rPr>
        <w:t>fmo1</w:t>
      </w:r>
      <w:r w:rsidR="00721C38">
        <w:t xml:space="preserve"> seemed</w:t>
      </w:r>
      <w:r w:rsidRPr="00FD65FA">
        <w:t xml:space="preserve"> to b</w:t>
      </w:r>
      <w:r w:rsidR="006B60AD">
        <w:t>e</w:t>
      </w:r>
      <w:r w:rsidR="00A02FA0">
        <w:t xml:space="preserve"> weaker than in Col-0 (Figure 31</w:t>
      </w:r>
      <w:r w:rsidRPr="00FD65FA">
        <w:t>). No MAPK activation was found in systemic leaves of Col</w:t>
      </w:r>
      <w:r w:rsidR="002D2AA1">
        <w:t>-</w:t>
      </w:r>
      <w:r w:rsidRPr="00FD65FA">
        <w:t xml:space="preserve">0 and </w:t>
      </w:r>
      <w:r w:rsidRPr="00FD65FA">
        <w:rPr>
          <w:i/>
        </w:rPr>
        <w:t>fmo1</w:t>
      </w:r>
      <w:r w:rsidRPr="00FD65FA">
        <w:t>, neither with</w:t>
      </w:r>
      <w:r w:rsidR="00A02FA0">
        <w:t xml:space="preserve"> </w:t>
      </w:r>
      <w:r w:rsidR="00E07EE1">
        <w:t xml:space="preserve">the </w:t>
      </w:r>
      <w:r w:rsidR="00A02FA0">
        <w:t>virulent nor</w:t>
      </w:r>
      <w:r w:rsidR="00E07EE1">
        <w:t xml:space="preserve"> the</w:t>
      </w:r>
      <w:r w:rsidR="00A02FA0">
        <w:t xml:space="preserve"> avirulent</w:t>
      </w:r>
      <w:r w:rsidRPr="00FD65FA">
        <w:t xml:space="preserve"> </w:t>
      </w:r>
      <w:r w:rsidRPr="00FD65FA">
        <w:rPr>
          <w:i/>
        </w:rPr>
        <w:t>Psm</w:t>
      </w:r>
      <w:r w:rsidR="00A02FA0">
        <w:t xml:space="preserve"> </w:t>
      </w:r>
      <w:r w:rsidRPr="00FD65FA">
        <w:t xml:space="preserve">strain, after 48 hours. In </w:t>
      </w:r>
      <w:r w:rsidRPr="00FD65FA">
        <w:rPr>
          <w:i/>
        </w:rPr>
        <w:t>ald1</w:t>
      </w:r>
      <w:r w:rsidR="00721C38">
        <w:rPr>
          <w:i/>
        </w:rPr>
        <w:t>,</w:t>
      </w:r>
      <w:r w:rsidRPr="00FD65FA">
        <w:t xml:space="preserve"> an activation signal for MPK6 and MPK3 was detected in leaves treated with </w:t>
      </w:r>
      <w:r w:rsidRPr="00FD65FA">
        <w:rPr>
          <w:i/>
        </w:rPr>
        <w:t>Psm avrRpm1</w:t>
      </w:r>
      <w:r w:rsidRPr="00FD65FA">
        <w:t>. This experiment was done one time so far and has to be repeated to all</w:t>
      </w:r>
      <w:r w:rsidR="00AC23CD">
        <w:t xml:space="preserve">ow </w:t>
      </w:r>
      <w:r w:rsidR="002D2AA1">
        <w:t>for more robust conclusions</w:t>
      </w:r>
      <w:r w:rsidR="00AC23CD">
        <w:t>.</w:t>
      </w:r>
      <w:r w:rsidRPr="00FD65FA">
        <w:t xml:space="preserve"> </w:t>
      </w:r>
    </w:p>
    <w:p w:rsidR="00560F45" w:rsidRDefault="00FD65FA" w:rsidP="003C67B0">
      <w:pPr>
        <w:spacing w:line="360" w:lineRule="auto"/>
        <w:ind w:firstLine="708"/>
        <w:jc w:val="both"/>
      </w:pPr>
      <w:r w:rsidRPr="00FD65FA">
        <w:t xml:space="preserve">DEX-inducible </w:t>
      </w:r>
      <w:r w:rsidRPr="006B60AD">
        <w:rPr>
          <w:i/>
        </w:rPr>
        <w:t>MKK4</w:t>
      </w:r>
      <w:r w:rsidRPr="00FD65FA">
        <w:t xml:space="preserve"> plants were generated </w:t>
      </w:r>
      <w:r w:rsidR="003E40A9">
        <w:t xml:space="preserve">by </w:t>
      </w:r>
      <w:r w:rsidR="003E40A9" w:rsidRPr="00FD65FA">
        <w:t xml:space="preserve">Dr Yiming Wang and Dr Ken Tsuda from MPIZ in Cologne </w:t>
      </w:r>
      <w:r w:rsidRPr="00FD65FA">
        <w:t>and</w:t>
      </w:r>
      <w:r w:rsidR="003E40A9">
        <w:t xml:space="preserve"> in collaboration the</w:t>
      </w:r>
      <w:r w:rsidRPr="00FD65FA">
        <w:t xml:space="preserve"> metabolite accumulation after </w:t>
      </w:r>
      <w:r w:rsidR="00A25851">
        <w:t>induction of the plants</w:t>
      </w:r>
      <w:r w:rsidR="003E40A9">
        <w:t xml:space="preserve"> was studied</w:t>
      </w:r>
      <w:r w:rsidRPr="00FD65FA">
        <w:t xml:space="preserve">. </w:t>
      </w:r>
      <w:r w:rsidR="00A02FA0">
        <w:t xml:space="preserve">MKK4 is a MAP kinase kinase, which is responsible for activation of MPK3 and MPK6 after perception of flg22 (Asai </w:t>
      </w:r>
      <w:r w:rsidR="00A02FA0" w:rsidRPr="00A02FA0">
        <w:rPr>
          <w:i/>
        </w:rPr>
        <w:t>et al</w:t>
      </w:r>
      <w:r w:rsidR="00A02FA0">
        <w:t xml:space="preserve">., 2002). By engineering an inducible promoter in front of the gene encoding MKK4, it is possible to induce the signalling cascade in the absence of a pathogen by treating plants with the inducing agent, in this case dexamethasone. </w:t>
      </w:r>
    </w:p>
    <w:p w:rsidR="002D4E0E" w:rsidRDefault="00FD65FA" w:rsidP="00A02FA0">
      <w:pPr>
        <w:keepNext/>
        <w:spacing w:after="0" w:line="360" w:lineRule="auto"/>
        <w:jc w:val="both"/>
      </w:pPr>
      <w:r w:rsidRPr="00FD65FA">
        <w:rPr>
          <w:noProof/>
          <w:lang w:val="de-DE" w:eastAsia="de-DE"/>
        </w:rPr>
        <w:lastRenderedPageBreak/>
        <w:drawing>
          <wp:anchor distT="0" distB="0" distL="114300" distR="114300" simplePos="0" relativeHeight="251692032" behindDoc="0" locked="0" layoutInCell="1" allowOverlap="1" wp14:anchorId="1E017432" wp14:editId="38D366F3">
            <wp:simplePos x="895350" y="3914775"/>
            <wp:positionH relativeFrom="page">
              <wp:align>center</wp:align>
            </wp:positionH>
            <wp:positionV relativeFrom="paragraph">
              <wp:posOffset>0</wp:posOffset>
            </wp:positionV>
            <wp:extent cx="5619600" cy="1980000"/>
            <wp:effectExtent l="19050" t="19050" r="19685" b="20320"/>
            <wp:wrapTopAndBottom/>
            <wp:docPr id="29"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X SA+Pip.png"/>
                    <pic:cNvPicPr/>
                  </pic:nvPicPr>
                  <pic:blipFill>
                    <a:blip r:embed="rId60">
                      <a:extLst>
                        <a:ext uri="{28A0092B-C50C-407E-A947-70E740481C1C}">
                          <a14:useLocalDpi xmlns:a14="http://schemas.microsoft.com/office/drawing/2010/main" val="0"/>
                        </a:ext>
                      </a:extLst>
                    </a:blip>
                    <a:stretch>
                      <a:fillRect/>
                    </a:stretch>
                  </pic:blipFill>
                  <pic:spPr>
                    <a:xfrm>
                      <a:off x="0" y="0"/>
                      <a:ext cx="5619600" cy="1980000"/>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p>
    <w:p w:rsidR="002D4E0E" w:rsidRPr="00343090" w:rsidRDefault="002D4E0E" w:rsidP="002D2AA1">
      <w:pPr>
        <w:pStyle w:val="Beschriftung"/>
        <w:spacing w:after="0" w:line="360" w:lineRule="auto"/>
        <w:jc w:val="both"/>
        <w:rPr>
          <w:color w:val="auto"/>
          <w:lang w:val="en-US"/>
        </w:rPr>
      </w:pPr>
      <w:bookmarkStart w:id="78" w:name="_Toc435621150"/>
      <w:proofErr w:type="gramStart"/>
      <w:r w:rsidRPr="00343090">
        <w:rPr>
          <w:color w:val="auto"/>
        </w:rPr>
        <w:t xml:space="preserve">Figure </w:t>
      </w:r>
      <w:r w:rsidRPr="00343090">
        <w:rPr>
          <w:color w:val="auto"/>
        </w:rPr>
        <w:fldChar w:fldCharType="begin"/>
      </w:r>
      <w:r w:rsidRPr="00343090">
        <w:rPr>
          <w:color w:val="auto"/>
        </w:rPr>
        <w:instrText xml:space="preserve"> SEQ Figure \* ARABIC </w:instrText>
      </w:r>
      <w:r w:rsidRPr="00343090">
        <w:rPr>
          <w:color w:val="auto"/>
        </w:rPr>
        <w:fldChar w:fldCharType="separate"/>
      </w:r>
      <w:r w:rsidR="00CB17FE">
        <w:rPr>
          <w:noProof/>
          <w:color w:val="auto"/>
        </w:rPr>
        <w:t>32</w:t>
      </w:r>
      <w:r w:rsidRPr="00343090">
        <w:rPr>
          <w:color w:val="auto"/>
        </w:rPr>
        <w:fldChar w:fldCharType="end"/>
      </w:r>
      <w:r w:rsidR="0096402E">
        <w:rPr>
          <w:color w:val="auto"/>
        </w:rPr>
        <w:t>.</w:t>
      </w:r>
      <w:proofErr w:type="gramEnd"/>
      <w:r w:rsidRPr="00343090">
        <w:rPr>
          <w:color w:val="auto"/>
        </w:rPr>
        <w:t xml:space="preserve"> </w:t>
      </w:r>
      <w:proofErr w:type="gramStart"/>
      <w:r w:rsidR="002D2AA1">
        <w:rPr>
          <w:color w:val="auto"/>
          <w:lang w:val="en-US"/>
        </w:rPr>
        <w:t>Induction of</w:t>
      </w:r>
      <w:r w:rsidR="0036529E" w:rsidRPr="00343090">
        <w:rPr>
          <w:color w:val="auto"/>
          <w:lang w:val="en-US"/>
        </w:rPr>
        <w:t xml:space="preserve"> local </w:t>
      </w:r>
      <w:r w:rsidR="002D2AA1">
        <w:rPr>
          <w:color w:val="auto"/>
          <w:lang w:val="en-US"/>
        </w:rPr>
        <w:t>SA- and Pip-accumulation by activation of MPK3 and MPK6</w:t>
      </w:r>
      <w:r w:rsidRPr="00343090">
        <w:rPr>
          <w:color w:val="auto"/>
          <w:lang w:val="en-US"/>
        </w:rPr>
        <w:t>.</w:t>
      </w:r>
      <w:bookmarkEnd w:id="78"/>
      <w:proofErr w:type="gramEnd"/>
      <w:r w:rsidRPr="00343090">
        <w:rPr>
          <w:color w:val="auto"/>
          <w:lang w:val="en-US"/>
        </w:rPr>
        <w:t xml:space="preserve"> </w:t>
      </w:r>
    </w:p>
    <w:p w:rsidR="002D4E0E" w:rsidRPr="00343090" w:rsidRDefault="003C67B0" w:rsidP="002D4E0E">
      <w:pPr>
        <w:pStyle w:val="Beschriftung"/>
        <w:jc w:val="both"/>
        <w:rPr>
          <w:b w:val="0"/>
          <w:color w:val="auto"/>
          <w:lang w:val="en-US"/>
        </w:rPr>
      </w:pPr>
      <w:r>
        <w:rPr>
          <w:b w:val="0"/>
          <w:color w:val="auto"/>
          <w:lang w:val="en-US"/>
        </w:rPr>
        <w:t>A</w:t>
      </w:r>
      <w:r w:rsidR="002D4E0E" w:rsidRPr="00343090">
        <w:rPr>
          <w:b w:val="0"/>
          <w:color w:val="auto"/>
          <w:lang w:val="en-US"/>
        </w:rPr>
        <w:t xml:space="preserve"> </w:t>
      </w:r>
      <w:r>
        <w:rPr>
          <w:b w:val="0"/>
          <w:color w:val="auto"/>
          <w:lang w:val="en-US"/>
        </w:rPr>
        <w:t>DEX-</w:t>
      </w:r>
      <w:r w:rsidR="002D4E0E" w:rsidRPr="00343090">
        <w:rPr>
          <w:b w:val="0"/>
          <w:color w:val="auto"/>
          <w:lang w:val="en-US"/>
        </w:rPr>
        <w:t xml:space="preserve">inducible </w:t>
      </w:r>
      <w:r w:rsidR="002D4E0E" w:rsidRPr="00343090">
        <w:rPr>
          <w:b w:val="0"/>
          <w:i/>
          <w:color w:val="auto"/>
          <w:lang w:val="en-US"/>
        </w:rPr>
        <w:t>MKK4</w:t>
      </w:r>
      <w:r w:rsidR="0036529E" w:rsidRPr="00343090">
        <w:rPr>
          <w:b w:val="0"/>
          <w:color w:val="auto"/>
          <w:lang w:val="en-US"/>
        </w:rPr>
        <w:t xml:space="preserve"> line</w:t>
      </w:r>
      <w:r w:rsidR="002D4E0E" w:rsidRPr="00343090">
        <w:rPr>
          <w:b w:val="0"/>
          <w:color w:val="auto"/>
          <w:lang w:val="en-US"/>
        </w:rPr>
        <w:t xml:space="preserve"> was treated with either water or dexamethasone and local and systemic leaves taken for analysis of metabolites. Bars represent the mean ±SD of three replicate samples, asterisks above the bars denote significant statistical differences between treatments (two-tailed </w:t>
      </w:r>
      <w:r w:rsidR="002D4E0E" w:rsidRPr="00343090">
        <w:rPr>
          <w:b w:val="0"/>
          <w:i/>
          <w:color w:val="auto"/>
          <w:lang w:val="en-US"/>
        </w:rPr>
        <w:t>t</w:t>
      </w:r>
      <w:r w:rsidR="002D4E0E" w:rsidRPr="00343090">
        <w:rPr>
          <w:b w:val="0"/>
          <w:color w:val="auto"/>
          <w:lang w:val="en-US"/>
        </w:rPr>
        <w:t xml:space="preserve"> test; *, P&lt; 0.05; **, P&lt; 0.01; ***, P&lt; 0.001). </w:t>
      </w:r>
      <w:proofErr w:type="gramStart"/>
      <w:r w:rsidR="002D4E0E" w:rsidRPr="00343090">
        <w:rPr>
          <w:b w:val="0"/>
          <w:color w:val="auto"/>
          <w:lang w:val="en-US"/>
        </w:rPr>
        <w:t>DEX, dexamethasone; FW, fresh weight</w:t>
      </w:r>
      <w:r w:rsidR="000B3D99" w:rsidRPr="00343090">
        <w:rPr>
          <w:b w:val="0"/>
          <w:color w:val="auto"/>
          <w:lang w:val="en-US"/>
        </w:rPr>
        <w:t>.</w:t>
      </w:r>
      <w:proofErr w:type="gramEnd"/>
      <w:r w:rsidR="00CE0C49" w:rsidRPr="00343090">
        <w:rPr>
          <w:b w:val="0"/>
          <w:color w:val="auto"/>
          <w:lang w:val="en-US"/>
        </w:rPr>
        <w:t xml:space="preserve"> This experiment was done in collaboration with Dr Yiming Wang</w:t>
      </w:r>
      <w:r w:rsidR="0036529E" w:rsidRPr="00343090">
        <w:rPr>
          <w:b w:val="0"/>
          <w:color w:val="auto"/>
          <w:lang w:val="en-US"/>
        </w:rPr>
        <w:t xml:space="preserve"> (MPIZ Cologne)</w:t>
      </w:r>
      <w:r w:rsidR="00CE0C49" w:rsidRPr="00343090">
        <w:rPr>
          <w:b w:val="0"/>
          <w:color w:val="auto"/>
          <w:lang w:val="en-US"/>
        </w:rPr>
        <w:t>.</w:t>
      </w:r>
    </w:p>
    <w:p w:rsidR="00A02FA0" w:rsidRPr="00A02FA0" w:rsidRDefault="00A02FA0" w:rsidP="006E2302">
      <w:pPr>
        <w:spacing w:line="360" w:lineRule="auto"/>
        <w:jc w:val="both"/>
      </w:pPr>
      <w:r w:rsidRPr="00A02FA0">
        <w:t xml:space="preserve">After induction, </w:t>
      </w:r>
      <w:r w:rsidRPr="00A02FA0">
        <w:rPr>
          <w:i/>
        </w:rPr>
        <w:t>MKK4-DEX</w:t>
      </w:r>
      <w:r w:rsidRPr="00A02FA0">
        <w:t xml:space="preserve"> plants demonstrated</w:t>
      </w:r>
      <w:r w:rsidR="006E2302">
        <w:t xml:space="preserve"> moderate</w:t>
      </w:r>
      <w:r w:rsidRPr="00A02FA0">
        <w:t xml:space="preserve"> accumulation of free </w:t>
      </w:r>
      <w:r w:rsidR="002D2AA1">
        <w:t>SA</w:t>
      </w:r>
      <w:r w:rsidRPr="00A02FA0">
        <w:t xml:space="preserve"> and </w:t>
      </w:r>
      <w:r w:rsidR="002D2AA1">
        <w:t>Pip</w:t>
      </w:r>
      <w:r w:rsidRPr="00A02FA0">
        <w:t xml:space="preserve"> in local, but n</w:t>
      </w:r>
      <w:r>
        <w:t>ot in systemic leaves (Figure 32</w:t>
      </w:r>
      <w:r w:rsidRPr="00A02FA0">
        <w:t xml:space="preserve"> </w:t>
      </w:r>
      <w:r>
        <w:t>A; Figure 32</w:t>
      </w:r>
      <w:r w:rsidRPr="00A02FA0">
        <w:t xml:space="preserve"> B). </w:t>
      </w:r>
      <w:r w:rsidR="006E2302">
        <w:t xml:space="preserve">Compared to </w:t>
      </w:r>
      <w:r w:rsidR="006E2302" w:rsidRPr="006E2302">
        <w:rPr>
          <w:i/>
        </w:rPr>
        <w:t>Psm</w:t>
      </w:r>
      <w:r w:rsidR="006E2302">
        <w:t xml:space="preserve">-infected plants, accumulation of SA and Pip was very low. </w:t>
      </w:r>
      <w:r w:rsidR="002D2AA1">
        <w:t>SA</w:t>
      </w:r>
      <w:r w:rsidR="006E2302">
        <w:t xml:space="preserve"> accumulated in previous experiments to levels between 3 and 5 µg g</w:t>
      </w:r>
      <w:r w:rsidR="006E2302" w:rsidRPr="006E2302">
        <w:rPr>
          <w:vertAlign w:val="superscript"/>
        </w:rPr>
        <w:t>-1</w:t>
      </w:r>
      <w:r w:rsidR="00A6514B">
        <w:t xml:space="preserve"> FW in</w:t>
      </w:r>
      <w:r w:rsidR="006E2302">
        <w:t xml:space="preserve"> leaves</w:t>
      </w:r>
      <w:r w:rsidR="00A6514B">
        <w:t xml:space="preserve"> inoculated with </w:t>
      </w:r>
      <w:r w:rsidR="002D2AA1">
        <w:rPr>
          <w:i/>
        </w:rPr>
        <w:t>Psm</w:t>
      </w:r>
      <w:r w:rsidR="006E2302">
        <w:t xml:space="preserve"> (Attaran </w:t>
      </w:r>
      <w:r w:rsidR="006E2302" w:rsidRPr="006E2302">
        <w:rPr>
          <w:i/>
        </w:rPr>
        <w:t>et al</w:t>
      </w:r>
      <w:r w:rsidR="006E2302">
        <w:t xml:space="preserve">., 2009) and </w:t>
      </w:r>
      <w:r w:rsidR="002D2AA1">
        <w:t>Pip</w:t>
      </w:r>
      <w:r w:rsidR="006E2302">
        <w:t xml:space="preserve"> was shown to increase to levels more than 40 µg g</w:t>
      </w:r>
      <w:r w:rsidR="006E2302" w:rsidRPr="006E2302">
        <w:rPr>
          <w:vertAlign w:val="superscript"/>
        </w:rPr>
        <w:t>-1</w:t>
      </w:r>
      <w:r w:rsidR="006E2302">
        <w:t xml:space="preserve"> FW (Návarová </w:t>
      </w:r>
      <w:r w:rsidR="006E2302" w:rsidRPr="006E2302">
        <w:rPr>
          <w:i/>
        </w:rPr>
        <w:t>et al</w:t>
      </w:r>
      <w:r w:rsidR="006E2302">
        <w:t xml:space="preserve">., 2012). These results show that MAP kinases play </w:t>
      </w:r>
      <w:r w:rsidR="00A6514B">
        <w:t xml:space="preserve">only </w:t>
      </w:r>
      <w:r w:rsidR="006E2302">
        <w:t xml:space="preserve">a minor role in SAR and </w:t>
      </w:r>
      <w:r w:rsidR="003C67B0">
        <w:t xml:space="preserve">defence </w:t>
      </w:r>
      <w:r w:rsidR="006E2302">
        <w:t>priming and that activation of this signalling cascade alone is not enough to induce accumulation of defence</w:t>
      </w:r>
      <w:r w:rsidR="003C67B0">
        <w:t>-related</w:t>
      </w:r>
      <w:r w:rsidR="006E2302">
        <w:t xml:space="preserve"> compounds to </w:t>
      </w:r>
      <w:r w:rsidR="002D2AA1">
        <w:t>similar</w:t>
      </w:r>
      <w:r w:rsidR="00A6514B">
        <w:t xml:space="preserve"> high levels as observed in</w:t>
      </w:r>
      <w:r w:rsidR="006E2302">
        <w:t xml:space="preserve"> </w:t>
      </w:r>
      <w:r w:rsidR="006E2302" w:rsidRPr="006E2302">
        <w:rPr>
          <w:i/>
        </w:rPr>
        <w:t>Psm</w:t>
      </w:r>
      <w:r w:rsidR="006E2302">
        <w:t>-inoculated leaves.</w:t>
      </w:r>
    </w:p>
    <w:p w:rsidR="00071CA3" w:rsidRPr="00071CA3" w:rsidRDefault="00563EC1" w:rsidP="00071CA3">
      <w:pPr>
        <w:pStyle w:val="berschrift2"/>
        <w:spacing w:after="240"/>
        <w:jc w:val="both"/>
        <w:rPr>
          <w:color w:val="auto"/>
        </w:rPr>
      </w:pPr>
      <w:bookmarkStart w:id="79" w:name="_Toc435621240"/>
      <w:r>
        <w:rPr>
          <w:color w:val="auto"/>
        </w:rPr>
        <w:t xml:space="preserve">6.4 </w:t>
      </w:r>
      <w:r w:rsidR="009A0B05">
        <w:rPr>
          <w:color w:val="auto"/>
        </w:rPr>
        <w:t>Establishment of different path</w:t>
      </w:r>
      <w:r w:rsidR="0080182F">
        <w:rPr>
          <w:color w:val="auto"/>
        </w:rPr>
        <w:t xml:space="preserve">osystems to study </w:t>
      </w:r>
      <w:r w:rsidR="00420F6E">
        <w:rPr>
          <w:color w:val="auto"/>
        </w:rPr>
        <w:t>inducible immunity</w:t>
      </w:r>
      <w:r w:rsidR="0080182F">
        <w:rPr>
          <w:color w:val="auto"/>
        </w:rPr>
        <w:t xml:space="preserve"> and Pip-induced resistance</w:t>
      </w:r>
      <w:r w:rsidR="00071CA3">
        <w:rPr>
          <w:color w:val="auto"/>
        </w:rPr>
        <w:t xml:space="preserve"> </w:t>
      </w:r>
      <w:r w:rsidR="009A0B05">
        <w:rPr>
          <w:color w:val="auto"/>
        </w:rPr>
        <w:t xml:space="preserve">in </w:t>
      </w:r>
      <w:r w:rsidR="009A0B05" w:rsidRPr="009A0B05">
        <w:rPr>
          <w:i/>
          <w:color w:val="auto"/>
        </w:rPr>
        <w:t>A</w:t>
      </w:r>
      <w:r w:rsidR="003108D6">
        <w:rPr>
          <w:i/>
          <w:color w:val="auto"/>
        </w:rPr>
        <w:t>.</w:t>
      </w:r>
      <w:r w:rsidR="00071CA3" w:rsidRPr="008D2E09">
        <w:rPr>
          <w:i/>
          <w:color w:val="auto"/>
        </w:rPr>
        <w:t xml:space="preserve"> thaliana</w:t>
      </w:r>
      <w:bookmarkEnd w:id="79"/>
      <w:r w:rsidR="00071CA3">
        <w:rPr>
          <w:color w:val="auto"/>
        </w:rPr>
        <w:t xml:space="preserve"> </w:t>
      </w:r>
    </w:p>
    <w:p w:rsidR="00FD65FA" w:rsidRPr="00FD65FA" w:rsidRDefault="00FD65FA" w:rsidP="00FD65FA">
      <w:pPr>
        <w:spacing w:line="360" w:lineRule="auto"/>
        <w:jc w:val="both"/>
      </w:pPr>
      <w:r w:rsidRPr="00FD65FA">
        <w:t xml:space="preserve">Additional to our studies concerning the interaction between </w:t>
      </w:r>
      <w:r w:rsidRPr="00FD65FA">
        <w:rPr>
          <w:i/>
        </w:rPr>
        <w:t>Arabidopsis thaliana</w:t>
      </w:r>
      <w:r w:rsidRPr="00FD65FA">
        <w:t xml:space="preserve"> and </w:t>
      </w:r>
      <w:r w:rsidRPr="00FD65FA">
        <w:rPr>
          <w:i/>
        </w:rPr>
        <w:t>Pseudomonas syringae</w:t>
      </w:r>
      <w:r w:rsidRPr="00FD65FA">
        <w:t xml:space="preserve"> </w:t>
      </w:r>
      <w:proofErr w:type="gramStart"/>
      <w:r w:rsidRPr="00FD65FA">
        <w:t>pv</w:t>
      </w:r>
      <w:proofErr w:type="gramEnd"/>
      <w:r w:rsidRPr="00FD65FA">
        <w:t xml:space="preserve">. </w:t>
      </w:r>
      <w:proofErr w:type="gramStart"/>
      <w:r w:rsidR="00987D38">
        <w:rPr>
          <w:i/>
        </w:rPr>
        <w:t>m</w:t>
      </w:r>
      <w:r w:rsidRPr="00FD65FA">
        <w:rPr>
          <w:i/>
        </w:rPr>
        <w:t>aculicola</w:t>
      </w:r>
      <w:proofErr w:type="gramEnd"/>
      <w:r w:rsidR="00721C38">
        <w:rPr>
          <w:i/>
        </w:rPr>
        <w:t>,</w:t>
      </w:r>
      <w:r w:rsidR="00C36782">
        <w:t xml:space="preserve"> we were interested to find out</w:t>
      </w:r>
      <w:r w:rsidRPr="00FD65FA">
        <w:t xml:space="preserve"> which similarities and differences </w:t>
      </w:r>
      <w:r w:rsidR="009A0B05">
        <w:t xml:space="preserve">might </w:t>
      </w:r>
      <w:r w:rsidRPr="00FD65FA">
        <w:t>exist between distinct types of pathogen</w:t>
      </w:r>
      <w:r w:rsidR="009A0B05">
        <w:t>s differing in their</w:t>
      </w:r>
      <w:r w:rsidRPr="00FD65FA">
        <w:t xml:space="preserve"> lifestyle</w:t>
      </w:r>
      <w:r w:rsidR="009A0B05">
        <w:t xml:space="preserve"> and phylogenetic group</w:t>
      </w:r>
      <w:r w:rsidRPr="00FD65FA">
        <w:t xml:space="preserve">. </w:t>
      </w:r>
      <w:r w:rsidR="009A0B05">
        <w:t>Therefore</w:t>
      </w:r>
      <w:r w:rsidR="00071CA3">
        <w:t xml:space="preserve">, </w:t>
      </w:r>
      <w:r w:rsidRPr="00FD65FA">
        <w:t xml:space="preserve">pathosystems with the necrotrophic fungus </w:t>
      </w:r>
      <w:r w:rsidRPr="00FD65FA">
        <w:rPr>
          <w:i/>
        </w:rPr>
        <w:t>Botrytis cinerea</w:t>
      </w:r>
      <w:r w:rsidRPr="00FD65FA">
        <w:t xml:space="preserve"> and the obligate biotrophic oomycete </w:t>
      </w:r>
      <w:r w:rsidRPr="00FD65FA">
        <w:rPr>
          <w:i/>
        </w:rPr>
        <w:t>Hyaloperonospora arabidopsidis</w:t>
      </w:r>
      <w:r w:rsidR="00071CA3">
        <w:t xml:space="preserve"> were established</w:t>
      </w:r>
      <w:r w:rsidRPr="00FD65FA">
        <w:t xml:space="preserve"> in our laboratory. </w:t>
      </w:r>
      <w:r w:rsidR="00A4135C">
        <w:t xml:space="preserve">By collaborating </w:t>
      </w:r>
      <w:r w:rsidRPr="00FD65FA">
        <w:t>with Dr Volker Lipka and Dr M</w:t>
      </w:r>
      <w:r w:rsidR="00987D38">
        <w:t>ichaela Kopischke at Göttingen U</w:t>
      </w:r>
      <w:r w:rsidRPr="00FD65FA">
        <w:t>niversity</w:t>
      </w:r>
      <w:r w:rsidR="009A0B05">
        <w:t>,</w:t>
      </w:r>
      <w:r w:rsidRPr="00FD65FA">
        <w:t xml:space="preserve"> we were able to study the </w:t>
      </w:r>
      <w:r w:rsidRPr="00FD65FA">
        <w:rPr>
          <w:i/>
        </w:rPr>
        <w:t>Arabidopsis-Golovinomyces orontii</w:t>
      </w:r>
      <w:r w:rsidRPr="00FD65FA">
        <w:t xml:space="preserve"> interaction as well. Investigations into various pathogen mode</w:t>
      </w:r>
      <w:r w:rsidR="00721C38">
        <w:t>s</w:t>
      </w:r>
      <w:r w:rsidRPr="00FD65FA">
        <w:t xml:space="preserve"> of infection included evaluation of disease symptoms, analyses of metabolite accumulation and studies concerning the possibility of Pip-induced resistance to different types of pathogens.</w:t>
      </w:r>
    </w:p>
    <w:p w:rsidR="00B517AA" w:rsidRDefault="00B517AA" w:rsidP="001C7E95">
      <w:pPr>
        <w:pStyle w:val="berschrift2"/>
        <w:spacing w:after="240"/>
        <w:jc w:val="both"/>
        <w:rPr>
          <w:color w:val="auto"/>
        </w:rPr>
        <w:sectPr w:rsidR="00B517AA" w:rsidSect="00B517AA">
          <w:headerReference w:type="default" r:id="rId61"/>
          <w:type w:val="continuous"/>
          <w:pgSz w:w="11906" w:h="16838"/>
          <w:pgMar w:top="1417" w:right="1417" w:bottom="1134" w:left="1417" w:header="708" w:footer="708" w:gutter="0"/>
          <w:cols w:space="708"/>
          <w:titlePg/>
          <w:docGrid w:linePitch="360"/>
        </w:sectPr>
      </w:pPr>
    </w:p>
    <w:p w:rsidR="00FD65FA" w:rsidRPr="0027250F" w:rsidRDefault="00563EC1" w:rsidP="001C7E95">
      <w:pPr>
        <w:pStyle w:val="berschrift2"/>
        <w:spacing w:after="240"/>
        <w:jc w:val="both"/>
        <w:rPr>
          <w:color w:val="auto"/>
        </w:rPr>
      </w:pPr>
      <w:bookmarkStart w:id="80" w:name="_Toc435621241"/>
      <w:r>
        <w:rPr>
          <w:color w:val="auto"/>
        </w:rPr>
        <w:lastRenderedPageBreak/>
        <w:t xml:space="preserve">6.5 </w:t>
      </w:r>
      <w:r w:rsidR="00FD65FA" w:rsidRPr="001C7E95">
        <w:rPr>
          <w:color w:val="auto"/>
        </w:rPr>
        <w:t xml:space="preserve">Changes in the metabolic profile of </w:t>
      </w:r>
      <w:r w:rsidR="00FD65FA" w:rsidRPr="001C7E95">
        <w:rPr>
          <w:i/>
          <w:color w:val="auto"/>
        </w:rPr>
        <w:t>A</w:t>
      </w:r>
      <w:r w:rsidR="003108D6">
        <w:rPr>
          <w:i/>
          <w:color w:val="auto"/>
        </w:rPr>
        <w:t>.</w:t>
      </w:r>
      <w:r w:rsidR="00FD65FA" w:rsidRPr="001C7E95">
        <w:rPr>
          <w:i/>
          <w:color w:val="auto"/>
        </w:rPr>
        <w:t xml:space="preserve"> thaliana</w:t>
      </w:r>
      <w:r w:rsidR="00FD65FA" w:rsidRPr="001C7E95">
        <w:rPr>
          <w:color w:val="auto"/>
        </w:rPr>
        <w:t xml:space="preserve"> after infection with </w:t>
      </w:r>
      <w:r w:rsidR="00FD65FA" w:rsidRPr="001C7E95">
        <w:rPr>
          <w:i/>
          <w:color w:val="auto"/>
        </w:rPr>
        <w:t>B</w:t>
      </w:r>
      <w:r w:rsidR="003108D6">
        <w:rPr>
          <w:i/>
          <w:color w:val="auto"/>
        </w:rPr>
        <w:t>.</w:t>
      </w:r>
      <w:r w:rsidR="00FD65FA" w:rsidRPr="001C7E95">
        <w:rPr>
          <w:i/>
          <w:color w:val="auto"/>
        </w:rPr>
        <w:t xml:space="preserve"> cinerea</w:t>
      </w:r>
      <w:r w:rsidR="0027250F">
        <w:rPr>
          <w:i/>
          <w:color w:val="auto"/>
        </w:rPr>
        <w:t>,</w:t>
      </w:r>
      <w:r w:rsidR="0027250F">
        <w:rPr>
          <w:color w:val="auto"/>
        </w:rPr>
        <w:t xml:space="preserve"> a fungus of necrotrophic lifestyle</w:t>
      </w:r>
      <w:bookmarkEnd w:id="80"/>
    </w:p>
    <w:p w:rsidR="00FD65FA" w:rsidRPr="00FD65FA" w:rsidRDefault="00FD65FA" w:rsidP="00A4135C">
      <w:pPr>
        <w:spacing w:after="0" w:line="360" w:lineRule="auto"/>
        <w:jc w:val="both"/>
      </w:pPr>
      <w:r w:rsidRPr="00FD65FA">
        <w:t xml:space="preserve">The first step in the analysis of the </w:t>
      </w:r>
      <w:r w:rsidRPr="00FD65FA">
        <w:rPr>
          <w:i/>
        </w:rPr>
        <w:t>Arabidopsis-Botrytis</w:t>
      </w:r>
      <w:r w:rsidRPr="00FD65FA">
        <w:t xml:space="preserve"> interaction was to analyse accumulation of metabolites over a defined period of time. </w:t>
      </w:r>
    </w:p>
    <w:p w:rsidR="00AD0F7C" w:rsidRDefault="00AD0F7C" w:rsidP="00A4135C">
      <w:pPr>
        <w:keepNext/>
        <w:spacing w:after="0" w:line="360" w:lineRule="auto"/>
        <w:jc w:val="both"/>
      </w:pPr>
    </w:p>
    <w:p w:rsidR="00197F62" w:rsidRDefault="00FD65FA" w:rsidP="00A4135C">
      <w:pPr>
        <w:keepNext/>
        <w:spacing w:after="0" w:line="360" w:lineRule="auto"/>
        <w:jc w:val="both"/>
      </w:pPr>
      <w:r w:rsidRPr="00FD65FA">
        <w:rPr>
          <w:noProof/>
          <w:lang w:val="de-DE" w:eastAsia="de-DE"/>
        </w:rPr>
        <w:drawing>
          <wp:anchor distT="0" distB="0" distL="114300" distR="114300" simplePos="0" relativeHeight="251693056" behindDoc="0" locked="0" layoutInCell="1" allowOverlap="1" wp14:anchorId="21214861" wp14:editId="14E26B63">
            <wp:simplePos x="895350" y="895350"/>
            <wp:positionH relativeFrom="page">
              <wp:align>center</wp:align>
            </wp:positionH>
            <wp:positionV relativeFrom="paragraph">
              <wp:posOffset>-3810</wp:posOffset>
            </wp:positionV>
            <wp:extent cx="5760000" cy="5596050"/>
            <wp:effectExtent l="19050" t="19050" r="12700" b="24130"/>
            <wp:wrapTopAndBottom/>
            <wp:docPr id="30" name="Grafi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tabolites after bc inf time course.png"/>
                    <pic:cNvPicPr/>
                  </pic:nvPicPr>
                  <pic:blipFill>
                    <a:blip r:embed="rId62" cstate="print">
                      <a:extLst>
                        <a:ext uri="{28A0092B-C50C-407E-A947-70E740481C1C}">
                          <a14:useLocalDpi xmlns:a14="http://schemas.microsoft.com/office/drawing/2010/main" val="0"/>
                        </a:ext>
                      </a:extLst>
                    </a:blip>
                    <a:stretch>
                      <a:fillRect/>
                    </a:stretch>
                  </pic:blipFill>
                  <pic:spPr>
                    <a:xfrm>
                      <a:off x="0" y="0"/>
                      <a:ext cx="5760000" cy="5596050"/>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p>
    <w:p w:rsidR="00197F62" w:rsidRPr="00343090" w:rsidRDefault="00197F62" w:rsidP="0040147B">
      <w:pPr>
        <w:pStyle w:val="Beschriftung"/>
        <w:spacing w:after="0" w:line="360" w:lineRule="auto"/>
        <w:jc w:val="both"/>
        <w:rPr>
          <w:color w:val="auto"/>
          <w:lang w:val="en-US"/>
        </w:rPr>
      </w:pPr>
      <w:bookmarkStart w:id="81" w:name="_Toc435621151"/>
      <w:proofErr w:type="gramStart"/>
      <w:r w:rsidRPr="00343090">
        <w:rPr>
          <w:color w:val="auto"/>
        </w:rPr>
        <w:t xml:space="preserve">Figure </w:t>
      </w:r>
      <w:r w:rsidRPr="00343090">
        <w:rPr>
          <w:color w:val="auto"/>
        </w:rPr>
        <w:fldChar w:fldCharType="begin"/>
      </w:r>
      <w:r w:rsidRPr="00343090">
        <w:rPr>
          <w:color w:val="auto"/>
        </w:rPr>
        <w:instrText xml:space="preserve"> SEQ Figure \* ARABIC </w:instrText>
      </w:r>
      <w:r w:rsidRPr="00343090">
        <w:rPr>
          <w:color w:val="auto"/>
        </w:rPr>
        <w:fldChar w:fldCharType="separate"/>
      </w:r>
      <w:r w:rsidR="00CB17FE">
        <w:rPr>
          <w:noProof/>
          <w:color w:val="auto"/>
        </w:rPr>
        <w:t>33</w:t>
      </w:r>
      <w:r w:rsidRPr="00343090">
        <w:rPr>
          <w:color w:val="auto"/>
        </w:rPr>
        <w:fldChar w:fldCharType="end"/>
      </w:r>
      <w:r w:rsidR="0096402E">
        <w:rPr>
          <w:color w:val="auto"/>
        </w:rPr>
        <w:t>.</w:t>
      </w:r>
      <w:proofErr w:type="gramEnd"/>
      <w:r w:rsidRPr="00343090">
        <w:rPr>
          <w:color w:val="auto"/>
        </w:rPr>
        <w:t xml:space="preserve"> </w:t>
      </w:r>
      <w:proofErr w:type="gramStart"/>
      <w:r w:rsidR="0040147B">
        <w:rPr>
          <w:color w:val="auto"/>
        </w:rPr>
        <w:t xml:space="preserve">Accumulation of numerous defence-related metabolites after </w:t>
      </w:r>
      <w:r w:rsidR="0040147B">
        <w:rPr>
          <w:color w:val="auto"/>
          <w:lang w:val="en-US"/>
        </w:rPr>
        <w:t>i</w:t>
      </w:r>
      <w:r w:rsidRPr="00343090">
        <w:rPr>
          <w:color w:val="auto"/>
          <w:lang w:val="en-US"/>
        </w:rPr>
        <w:t xml:space="preserve">nfection of </w:t>
      </w:r>
      <w:r w:rsidRPr="00343090">
        <w:rPr>
          <w:i/>
          <w:color w:val="auto"/>
          <w:lang w:val="en-US"/>
        </w:rPr>
        <w:t>Arabidopsis thaliana</w:t>
      </w:r>
      <w:r w:rsidRPr="00343090">
        <w:rPr>
          <w:color w:val="auto"/>
          <w:lang w:val="en-US"/>
        </w:rPr>
        <w:t xml:space="preserve"> with the necrotrophic fungus </w:t>
      </w:r>
      <w:r w:rsidRPr="00343090">
        <w:rPr>
          <w:i/>
          <w:color w:val="auto"/>
          <w:lang w:val="en-US"/>
        </w:rPr>
        <w:t>Botrytis cinerea</w:t>
      </w:r>
      <w:r w:rsidR="0040147B">
        <w:rPr>
          <w:color w:val="auto"/>
          <w:lang w:val="en-US"/>
        </w:rPr>
        <w:t>.</w:t>
      </w:r>
      <w:bookmarkEnd w:id="81"/>
      <w:proofErr w:type="gramEnd"/>
    </w:p>
    <w:p w:rsidR="00FD65FA" w:rsidRPr="00343090" w:rsidRDefault="00197F62" w:rsidP="00AD0F7C">
      <w:pPr>
        <w:pStyle w:val="Beschriftung"/>
        <w:jc w:val="both"/>
        <w:rPr>
          <w:b w:val="0"/>
          <w:color w:val="auto"/>
          <w:lang w:val="en-US"/>
        </w:rPr>
      </w:pPr>
      <w:r w:rsidRPr="00343090">
        <w:rPr>
          <w:b w:val="0"/>
          <w:color w:val="auto"/>
          <w:lang w:val="en-US"/>
        </w:rPr>
        <w:t xml:space="preserve">Time course of total </w:t>
      </w:r>
      <w:r w:rsidR="0040147B">
        <w:rPr>
          <w:b w:val="0"/>
          <w:color w:val="auto"/>
          <w:lang w:val="en-US"/>
        </w:rPr>
        <w:t>SA</w:t>
      </w:r>
      <w:r w:rsidRPr="00343090">
        <w:rPr>
          <w:b w:val="0"/>
          <w:color w:val="auto"/>
          <w:lang w:val="en-US"/>
        </w:rPr>
        <w:t xml:space="preserve">- (sum of free and conjugated </w:t>
      </w:r>
      <w:r w:rsidR="0040147B">
        <w:rPr>
          <w:b w:val="0"/>
          <w:color w:val="auto"/>
          <w:lang w:val="en-US"/>
        </w:rPr>
        <w:t>SA</w:t>
      </w:r>
      <w:r w:rsidRPr="00343090">
        <w:rPr>
          <w:b w:val="0"/>
          <w:color w:val="auto"/>
          <w:lang w:val="en-US"/>
        </w:rPr>
        <w:t>)</w:t>
      </w:r>
      <w:r w:rsidR="00AD0F7C" w:rsidRPr="00343090">
        <w:rPr>
          <w:b w:val="0"/>
          <w:color w:val="auto"/>
          <w:lang w:val="en-US"/>
        </w:rPr>
        <w:t xml:space="preserve"> </w:t>
      </w:r>
      <w:r w:rsidRPr="00343090">
        <w:rPr>
          <w:b w:val="0"/>
          <w:color w:val="auto"/>
          <w:lang w:val="en-US"/>
        </w:rPr>
        <w:t>(A), camalexin- (</w:t>
      </w:r>
      <w:r w:rsidR="00237FC0" w:rsidRPr="00343090">
        <w:rPr>
          <w:b w:val="0"/>
          <w:color w:val="auto"/>
          <w:lang w:val="en-US"/>
        </w:rPr>
        <w:t xml:space="preserve">B), </w:t>
      </w:r>
      <w:r w:rsidR="0040147B">
        <w:rPr>
          <w:b w:val="0"/>
          <w:color w:val="auto"/>
          <w:lang w:val="en-US"/>
        </w:rPr>
        <w:t>JA</w:t>
      </w:r>
      <w:r w:rsidR="00237FC0" w:rsidRPr="00343090">
        <w:rPr>
          <w:b w:val="0"/>
          <w:color w:val="auto"/>
          <w:lang w:val="en-US"/>
        </w:rPr>
        <w:t>- (C), indole-3</w:t>
      </w:r>
      <w:r w:rsidRPr="00343090">
        <w:rPr>
          <w:b w:val="0"/>
          <w:color w:val="auto"/>
          <w:lang w:val="en-US"/>
        </w:rPr>
        <w:t xml:space="preserve">-carboxylic acid- (D), </w:t>
      </w:r>
      <w:r w:rsidR="0040147B">
        <w:rPr>
          <w:b w:val="0"/>
          <w:color w:val="auto"/>
          <w:lang w:val="en-US"/>
        </w:rPr>
        <w:t>Pip</w:t>
      </w:r>
      <w:r w:rsidRPr="00343090">
        <w:rPr>
          <w:b w:val="0"/>
          <w:color w:val="auto"/>
          <w:lang w:val="en-US"/>
        </w:rPr>
        <w:t xml:space="preserve">- (E), and </w:t>
      </w:r>
      <w:r w:rsidRPr="00343090">
        <w:rPr>
          <w:b w:val="0"/>
          <w:i/>
          <w:color w:val="auto"/>
          <w:lang w:val="en-US"/>
        </w:rPr>
        <w:t>γ</w:t>
      </w:r>
      <w:r w:rsidRPr="00343090">
        <w:rPr>
          <w:b w:val="0"/>
          <w:color w:val="auto"/>
          <w:lang w:val="en-US"/>
        </w:rPr>
        <w:t xml:space="preserve">-aminobutyric acid- (F) accumulation in </w:t>
      </w:r>
      <w:r w:rsidRPr="00343090">
        <w:rPr>
          <w:b w:val="0"/>
          <w:i/>
          <w:color w:val="auto"/>
          <w:lang w:val="en-US"/>
        </w:rPr>
        <w:t>Arabidopsis</w:t>
      </w:r>
      <w:r w:rsidRPr="00343090">
        <w:rPr>
          <w:b w:val="0"/>
          <w:color w:val="auto"/>
          <w:lang w:val="en-US"/>
        </w:rPr>
        <w:t xml:space="preserve"> </w:t>
      </w:r>
      <w:r w:rsidR="009A4F2D" w:rsidRPr="00343090">
        <w:rPr>
          <w:b w:val="0"/>
          <w:color w:val="auto"/>
          <w:lang w:val="en-US"/>
        </w:rPr>
        <w:t>leaves infected</w:t>
      </w:r>
      <w:r w:rsidRPr="00343090">
        <w:rPr>
          <w:b w:val="0"/>
          <w:color w:val="auto"/>
          <w:lang w:val="en-US"/>
        </w:rPr>
        <w:t xml:space="preserve"> with </w:t>
      </w:r>
      <w:r w:rsidRPr="00343090">
        <w:rPr>
          <w:b w:val="0"/>
          <w:i/>
          <w:color w:val="auto"/>
          <w:lang w:val="en-US"/>
        </w:rPr>
        <w:t>B.</w:t>
      </w:r>
      <w:r w:rsidR="0040147B">
        <w:rPr>
          <w:b w:val="0"/>
          <w:i/>
          <w:color w:val="auto"/>
          <w:lang w:val="en-US"/>
        </w:rPr>
        <w:t xml:space="preserve"> </w:t>
      </w:r>
      <w:r w:rsidRPr="00343090">
        <w:rPr>
          <w:b w:val="0"/>
          <w:i/>
          <w:color w:val="auto"/>
          <w:lang w:val="en-US"/>
        </w:rPr>
        <w:t>cinerea</w:t>
      </w:r>
      <w:r w:rsidRPr="00343090">
        <w:rPr>
          <w:b w:val="0"/>
          <w:color w:val="auto"/>
          <w:lang w:val="en-US"/>
        </w:rPr>
        <w:t xml:space="preserve">. </w:t>
      </w:r>
      <w:r w:rsidR="000A0576" w:rsidRPr="00343090">
        <w:rPr>
          <w:b w:val="0"/>
          <w:color w:val="auto"/>
          <w:lang w:val="en-US"/>
        </w:rPr>
        <w:t xml:space="preserve">Plants were infected with 4 drops á 3 µl of pregerminated </w:t>
      </w:r>
      <w:r w:rsidR="000A0576" w:rsidRPr="00343090">
        <w:rPr>
          <w:b w:val="0"/>
          <w:i/>
          <w:color w:val="auto"/>
          <w:lang w:val="en-US"/>
        </w:rPr>
        <w:t>B.</w:t>
      </w:r>
      <w:r w:rsidR="0040147B">
        <w:rPr>
          <w:b w:val="0"/>
          <w:i/>
          <w:color w:val="auto"/>
          <w:lang w:val="en-US"/>
        </w:rPr>
        <w:t xml:space="preserve"> </w:t>
      </w:r>
      <w:r w:rsidR="000A0576" w:rsidRPr="00343090">
        <w:rPr>
          <w:b w:val="0"/>
          <w:i/>
          <w:color w:val="auto"/>
          <w:lang w:val="en-US"/>
        </w:rPr>
        <w:t>cinerea</w:t>
      </w:r>
      <w:r w:rsidR="000A0576" w:rsidRPr="00343090">
        <w:rPr>
          <w:b w:val="0"/>
          <w:color w:val="auto"/>
          <w:lang w:val="en-US"/>
        </w:rPr>
        <w:t xml:space="preserve"> spores per leaf on 3 leaves per plant, kept in high air humidity for the indicated amount of time and analysed for accumulation of defence compounds. </w:t>
      </w:r>
      <w:r w:rsidRPr="00343090">
        <w:rPr>
          <w:b w:val="0"/>
          <w:color w:val="auto"/>
          <w:lang w:val="en-US"/>
        </w:rPr>
        <w:t xml:space="preserve">Bars represent the mean ±SD of three replicate samples and asterisks above the bars show significant statistical differences between non-infected and infected plants (two-tailed </w:t>
      </w:r>
      <w:r w:rsidRPr="00343090">
        <w:rPr>
          <w:b w:val="0"/>
          <w:i/>
          <w:color w:val="auto"/>
          <w:lang w:val="en-US"/>
        </w:rPr>
        <w:t>t</w:t>
      </w:r>
      <w:r w:rsidRPr="00343090">
        <w:rPr>
          <w:b w:val="0"/>
          <w:color w:val="auto"/>
          <w:lang w:val="en-US"/>
        </w:rPr>
        <w:t xml:space="preserve"> test; *, P&lt; 0.05; **, P&lt; 0.01; ***, P&lt; 0.001).  </w:t>
      </w:r>
      <w:proofErr w:type="gramStart"/>
      <w:r w:rsidRPr="00343090">
        <w:rPr>
          <w:b w:val="0"/>
          <w:color w:val="auto"/>
          <w:lang w:val="en-US"/>
        </w:rPr>
        <w:t>FW, fresh weight</w:t>
      </w:r>
      <w:r w:rsidR="001E38F0" w:rsidRPr="00343090">
        <w:rPr>
          <w:b w:val="0"/>
          <w:color w:val="auto"/>
          <w:lang w:val="en-US"/>
        </w:rPr>
        <w:t>.</w:t>
      </w:r>
      <w:proofErr w:type="gramEnd"/>
    </w:p>
    <w:p w:rsidR="00C2498E" w:rsidRDefault="0040147B" w:rsidP="0027250F">
      <w:pPr>
        <w:spacing w:after="0" w:line="360" w:lineRule="auto"/>
        <w:jc w:val="both"/>
      </w:pPr>
      <w:r w:rsidRPr="00FD65FA">
        <w:lastRenderedPageBreak/>
        <w:t>Time points chosen for sampli</w:t>
      </w:r>
      <w:r>
        <w:t>ng were 24, 48, 72, 96, and 120 hpi</w:t>
      </w:r>
      <w:r w:rsidRPr="00FD65FA">
        <w:t xml:space="preserve">. </w:t>
      </w:r>
      <w:r w:rsidRPr="00071CA3">
        <w:t>Distinct disease symptoms, namely water soaked lesions, started to become visible at 48 hpi, grew very pronounced at 72 hpi</w:t>
      </w:r>
      <w:r w:rsidR="0080182F">
        <w:t>,</w:t>
      </w:r>
      <w:r w:rsidRPr="00071CA3">
        <w:t xml:space="preserve"> with</w:t>
      </w:r>
      <w:r>
        <w:t xml:space="preserve"> a complete maceration</w:t>
      </w:r>
      <w:r w:rsidRPr="00071CA3">
        <w:t xml:space="preserve"> at 96 hpi</w:t>
      </w:r>
      <w:r w:rsidR="0080182F">
        <w:t>,</w:t>
      </w:r>
      <w:r w:rsidRPr="00071CA3">
        <w:t xml:space="preserve"> and almost complete destruction of leaves at 120 hpi (data not shown). Analysis of total </w:t>
      </w:r>
      <w:r>
        <w:t>SA</w:t>
      </w:r>
      <w:r w:rsidR="0080182F">
        <w:t>-</w:t>
      </w:r>
      <w:r>
        <w:t>content showed</w:t>
      </w:r>
      <w:r w:rsidRPr="00071CA3">
        <w:t xml:space="preserve"> no significant </w:t>
      </w:r>
      <w:r w:rsidR="0080182F">
        <w:t>SA-</w:t>
      </w:r>
      <w:r w:rsidRPr="00071CA3">
        <w:t xml:space="preserve">accumulation in </w:t>
      </w:r>
      <w:r w:rsidRPr="00071CA3">
        <w:rPr>
          <w:i/>
        </w:rPr>
        <w:t>Arabidopsis</w:t>
      </w:r>
      <w:r w:rsidRPr="00071CA3">
        <w:t xml:space="preserve"> after </w:t>
      </w:r>
      <w:r w:rsidRPr="00071CA3">
        <w:rPr>
          <w:i/>
        </w:rPr>
        <w:t>B</w:t>
      </w:r>
      <w:r>
        <w:rPr>
          <w:i/>
        </w:rPr>
        <w:t xml:space="preserve">. </w:t>
      </w:r>
      <w:r w:rsidRPr="00071CA3">
        <w:rPr>
          <w:i/>
        </w:rPr>
        <w:t>c</w:t>
      </w:r>
      <w:r>
        <w:rPr>
          <w:i/>
        </w:rPr>
        <w:t>inerea</w:t>
      </w:r>
      <w:r>
        <w:t xml:space="preserve"> infection (Figure 33 A). L</w:t>
      </w:r>
      <w:r w:rsidRPr="00071CA3">
        <w:t>evels</w:t>
      </w:r>
      <w:r>
        <w:t xml:space="preserve"> of SA</w:t>
      </w:r>
      <w:r w:rsidRPr="00071CA3">
        <w:t xml:space="preserve"> range</w:t>
      </w:r>
      <w:r>
        <w:t>d</w:t>
      </w:r>
      <w:r w:rsidRPr="00071CA3">
        <w:t xml:space="preserve"> between 0.4 and 1 µg g</w:t>
      </w:r>
      <w:r w:rsidRPr="00071CA3">
        <w:rPr>
          <w:vertAlign w:val="superscript"/>
        </w:rPr>
        <w:t>-1</w:t>
      </w:r>
      <w:r w:rsidRPr="00071CA3">
        <w:t xml:space="preserve"> FW </w:t>
      </w:r>
      <w:r>
        <w:t>in non-infected leaves and</w:t>
      </w:r>
      <w:r w:rsidRPr="00071CA3">
        <w:t xml:space="preserve"> </w:t>
      </w:r>
      <w:r>
        <w:t xml:space="preserve">no </w:t>
      </w:r>
      <w:r w:rsidRPr="00071CA3">
        <w:t>significant increase</w:t>
      </w:r>
      <w:r w:rsidR="0080182F">
        <w:t>s in SA-</w:t>
      </w:r>
      <w:r>
        <w:t xml:space="preserve">levels were observed in </w:t>
      </w:r>
      <w:r w:rsidRPr="00C36782">
        <w:rPr>
          <w:i/>
        </w:rPr>
        <w:t>B.</w:t>
      </w:r>
      <w:r>
        <w:rPr>
          <w:i/>
        </w:rPr>
        <w:t xml:space="preserve"> </w:t>
      </w:r>
      <w:r w:rsidRPr="00C36782">
        <w:rPr>
          <w:i/>
        </w:rPr>
        <w:t>cinerea</w:t>
      </w:r>
      <w:r>
        <w:t>-infected leaves</w:t>
      </w:r>
      <w:r w:rsidRPr="00071CA3">
        <w:t>. In contrast to this, the indolic defence-rel</w:t>
      </w:r>
      <w:r>
        <w:t xml:space="preserve">ated metabolites camalexin (Figure 33 </w:t>
      </w:r>
      <w:r w:rsidRPr="00071CA3">
        <w:t>B) and indole-3</w:t>
      </w:r>
      <w:r>
        <w:t xml:space="preserve">-carboxylic acid (ICA) (Figure 33 </w:t>
      </w:r>
      <w:r w:rsidRPr="00071CA3">
        <w:t xml:space="preserve">D) </w:t>
      </w:r>
      <w:r>
        <w:t>exhibited</w:t>
      </w:r>
      <w:r w:rsidRPr="00071CA3">
        <w:t xml:space="preserve"> a strong accumulation at 72 hpi with </w:t>
      </w:r>
      <w:r>
        <w:t>an increase from 0.06 µg g</w:t>
      </w:r>
      <w:r w:rsidRPr="00A4135C">
        <w:rPr>
          <w:vertAlign w:val="superscript"/>
        </w:rPr>
        <w:t>-1</w:t>
      </w:r>
      <w:r>
        <w:t xml:space="preserve"> FW in control samples to </w:t>
      </w:r>
      <w:r w:rsidRPr="00071CA3">
        <w:t>4 µg g</w:t>
      </w:r>
      <w:r w:rsidRPr="00071CA3">
        <w:rPr>
          <w:vertAlign w:val="superscript"/>
        </w:rPr>
        <w:t>-1</w:t>
      </w:r>
      <w:r w:rsidRPr="00071CA3">
        <w:t xml:space="preserve"> FW </w:t>
      </w:r>
      <w:r>
        <w:t xml:space="preserve">in infected leaves </w:t>
      </w:r>
      <w:r w:rsidRPr="00071CA3">
        <w:t xml:space="preserve">for camalexin and </w:t>
      </w:r>
      <w:r>
        <w:t>0.01 µg g</w:t>
      </w:r>
      <w:r w:rsidRPr="00A4135C">
        <w:rPr>
          <w:vertAlign w:val="superscript"/>
        </w:rPr>
        <w:t>-1</w:t>
      </w:r>
      <w:r>
        <w:t xml:space="preserve"> FW in non-infected to about 0.5</w:t>
      </w:r>
      <w:r w:rsidRPr="00071CA3">
        <w:t xml:space="preserve"> µg g</w:t>
      </w:r>
      <w:r w:rsidRPr="00071CA3">
        <w:rPr>
          <w:vertAlign w:val="superscript"/>
        </w:rPr>
        <w:t>-1</w:t>
      </w:r>
      <w:r w:rsidRPr="00071CA3">
        <w:t xml:space="preserve"> FW </w:t>
      </w:r>
      <w:r>
        <w:t xml:space="preserve">in infected leaves </w:t>
      </w:r>
      <w:r w:rsidRPr="00071CA3">
        <w:t>for ICA, respectively. At late</w:t>
      </w:r>
      <w:r>
        <w:t xml:space="preserve">r time points camalexin </w:t>
      </w:r>
      <w:r w:rsidRPr="00071CA3">
        <w:t xml:space="preserve">levels </w:t>
      </w:r>
      <w:r>
        <w:t>reached amounts of approximately</w:t>
      </w:r>
      <w:r w:rsidRPr="00071CA3">
        <w:t xml:space="preserve"> 8 µg g</w:t>
      </w:r>
      <w:r w:rsidRPr="00420F6E">
        <w:rPr>
          <w:vertAlign w:val="superscript"/>
        </w:rPr>
        <w:t>-</w:t>
      </w:r>
      <w:r w:rsidRPr="00071CA3">
        <w:rPr>
          <w:vertAlign w:val="superscript"/>
        </w:rPr>
        <w:t>1</w:t>
      </w:r>
      <w:r w:rsidRPr="00071CA3">
        <w:t xml:space="preserve"> FW </w:t>
      </w:r>
      <w:r>
        <w:t xml:space="preserve">upon infection with the fungus </w:t>
      </w:r>
      <w:r w:rsidRPr="00071CA3">
        <w:t xml:space="preserve">and ICA was found to accumulate to a maximum </w:t>
      </w:r>
      <w:proofErr w:type="gramStart"/>
      <w:r w:rsidRPr="00071CA3">
        <w:t>of 3.5 µg g</w:t>
      </w:r>
      <w:r w:rsidRPr="00071CA3">
        <w:rPr>
          <w:vertAlign w:val="superscript"/>
        </w:rPr>
        <w:t>-1</w:t>
      </w:r>
      <w:r w:rsidRPr="00071CA3">
        <w:t xml:space="preserve"> FW at 96 hpi</w:t>
      </w:r>
      <w:proofErr w:type="gramEnd"/>
      <w:r w:rsidRPr="00071CA3">
        <w:t xml:space="preserve">. </w:t>
      </w:r>
      <w:r w:rsidR="00420F6E">
        <w:t>Elevated levels of t</w:t>
      </w:r>
      <w:r w:rsidRPr="00071CA3">
        <w:t xml:space="preserve">he oxylipin-derivative </w:t>
      </w:r>
      <w:r>
        <w:t>JA</w:t>
      </w:r>
      <w:r w:rsidRPr="00071CA3">
        <w:t>, a metabolite found to accumulate in plants after wounding</w:t>
      </w:r>
      <w:r>
        <w:t xml:space="preserve"> and in interactions with necrotrophs</w:t>
      </w:r>
      <w:r w:rsidRPr="00071CA3">
        <w:t xml:space="preserve">, </w:t>
      </w:r>
      <w:r w:rsidR="00420F6E">
        <w:t>were</w:t>
      </w:r>
      <w:r>
        <w:t xml:space="preserve"> first</w:t>
      </w:r>
      <w:r w:rsidRPr="00071CA3">
        <w:t xml:space="preserve"> </w:t>
      </w:r>
      <w:r>
        <w:t>detected at 72 hpi (Figure 33 C) with basal levels of 0.01 µg g</w:t>
      </w:r>
      <w:r w:rsidRPr="00A4135C">
        <w:rPr>
          <w:vertAlign w:val="superscript"/>
        </w:rPr>
        <w:t>-1</w:t>
      </w:r>
      <w:r>
        <w:t xml:space="preserve"> FW, which increased </w:t>
      </w:r>
      <w:proofErr w:type="gramStart"/>
      <w:r>
        <w:t xml:space="preserve">to </w:t>
      </w:r>
      <w:r w:rsidRPr="00071CA3">
        <w:t>0.3 µg g</w:t>
      </w:r>
      <w:r w:rsidRPr="00071CA3">
        <w:rPr>
          <w:vertAlign w:val="superscript"/>
        </w:rPr>
        <w:t>-1</w:t>
      </w:r>
      <w:r w:rsidRPr="00071CA3">
        <w:t xml:space="preserve"> FW</w:t>
      </w:r>
      <w:r>
        <w:t xml:space="preserve"> in infected leaves,</w:t>
      </w:r>
      <w:proofErr w:type="gramEnd"/>
      <w:r w:rsidRPr="00071CA3">
        <w:t xml:space="preserve"> and maximum levels of 1 µg g</w:t>
      </w:r>
      <w:r w:rsidRPr="00071CA3">
        <w:rPr>
          <w:vertAlign w:val="superscript"/>
        </w:rPr>
        <w:t>-1</w:t>
      </w:r>
      <w:r w:rsidR="0080182F">
        <w:t xml:space="preserve"> FW at 96 hpi. At 120 hpi JA-</w:t>
      </w:r>
      <w:r w:rsidRPr="00071CA3">
        <w:t xml:space="preserve">levels </w:t>
      </w:r>
      <w:r>
        <w:t>decreased</w:t>
      </w:r>
      <w:r w:rsidR="0080182F">
        <w:t xml:space="preserve"> again,</w:t>
      </w:r>
      <w:r>
        <w:t xml:space="preserve"> presumably due to severe necrosis of leaf tissue (Figure 33 </w:t>
      </w:r>
      <w:r w:rsidRPr="00071CA3">
        <w:t>C).</w:t>
      </w:r>
      <w:r>
        <w:t xml:space="preserve"> </w:t>
      </w:r>
      <w:r w:rsidR="00FD65FA" w:rsidRPr="00FD65FA">
        <w:t xml:space="preserve">Among metabolites found to accumulate after </w:t>
      </w:r>
      <w:r w:rsidR="00FD65FA" w:rsidRPr="00971ECA">
        <w:rPr>
          <w:i/>
        </w:rPr>
        <w:t>B</w:t>
      </w:r>
      <w:r w:rsidR="008A53D2" w:rsidRPr="00971ECA">
        <w:rPr>
          <w:i/>
        </w:rPr>
        <w:t>.</w:t>
      </w:r>
      <w:r w:rsidR="0080182F">
        <w:rPr>
          <w:i/>
        </w:rPr>
        <w:t xml:space="preserve"> </w:t>
      </w:r>
      <w:r w:rsidR="00FD65FA" w:rsidRPr="00971ECA">
        <w:rPr>
          <w:i/>
        </w:rPr>
        <w:t>c</w:t>
      </w:r>
      <w:r w:rsidR="008A53D2" w:rsidRPr="00971ECA">
        <w:rPr>
          <w:i/>
        </w:rPr>
        <w:t>inerea</w:t>
      </w:r>
      <w:r w:rsidR="0080182F">
        <w:t>-</w:t>
      </w:r>
      <w:r w:rsidR="008A53D2">
        <w:t xml:space="preserve">infection </w:t>
      </w:r>
      <w:proofErr w:type="gramStart"/>
      <w:r w:rsidR="008A53D2">
        <w:t>were</w:t>
      </w:r>
      <w:proofErr w:type="gramEnd"/>
      <w:r w:rsidR="008A53D2">
        <w:t xml:space="preserve"> also </w:t>
      </w:r>
      <w:r>
        <w:t>Pip</w:t>
      </w:r>
      <w:r w:rsidR="00FD65FA" w:rsidRPr="00FD65FA">
        <w:t xml:space="preserve"> and </w:t>
      </w:r>
      <w:r w:rsidR="00FD65FA" w:rsidRPr="00070C50">
        <w:rPr>
          <w:i/>
        </w:rPr>
        <w:t>γ-</w:t>
      </w:r>
      <w:r w:rsidR="00FD65FA" w:rsidRPr="00FD65FA">
        <w:t>am</w:t>
      </w:r>
      <w:r w:rsidR="008A53D2">
        <w:t>i</w:t>
      </w:r>
      <w:r w:rsidR="00A4135C">
        <w:t>nobutyric acid (GABA) (Figure 33</w:t>
      </w:r>
      <w:r w:rsidR="008A53D2">
        <w:t xml:space="preserve"> </w:t>
      </w:r>
      <w:r w:rsidR="00A4135C">
        <w:t>E; Figure 33</w:t>
      </w:r>
      <w:r w:rsidR="00E42F01">
        <w:t xml:space="preserve"> </w:t>
      </w:r>
      <w:r w:rsidR="00676CBE">
        <w:t xml:space="preserve">F). </w:t>
      </w:r>
      <w:r>
        <w:t>Pip</w:t>
      </w:r>
      <w:r w:rsidR="00A4135C">
        <w:t xml:space="preserve"> showed</w:t>
      </w:r>
      <w:r w:rsidR="00785D60">
        <w:t xml:space="preserve"> unusually high basal levels</w:t>
      </w:r>
      <w:r w:rsidR="00AD0F7C">
        <w:t xml:space="preserve"> in this experiment,</w:t>
      </w:r>
      <w:r w:rsidR="00785D60">
        <w:t xml:space="preserve"> with</w:t>
      </w:r>
      <w:r w:rsidR="00A4135C">
        <w:t xml:space="preserve"> 5 µg g</w:t>
      </w:r>
      <w:r w:rsidR="00A4135C" w:rsidRPr="00785D60">
        <w:rPr>
          <w:vertAlign w:val="superscript"/>
        </w:rPr>
        <w:t>-1</w:t>
      </w:r>
      <w:r w:rsidR="00A4135C">
        <w:t xml:space="preserve"> FW</w:t>
      </w:r>
      <w:r w:rsidR="00AD0F7C">
        <w:t xml:space="preserve"> in non-infected leaves, which increased</w:t>
      </w:r>
      <w:r w:rsidR="00A4135C">
        <w:t xml:space="preserve"> to</w:t>
      </w:r>
      <w:r w:rsidR="00FD65FA" w:rsidRPr="00FD65FA">
        <w:t xml:space="preserve"> </w:t>
      </w:r>
      <w:proofErr w:type="gramStart"/>
      <w:r w:rsidR="00FD65FA" w:rsidRPr="00FD65FA">
        <w:t>8 µg g</w:t>
      </w:r>
      <w:r w:rsidR="00FD65FA" w:rsidRPr="00FD65FA">
        <w:rPr>
          <w:vertAlign w:val="superscript"/>
        </w:rPr>
        <w:t>-1</w:t>
      </w:r>
      <w:r w:rsidR="007379DE">
        <w:t xml:space="preserve"> FW at 72 </w:t>
      </w:r>
      <w:r>
        <w:t>hpi</w:t>
      </w:r>
      <w:proofErr w:type="gramEnd"/>
      <w:r>
        <w:t xml:space="preserve"> and this amount</w:t>
      </w:r>
      <w:r w:rsidR="00AD0F7C">
        <w:t xml:space="preserve"> </w:t>
      </w:r>
      <w:r w:rsidR="00A4135C">
        <w:t>seemed</w:t>
      </w:r>
      <w:r w:rsidR="00785D60">
        <w:t xml:space="preserve"> to be the peak</w:t>
      </w:r>
      <w:r w:rsidR="00FD65FA" w:rsidRPr="00FD65FA">
        <w:t xml:space="preserve"> a</w:t>
      </w:r>
      <w:r w:rsidR="00AD0F7C">
        <w:t>ccumulation as it</w:t>
      </w:r>
      <w:r w:rsidR="00785D60">
        <w:t xml:space="preserve"> did not accumulate to comparatively high levels</w:t>
      </w:r>
      <w:r w:rsidR="008A53D2">
        <w:t xml:space="preserve"> at later time point</w:t>
      </w:r>
      <w:r w:rsidR="00A4135C">
        <w:t>s (Figure 33</w:t>
      </w:r>
      <w:r w:rsidR="00676CBE">
        <w:t xml:space="preserve"> E). </w:t>
      </w:r>
      <w:r w:rsidR="00A4135C">
        <w:t xml:space="preserve">Basal levels for </w:t>
      </w:r>
      <w:r w:rsidR="00676CBE">
        <w:t>GABA</w:t>
      </w:r>
      <w:r w:rsidR="00A4135C">
        <w:t xml:space="preserve"> </w:t>
      </w:r>
      <w:r w:rsidR="00785D60">
        <w:t>were about 2 µg g</w:t>
      </w:r>
      <w:r w:rsidR="00785D60" w:rsidRPr="00785D60">
        <w:rPr>
          <w:vertAlign w:val="superscript"/>
        </w:rPr>
        <w:t>-1</w:t>
      </w:r>
      <w:r w:rsidR="00785D60">
        <w:t xml:space="preserve"> FW and accumulated </w:t>
      </w:r>
      <w:proofErr w:type="gramStart"/>
      <w:r w:rsidR="00785D60">
        <w:t xml:space="preserve">to </w:t>
      </w:r>
      <w:r w:rsidR="00FD65FA" w:rsidRPr="00FD65FA">
        <w:t>approximately 6 µg g</w:t>
      </w:r>
      <w:r w:rsidR="00FD65FA" w:rsidRPr="00FD65FA">
        <w:rPr>
          <w:vertAlign w:val="superscript"/>
        </w:rPr>
        <w:t>-1</w:t>
      </w:r>
      <w:r w:rsidR="00785D60">
        <w:t xml:space="preserve"> FW </w:t>
      </w:r>
      <w:r w:rsidR="003B6C79">
        <w:t xml:space="preserve">upon infection with </w:t>
      </w:r>
      <w:r w:rsidR="003B6C79" w:rsidRPr="003B6C79">
        <w:rPr>
          <w:i/>
        </w:rPr>
        <w:t>B.</w:t>
      </w:r>
      <w:r>
        <w:rPr>
          <w:i/>
        </w:rPr>
        <w:t xml:space="preserve"> </w:t>
      </w:r>
      <w:r w:rsidR="003B6C79" w:rsidRPr="003B6C79">
        <w:rPr>
          <w:i/>
        </w:rPr>
        <w:t>cinerea</w:t>
      </w:r>
      <w:r w:rsidR="003B6C79">
        <w:t xml:space="preserve"> </w:t>
      </w:r>
      <w:r w:rsidR="00785D60">
        <w:t>(Figure 33</w:t>
      </w:r>
      <w:r w:rsidR="008A53D2">
        <w:t xml:space="preserve"> </w:t>
      </w:r>
      <w:r w:rsidR="00FD65FA" w:rsidRPr="00FD65FA">
        <w:t>F)</w:t>
      </w:r>
      <w:proofErr w:type="gramEnd"/>
      <w:r w:rsidR="00FD65FA" w:rsidRPr="00FD65FA">
        <w:t>.</w:t>
      </w:r>
      <w:r w:rsidR="00785D60">
        <w:t xml:space="preserve"> Simil</w:t>
      </w:r>
      <w:r>
        <w:t>ar</w:t>
      </w:r>
      <w:r w:rsidR="00785D60">
        <w:t xml:space="preserve"> to JA and Pip, GABA levels decrease</w:t>
      </w:r>
      <w:r w:rsidR="0080182F">
        <w:t>d</w:t>
      </w:r>
      <w:r w:rsidR="00785D60">
        <w:t xml:space="preserve"> at time points later than 72 hpi</w:t>
      </w:r>
      <w:r>
        <w:t>, which correlates</w:t>
      </w:r>
      <w:r w:rsidR="00785D60">
        <w:t xml:space="preserve"> </w:t>
      </w:r>
      <w:r w:rsidR="003B6C79">
        <w:t>with</w:t>
      </w:r>
      <w:r>
        <w:t xml:space="preserve"> the progression of tissue necrosis</w:t>
      </w:r>
      <w:r w:rsidR="003B6C79">
        <w:t xml:space="preserve"> </w:t>
      </w:r>
      <w:r w:rsidR="00785D60">
        <w:t>(Figure 33 F).</w:t>
      </w:r>
      <w:r w:rsidR="00FD65FA" w:rsidRPr="00FD65FA">
        <w:t xml:space="preserve"> Analysis of metabolite accumulation in </w:t>
      </w:r>
      <w:r w:rsidR="00FD65FA" w:rsidRPr="00FD65FA">
        <w:rPr>
          <w:i/>
        </w:rPr>
        <w:t>A</w:t>
      </w:r>
      <w:r w:rsidR="0080182F">
        <w:rPr>
          <w:i/>
        </w:rPr>
        <w:t>.</w:t>
      </w:r>
      <w:r w:rsidR="003B6C79">
        <w:rPr>
          <w:i/>
        </w:rPr>
        <w:t xml:space="preserve"> thaliana</w:t>
      </w:r>
      <w:r w:rsidR="00FD65FA" w:rsidRPr="00FD65FA">
        <w:t xml:space="preserve"> after </w:t>
      </w:r>
      <w:r w:rsidR="00FD65FA" w:rsidRPr="00FD65FA">
        <w:rPr>
          <w:i/>
        </w:rPr>
        <w:t>B</w:t>
      </w:r>
      <w:r w:rsidR="008A53D2">
        <w:rPr>
          <w:i/>
        </w:rPr>
        <w:t>.</w:t>
      </w:r>
      <w:r>
        <w:rPr>
          <w:i/>
        </w:rPr>
        <w:t xml:space="preserve"> </w:t>
      </w:r>
      <w:r w:rsidR="00FD65FA" w:rsidRPr="00FD65FA">
        <w:rPr>
          <w:i/>
        </w:rPr>
        <w:t>c</w:t>
      </w:r>
      <w:r w:rsidR="008A53D2">
        <w:rPr>
          <w:i/>
        </w:rPr>
        <w:t>inerea</w:t>
      </w:r>
      <w:r w:rsidR="0080182F">
        <w:t>-</w:t>
      </w:r>
      <w:r w:rsidR="00FD65FA" w:rsidRPr="00FD65FA">
        <w:t>infection yielded not only known defence-related metaboli</w:t>
      </w:r>
      <w:r>
        <w:t xml:space="preserve">tes, but also a </w:t>
      </w:r>
      <w:r w:rsidR="0080182F">
        <w:t>number</w:t>
      </w:r>
      <w:r w:rsidR="00E42F01">
        <w:t xml:space="preserve"> of unknown ones (</w:t>
      </w:r>
      <w:r w:rsidR="003B6C79">
        <w:t>T</w:t>
      </w:r>
      <w:r w:rsidR="00785D60">
        <w:t>able 2</w:t>
      </w:r>
      <w:r w:rsidR="00FD65FA" w:rsidRPr="00FD65FA">
        <w:t xml:space="preserve">). </w:t>
      </w:r>
      <w:r w:rsidRPr="00FD65FA">
        <w:t xml:space="preserve">One striking metabolite was named </w:t>
      </w:r>
      <w:r>
        <w:t>“</w:t>
      </w:r>
      <w:r w:rsidR="000B4D4B">
        <w:t>u</w:t>
      </w:r>
      <w:r w:rsidRPr="00FD65FA">
        <w:t>nknown 13</w:t>
      </w:r>
      <w:r>
        <w:t>”</w:t>
      </w:r>
      <w:r w:rsidRPr="00FD65FA">
        <w:t xml:space="preserve"> and found only in the </w:t>
      </w:r>
      <w:r w:rsidRPr="00FD65FA">
        <w:rPr>
          <w:i/>
        </w:rPr>
        <w:t>Arabidopsis-Botrytis</w:t>
      </w:r>
      <w:r w:rsidRPr="00FD65FA">
        <w:t xml:space="preserve"> </w:t>
      </w:r>
      <w:r>
        <w:t>interaction (Figure 34; Table 5). This</w:t>
      </w:r>
      <w:r w:rsidRPr="00FD65FA">
        <w:t xml:space="preserve"> substance, obtained </w:t>
      </w:r>
      <w:r w:rsidR="00C2498E">
        <w:t>via</w:t>
      </w:r>
      <w:r>
        <w:t xml:space="preserve"> amino acid extraction</w:t>
      </w:r>
      <w:r w:rsidRPr="00FD65FA">
        <w:t>, had a</w:t>
      </w:r>
      <w:r>
        <w:t xml:space="preserve"> retention time of</w:t>
      </w:r>
      <w:r w:rsidRPr="00FD65FA">
        <w:t xml:space="preserve"> 18</w:t>
      </w:r>
      <w:r>
        <w:t>.10</w:t>
      </w:r>
      <w:r w:rsidRPr="00FD65FA">
        <w:t xml:space="preserve"> minutes and a mass spectrum with the prominen</w:t>
      </w:r>
      <w:r>
        <w:t xml:space="preserve">t masses of 70 and 112 (Figure 34 </w:t>
      </w:r>
      <w:r w:rsidRPr="00FD65FA">
        <w:t>A). This presumed amino acid or amino acid derivative was not detected in mock-treated leaves an</w:t>
      </w:r>
      <w:r>
        <w:t>d found to increase more than 500-fold</w:t>
      </w:r>
      <w:r w:rsidRPr="00FD65FA">
        <w:t xml:space="preserve"> in </w:t>
      </w:r>
      <w:r w:rsidRPr="00FD65FA">
        <w:rPr>
          <w:i/>
        </w:rPr>
        <w:t>B</w:t>
      </w:r>
      <w:r w:rsidR="00C2498E">
        <w:rPr>
          <w:i/>
        </w:rPr>
        <w:t>.</w:t>
      </w:r>
      <w:r>
        <w:rPr>
          <w:i/>
        </w:rPr>
        <w:t xml:space="preserve"> </w:t>
      </w:r>
      <w:r w:rsidRPr="00FD65FA">
        <w:rPr>
          <w:i/>
        </w:rPr>
        <w:t>c</w:t>
      </w:r>
      <w:r>
        <w:rPr>
          <w:i/>
        </w:rPr>
        <w:t>inerea</w:t>
      </w:r>
      <w:r>
        <w:t xml:space="preserve">-infected leaves at 72 hpi (Figure 34 </w:t>
      </w:r>
      <w:r w:rsidRPr="00FD65FA">
        <w:t xml:space="preserve">B). </w:t>
      </w:r>
      <w:r>
        <w:t xml:space="preserve">Levels of this compound increased further at later time points, making it a very interesting candidate to study in the </w:t>
      </w:r>
      <w:r w:rsidRPr="00560F45">
        <w:rPr>
          <w:i/>
        </w:rPr>
        <w:t>Arabidopsis-Botrytis</w:t>
      </w:r>
      <w:r>
        <w:t xml:space="preserve"> interaction.</w:t>
      </w:r>
      <w:r w:rsidRPr="0040147B">
        <w:t xml:space="preserve"> </w:t>
      </w:r>
    </w:p>
    <w:p w:rsidR="0027250F" w:rsidRDefault="0040147B" w:rsidP="00C2498E">
      <w:pPr>
        <w:spacing w:after="0" w:line="360" w:lineRule="auto"/>
        <w:ind w:firstLine="708"/>
        <w:jc w:val="both"/>
      </w:pPr>
      <w:r w:rsidRPr="00FD65FA">
        <w:t xml:space="preserve">In order to shed </w:t>
      </w:r>
      <w:r w:rsidR="0094574D">
        <w:t xml:space="preserve">more </w:t>
      </w:r>
      <w:r w:rsidRPr="00FD65FA">
        <w:t xml:space="preserve">light on defence mechanisms against </w:t>
      </w:r>
      <w:r w:rsidRPr="00FD65FA">
        <w:rPr>
          <w:i/>
        </w:rPr>
        <w:t>B</w:t>
      </w:r>
      <w:r>
        <w:rPr>
          <w:i/>
        </w:rPr>
        <w:t>.</w:t>
      </w:r>
      <w:r w:rsidR="00C2498E">
        <w:rPr>
          <w:i/>
        </w:rPr>
        <w:t xml:space="preserve"> </w:t>
      </w:r>
      <w:r w:rsidRPr="00FD65FA">
        <w:rPr>
          <w:i/>
        </w:rPr>
        <w:t>c</w:t>
      </w:r>
      <w:r>
        <w:rPr>
          <w:i/>
        </w:rPr>
        <w:t>inerea</w:t>
      </w:r>
      <w:r w:rsidRPr="00FD65FA">
        <w:t xml:space="preserve">, metabolite accumulation in </w:t>
      </w:r>
      <w:r w:rsidR="00C2498E">
        <w:t xml:space="preserve">several </w:t>
      </w:r>
      <w:r w:rsidR="00C2498E" w:rsidRPr="00C2498E">
        <w:rPr>
          <w:i/>
        </w:rPr>
        <w:t>Arabidopsis</w:t>
      </w:r>
      <w:r w:rsidR="00C2498E">
        <w:t xml:space="preserve"> </w:t>
      </w:r>
      <w:r w:rsidRPr="00FD65FA">
        <w:t xml:space="preserve">mutant lines 72 h after </w:t>
      </w:r>
      <w:r>
        <w:rPr>
          <w:i/>
        </w:rPr>
        <w:t>Botrytis</w:t>
      </w:r>
      <w:r w:rsidRPr="00FD65FA">
        <w:t xml:space="preserve"> infection was monitored. </w:t>
      </w:r>
      <w:r>
        <w:lastRenderedPageBreak/>
        <w:t xml:space="preserve">Plant lines used in this experiment were the Pip-deficient mutant </w:t>
      </w:r>
      <w:r w:rsidRPr="0027250F">
        <w:rPr>
          <w:i/>
        </w:rPr>
        <w:t>ald1</w:t>
      </w:r>
      <w:r>
        <w:t xml:space="preserve">, the SAR-deficient </w:t>
      </w:r>
      <w:r w:rsidRPr="0027250F">
        <w:rPr>
          <w:i/>
        </w:rPr>
        <w:t>fmo1</w:t>
      </w:r>
      <w:r>
        <w:t xml:space="preserve">, the ethylene receptor mutant lines </w:t>
      </w:r>
      <w:r w:rsidRPr="0027250F">
        <w:rPr>
          <w:i/>
        </w:rPr>
        <w:t>ein2-1</w:t>
      </w:r>
      <w:r>
        <w:t xml:space="preserve"> and </w:t>
      </w:r>
      <w:r w:rsidRPr="0027250F">
        <w:rPr>
          <w:i/>
        </w:rPr>
        <w:t>etr1-1</w:t>
      </w:r>
      <w:r>
        <w:t xml:space="preserve">, the </w:t>
      </w:r>
      <w:r w:rsidR="00862CE6">
        <w:t>JA-receptor</w:t>
      </w:r>
      <w:r>
        <w:t xml:space="preserve"> mutant </w:t>
      </w:r>
      <w:r w:rsidRPr="0027250F">
        <w:rPr>
          <w:i/>
        </w:rPr>
        <w:t>coi1</w:t>
      </w:r>
      <w:r w:rsidRPr="0027250F">
        <w:t>,</w:t>
      </w:r>
      <w:r>
        <w:t xml:space="preserve"> as well as the camalexin-deficient lines </w:t>
      </w:r>
      <w:r w:rsidRPr="0027250F">
        <w:rPr>
          <w:i/>
        </w:rPr>
        <w:t>pad2</w:t>
      </w:r>
      <w:r>
        <w:t xml:space="preserve"> and </w:t>
      </w:r>
      <w:r w:rsidRPr="0027250F">
        <w:rPr>
          <w:i/>
        </w:rPr>
        <w:t>pad3</w:t>
      </w:r>
      <w:r>
        <w:t xml:space="preserve">, and the SA-deficient line </w:t>
      </w:r>
      <w:r w:rsidRPr="0027250F">
        <w:rPr>
          <w:i/>
        </w:rPr>
        <w:t>sid2</w:t>
      </w:r>
      <w:r>
        <w:t>. Basal levels between 0.3 and 0.5 µg g</w:t>
      </w:r>
      <w:r w:rsidRPr="008E434F">
        <w:rPr>
          <w:vertAlign w:val="superscript"/>
        </w:rPr>
        <w:t>-1</w:t>
      </w:r>
      <w:r>
        <w:t xml:space="preserve"> FW were detected for t</w:t>
      </w:r>
      <w:r w:rsidRPr="00FD65FA">
        <w:t>o</w:t>
      </w:r>
      <w:r>
        <w:t xml:space="preserve">tal SA in Col-0, </w:t>
      </w:r>
      <w:r w:rsidRPr="008E434F">
        <w:rPr>
          <w:i/>
        </w:rPr>
        <w:t>ald1, pad2</w:t>
      </w:r>
      <w:r>
        <w:t xml:space="preserve">, and </w:t>
      </w:r>
      <w:r w:rsidRPr="008E434F">
        <w:rPr>
          <w:i/>
        </w:rPr>
        <w:t>pad3</w:t>
      </w:r>
      <w:r>
        <w:t xml:space="preserve">, which did not increase upon </w:t>
      </w:r>
      <w:r w:rsidRPr="00D859B8">
        <w:rPr>
          <w:i/>
        </w:rPr>
        <w:t>B.</w:t>
      </w:r>
      <w:r w:rsidR="00C2498E">
        <w:rPr>
          <w:i/>
        </w:rPr>
        <w:t xml:space="preserve"> </w:t>
      </w:r>
      <w:r w:rsidRPr="00D859B8">
        <w:rPr>
          <w:i/>
        </w:rPr>
        <w:t>cinerea</w:t>
      </w:r>
      <w:r>
        <w:t xml:space="preserve"> infection (Figure 35 A). </w:t>
      </w:r>
    </w:p>
    <w:p w:rsidR="009846F5" w:rsidRDefault="009846F5" w:rsidP="00DC07BA">
      <w:pPr>
        <w:keepNext/>
        <w:spacing w:after="0" w:line="360" w:lineRule="auto"/>
        <w:jc w:val="both"/>
      </w:pPr>
    </w:p>
    <w:p w:rsidR="001E38F0" w:rsidRDefault="00E013F2" w:rsidP="00DC07BA">
      <w:pPr>
        <w:keepNext/>
        <w:spacing w:after="0" w:line="360" w:lineRule="auto"/>
        <w:jc w:val="both"/>
      </w:pPr>
      <w:r>
        <w:rPr>
          <w:noProof/>
          <w:lang w:val="de-DE" w:eastAsia="de-DE"/>
        </w:rPr>
        <w:drawing>
          <wp:anchor distT="0" distB="0" distL="114300" distR="114300" simplePos="0" relativeHeight="251694080" behindDoc="0" locked="0" layoutInCell="1" allowOverlap="1" wp14:anchorId="4D3E66A4" wp14:editId="6DF48BD3">
            <wp:simplePos x="895350" y="1990725"/>
            <wp:positionH relativeFrom="page">
              <wp:align>center</wp:align>
            </wp:positionH>
            <wp:positionV relativeFrom="paragraph">
              <wp:posOffset>0</wp:posOffset>
            </wp:positionV>
            <wp:extent cx="5760000" cy="5299200"/>
            <wp:effectExtent l="19050" t="19050" r="12700" b="15875"/>
            <wp:wrapTopAndBottom/>
            <wp:docPr id="62" name="Grafik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known 13.png"/>
                    <pic:cNvPicPr/>
                  </pic:nvPicPr>
                  <pic:blipFill>
                    <a:blip r:embed="rId63" cstate="print">
                      <a:extLst>
                        <a:ext uri="{28A0092B-C50C-407E-A947-70E740481C1C}">
                          <a14:useLocalDpi xmlns:a14="http://schemas.microsoft.com/office/drawing/2010/main" val="0"/>
                        </a:ext>
                      </a:extLst>
                    </a:blip>
                    <a:stretch>
                      <a:fillRect/>
                    </a:stretch>
                  </pic:blipFill>
                  <pic:spPr>
                    <a:xfrm>
                      <a:off x="0" y="0"/>
                      <a:ext cx="5760000" cy="5299200"/>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p>
    <w:p w:rsidR="001E38F0" w:rsidRPr="00343090" w:rsidRDefault="001E38F0" w:rsidP="0040147B">
      <w:pPr>
        <w:pStyle w:val="Beschriftung"/>
        <w:spacing w:after="0" w:line="360" w:lineRule="auto"/>
        <w:jc w:val="both"/>
        <w:rPr>
          <w:color w:val="auto"/>
          <w:lang w:val="en-US"/>
        </w:rPr>
      </w:pPr>
      <w:bookmarkStart w:id="82" w:name="_Toc435621152"/>
      <w:proofErr w:type="gramStart"/>
      <w:r w:rsidRPr="00343090">
        <w:rPr>
          <w:color w:val="auto"/>
        </w:rPr>
        <w:t xml:space="preserve">Figure </w:t>
      </w:r>
      <w:r w:rsidRPr="00343090">
        <w:rPr>
          <w:color w:val="auto"/>
        </w:rPr>
        <w:fldChar w:fldCharType="begin"/>
      </w:r>
      <w:r w:rsidRPr="00343090">
        <w:rPr>
          <w:color w:val="auto"/>
        </w:rPr>
        <w:instrText xml:space="preserve"> SEQ Figure \* ARABIC </w:instrText>
      </w:r>
      <w:r w:rsidRPr="00343090">
        <w:rPr>
          <w:color w:val="auto"/>
        </w:rPr>
        <w:fldChar w:fldCharType="separate"/>
      </w:r>
      <w:r w:rsidR="00CB17FE">
        <w:rPr>
          <w:noProof/>
          <w:color w:val="auto"/>
        </w:rPr>
        <w:t>34</w:t>
      </w:r>
      <w:r w:rsidRPr="00343090">
        <w:rPr>
          <w:color w:val="auto"/>
        </w:rPr>
        <w:fldChar w:fldCharType="end"/>
      </w:r>
      <w:r w:rsidR="0096402E">
        <w:rPr>
          <w:color w:val="auto"/>
        </w:rPr>
        <w:t>.</w:t>
      </w:r>
      <w:proofErr w:type="gramEnd"/>
      <w:r w:rsidRPr="00343090">
        <w:rPr>
          <w:color w:val="auto"/>
        </w:rPr>
        <w:t xml:space="preserve"> </w:t>
      </w:r>
      <w:r w:rsidRPr="00343090">
        <w:rPr>
          <w:color w:val="auto"/>
          <w:lang w:val="en-US"/>
        </w:rPr>
        <w:t xml:space="preserve">Infection of </w:t>
      </w:r>
      <w:r w:rsidRPr="00343090">
        <w:rPr>
          <w:i/>
          <w:color w:val="auto"/>
          <w:lang w:val="en-US"/>
        </w:rPr>
        <w:t>Arabidopsis thaliana</w:t>
      </w:r>
      <w:r w:rsidRPr="00343090">
        <w:rPr>
          <w:color w:val="auto"/>
          <w:lang w:val="en-US"/>
        </w:rPr>
        <w:t xml:space="preserve"> Col-0 with the necrotrophic fungus </w:t>
      </w:r>
      <w:r w:rsidRPr="00343090">
        <w:rPr>
          <w:i/>
          <w:color w:val="auto"/>
          <w:lang w:val="en-US"/>
        </w:rPr>
        <w:t>B</w:t>
      </w:r>
      <w:r w:rsidR="0080182F">
        <w:rPr>
          <w:i/>
          <w:color w:val="auto"/>
          <w:lang w:val="en-US"/>
        </w:rPr>
        <w:t>.</w:t>
      </w:r>
      <w:r w:rsidRPr="00343090">
        <w:rPr>
          <w:i/>
          <w:color w:val="auto"/>
          <w:lang w:val="en-US"/>
        </w:rPr>
        <w:t xml:space="preserve"> cinerea</w:t>
      </w:r>
      <w:r w:rsidRPr="00343090">
        <w:rPr>
          <w:color w:val="auto"/>
          <w:lang w:val="en-US"/>
        </w:rPr>
        <w:t xml:space="preserve"> leads to the accumulation of a number of unknown metabolites.</w:t>
      </w:r>
      <w:bookmarkEnd w:id="82"/>
      <w:r w:rsidRPr="00343090">
        <w:rPr>
          <w:color w:val="auto"/>
          <w:lang w:val="en-US"/>
        </w:rPr>
        <w:t xml:space="preserve"> </w:t>
      </w:r>
    </w:p>
    <w:p w:rsidR="001E38F0" w:rsidRPr="00343090" w:rsidRDefault="000A0576" w:rsidP="001E38F0">
      <w:pPr>
        <w:pStyle w:val="Beschriftung"/>
        <w:jc w:val="both"/>
        <w:rPr>
          <w:b w:val="0"/>
          <w:color w:val="auto"/>
          <w:lang w:val="en-US"/>
        </w:rPr>
      </w:pPr>
      <w:r w:rsidRPr="00343090">
        <w:rPr>
          <w:b w:val="0"/>
          <w:color w:val="auto"/>
          <w:lang w:val="en-US"/>
        </w:rPr>
        <w:t xml:space="preserve">Plants were </w:t>
      </w:r>
      <w:r w:rsidR="00D859B8" w:rsidRPr="00343090">
        <w:rPr>
          <w:b w:val="0"/>
          <w:color w:val="auto"/>
          <w:lang w:val="en-US"/>
        </w:rPr>
        <w:t>treated as described in figure 33</w:t>
      </w:r>
      <w:r w:rsidRPr="00343090">
        <w:rPr>
          <w:b w:val="0"/>
          <w:color w:val="auto"/>
          <w:lang w:val="en-US"/>
        </w:rPr>
        <w:t xml:space="preserve">, kept in high air humidity for 3 days and analysed for accumulation of defence compounds. </w:t>
      </w:r>
      <w:r w:rsidR="001E38F0" w:rsidRPr="00343090">
        <w:rPr>
          <w:b w:val="0"/>
          <w:color w:val="auto"/>
          <w:lang w:val="en-US"/>
        </w:rPr>
        <w:t>Mass spectru</w:t>
      </w:r>
      <w:r w:rsidR="00D859B8" w:rsidRPr="00343090">
        <w:rPr>
          <w:b w:val="0"/>
          <w:color w:val="auto"/>
          <w:lang w:val="en-US"/>
        </w:rPr>
        <w:t>m (A) of the unknown amino acid or amino acid derivative</w:t>
      </w:r>
      <w:r w:rsidR="001E38F0" w:rsidRPr="00343090">
        <w:rPr>
          <w:b w:val="0"/>
          <w:color w:val="auto"/>
          <w:lang w:val="en-US"/>
        </w:rPr>
        <w:t xml:space="preserve"> with the distinct ions 70 and 112</w:t>
      </w:r>
      <w:r w:rsidR="00D859B8" w:rsidRPr="00343090">
        <w:rPr>
          <w:b w:val="0"/>
          <w:color w:val="auto"/>
          <w:lang w:val="en-US"/>
        </w:rPr>
        <w:t>,</w:t>
      </w:r>
      <w:r w:rsidR="001E38F0" w:rsidRPr="00343090">
        <w:rPr>
          <w:b w:val="0"/>
          <w:color w:val="auto"/>
          <w:lang w:val="en-US"/>
        </w:rPr>
        <w:t xml:space="preserve"> which accumul</w:t>
      </w:r>
      <w:r w:rsidR="00D859B8" w:rsidRPr="00343090">
        <w:rPr>
          <w:b w:val="0"/>
          <w:color w:val="auto"/>
          <w:lang w:val="en-US"/>
        </w:rPr>
        <w:t>ated</w:t>
      </w:r>
      <w:r w:rsidR="001E38F0" w:rsidRPr="00343090">
        <w:rPr>
          <w:b w:val="0"/>
          <w:color w:val="auto"/>
          <w:lang w:val="en-US"/>
        </w:rPr>
        <w:t xml:space="preserve"> to high amounts in </w:t>
      </w:r>
      <w:r w:rsidR="001E38F0" w:rsidRPr="00343090">
        <w:rPr>
          <w:b w:val="0"/>
          <w:i/>
          <w:color w:val="auto"/>
          <w:lang w:val="en-US"/>
        </w:rPr>
        <w:t>Arabidopsis</w:t>
      </w:r>
      <w:r w:rsidR="001E38F0" w:rsidRPr="00343090">
        <w:rPr>
          <w:b w:val="0"/>
          <w:color w:val="auto"/>
          <w:lang w:val="en-US"/>
        </w:rPr>
        <w:t xml:space="preserve"> after infection with </w:t>
      </w:r>
      <w:r w:rsidR="001E38F0" w:rsidRPr="00343090">
        <w:rPr>
          <w:b w:val="0"/>
          <w:i/>
          <w:color w:val="auto"/>
          <w:lang w:val="en-US"/>
        </w:rPr>
        <w:t>B.</w:t>
      </w:r>
      <w:r w:rsidR="0040147B">
        <w:rPr>
          <w:b w:val="0"/>
          <w:i/>
          <w:color w:val="auto"/>
          <w:lang w:val="en-US"/>
        </w:rPr>
        <w:t xml:space="preserve"> </w:t>
      </w:r>
      <w:r w:rsidR="001E38F0" w:rsidRPr="00343090">
        <w:rPr>
          <w:b w:val="0"/>
          <w:i/>
          <w:color w:val="auto"/>
          <w:lang w:val="en-US"/>
        </w:rPr>
        <w:t>cinerea</w:t>
      </w:r>
      <w:r w:rsidR="001E38F0" w:rsidRPr="00343090">
        <w:rPr>
          <w:b w:val="0"/>
          <w:color w:val="auto"/>
          <w:lang w:val="en-US"/>
        </w:rPr>
        <w:t xml:space="preserve"> (B). </w:t>
      </w:r>
      <w:r w:rsidR="00070C50" w:rsidRPr="00343090">
        <w:rPr>
          <w:b w:val="0"/>
          <w:color w:val="auto"/>
          <w:lang w:val="en-US"/>
        </w:rPr>
        <w:t xml:space="preserve">The content of this substance in leaf samples is given as relative amount per g FW, as no correction factor is established yet and was therefore assumed 1. </w:t>
      </w:r>
      <w:r w:rsidR="001E38F0" w:rsidRPr="00343090">
        <w:rPr>
          <w:b w:val="0"/>
          <w:color w:val="auto"/>
          <w:lang w:val="en-US"/>
        </w:rPr>
        <w:t xml:space="preserve">Bars show the mean ±SD of at least three replicates, asterisks above the bars denote significant statistical differences between non-infected and infected plants (two-tailed </w:t>
      </w:r>
      <w:r w:rsidR="001E38F0" w:rsidRPr="00343090">
        <w:rPr>
          <w:b w:val="0"/>
          <w:i/>
          <w:color w:val="auto"/>
          <w:lang w:val="en-US"/>
        </w:rPr>
        <w:t>t</w:t>
      </w:r>
      <w:r w:rsidR="001E38F0" w:rsidRPr="00343090">
        <w:rPr>
          <w:b w:val="0"/>
          <w:color w:val="auto"/>
          <w:lang w:val="en-US"/>
        </w:rPr>
        <w:t xml:space="preserve"> test; *, P&lt; 0.05; **, P&lt; 0.01; ***, P&lt; 0.001). </w:t>
      </w:r>
      <w:proofErr w:type="gramStart"/>
      <w:r w:rsidR="001E38F0" w:rsidRPr="00343090">
        <w:rPr>
          <w:b w:val="0"/>
          <w:color w:val="auto"/>
          <w:lang w:val="en-US"/>
        </w:rPr>
        <w:t>FW, fresh weight.</w:t>
      </w:r>
      <w:proofErr w:type="gramEnd"/>
    </w:p>
    <w:p w:rsidR="002F715B" w:rsidRDefault="00C2498E" w:rsidP="00C2498E">
      <w:pPr>
        <w:keepNext/>
        <w:spacing w:line="360" w:lineRule="auto"/>
        <w:jc w:val="both"/>
      </w:pPr>
      <w:r>
        <w:rPr>
          <w:lang w:val="en-US"/>
        </w:rPr>
        <w:t>Basal SA</w:t>
      </w:r>
      <w:r w:rsidR="000B4D4B">
        <w:t>-</w:t>
      </w:r>
      <w:r w:rsidRPr="0036564F">
        <w:t xml:space="preserve">levels in </w:t>
      </w:r>
      <w:r w:rsidRPr="0036564F">
        <w:rPr>
          <w:i/>
        </w:rPr>
        <w:t>sid2</w:t>
      </w:r>
      <w:r>
        <w:t xml:space="preserve"> were with</w:t>
      </w:r>
      <w:r w:rsidRPr="0036564F">
        <w:t xml:space="preserve"> 0.1 µg g</w:t>
      </w:r>
      <w:r w:rsidRPr="0036564F">
        <w:rPr>
          <w:vertAlign w:val="superscript"/>
        </w:rPr>
        <w:t>-1</w:t>
      </w:r>
      <w:r w:rsidRPr="0036564F">
        <w:t xml:space="preserve"> FW below </w:t>
      </w:r>
      <w:r w:rsidR="00862CE6">
        <w:t>WT-levels</w:t>
      </w:r>
      <w:r w:rsidRPr="0036564F">
        <w:t xml:space="preserve"> and also</w:t>
      </w:r>
      <w:r w:rsidRPr="00D859B8">
        <w:t xml:space="preserve"> did not increase</w:t>
      </w:r>
      <w:r>
        <w:t xml:space="preserve"> during infection</w:t>
      </w:r>
      <w:r w:rsidRPr="00D859B8">
        <w:t xml:space="preserve">. A slight increase in total SA was observed in </w:t>
      </w:r>
      <w:r w:rsidRPr="00D859B8">
        <w:rPr>
          <w:i/>
        </w:rPr>
        <w:t>coi1, etr1-1,</w:t>
      </w:r>
      <w:r w:rsidRPr="00D859B8">
        <w:t xml:space="preserve"> and </w:t>
      </w:r>
      <w:r w:rsidRPr="00D859B8">
        <w:rPr>
          <w:i/>
        </w:rPr>
        <w:t xml:space="preserve">fmo1, </w:t>
      </w:r>
      <w:r w:rsidRPr="00D859B8">
        <w:t xml:space="preserve">which </w:t>
      </w:r>
      <w:r w:rsidRPr="00D859B8">
        <w:lastRenderedPageBreak/>
        <w:t>showed already elevated basal amounts of 0.5 µg g</w:t>
      </w:r>
      <w:r w:rsidRPr="00D859B8">
        <w:rPr>
          <w:vertAlign w:val="superscript"/>
        </w:rPr>
        <w:t>-1</w:t>
      </w:r>
      <w:r w:rsidRPr="00D859B8">
        <w:t xml:space="preserve"> FW in </w:t>
      </w:r>
      <w:r w:rsidRPr="00D859B8">
        <w:rPr>
          <w:i/>
        </w:rPr>
        <w:t>coi1</w:t>
      </w:r>
      <w:r w:rsidRPr="00D859B8">
        <w:t>, 1.3 µg g</w:t>
      </w:r>
      <w:r w:rsidRPr="00D859B8">
        <w:rPr>
          <w:vertAlign w:val="superscript"/>
        </w:rPr>
        <w:t>-1</w:t>
      </w:r>
      <w:r w:rsidRPr="00D859B8">
        <w:t xml:space="preserve"> FW in </w:t>
      </w:r>
      <w:r w:rsidRPr="00D859B8">
        <w:rPr>
          <w:i/>
        </w:rPr>
        <w:t>etr1-1</w:t>
      </w:r>
      <w:r w:rsidRPr="00D859B8">
        <w:t>, and 0.4 µg g</w:t>
      </w:r>
      <w:r w:rsidRPr="00D859B8">
        <w:rPr>
          <w:vertAlign w:val="superscript"/>
        </w:rPr>
        <w:t>-1</w:t>
      </w:r>
      <w:r w:rsidRPr="00D859B8">
        <w:t xml:space="preserve"> FW in </w:t>
      </w:r>
      <w:r w:rsidRPr="00D859B8">
        <w:rPr>
          <w:i/>
        </w:rPr>
        <w:t>fmo1</w:t>
      </w:r>
      <w:r w:rsidRPr="00D859B8">
        <w:t xml:space="preserve">, respectively (Figure 35 A). The highest basal levels </w:t>
      </w:r>
      <w:r>
        <w:t>of</w:t>
      </w:r>
      <w:r w:rsidRPr="00D859B8">
        <w:t xml:space="preserve"> </w:t>
      </w:r>
      <w:r>
        <w:t>SA</w:t>
      </w:r>
      <w:r w:rsidRPr="00D859B8">
        <w:t xml:space="preserve"> (4.2 µg g</w:t>
      </w:r>
      <w:r w:rsidRPr="00D859B8">
        <w:rPr>
          <w:vertAlign w:val="superscript"/>
        </w:rPr>
        <w:t>-1</w:t>
      </w:r>
      <w:r w:rsidRPr="00D859B8">
        <w:t xml:space="preserve"> FW) </w:t>
      </w:r>
      <w:r>
        <w:t>was measured for</w:t>
      </w:r>
      <w:r w:rsidRPr="00D859B8">
        <w:t xml:space="preserve"> the </w:t>
      </w:r>
      <w:r w:rsidR="00862CE6">
        <w:t>ET-</w:t>
      </w:r>
      <w:r w:rsidRPr="00D859B8">
        <w:t xml:space="preserve">insensitive mutant </w:t>
      </w:r>
      <w:r w:rsidRPr="00D859B8">
        <w:rPr>
          <w:i/>
        </w:rPr>
        <w:t>ein2-1</w:t>
      </w:r>
      <w:r w:rsidRPr="00D859B8">
        <w:t xml:space="preserve">, with approximately five-fold higher amounts of SA than in Col-0, which decreased upon </w:t>
      </w:r>
      <w:r w:rsidRPr="00D859B8">
        <w:rPr>
          <w:i/>
        </w:rPr>
        <w:t>Botrytis</w:t>
      </w:r>
      <w:r>
        <w:t>-</w:t>
      </w:r>
      <w:r w:rsidRPr="00D859B8">
        <w:t>infection (Figure 35 A).</w:t>
      </w:r>
    </w:p>
    <w:p w:rsidR="00A73F6D" w:rsidRPr="002F715B" w:rsidRDefault="002F715B" w:rsidP="000229B7">
      <w:pPr>
        <w:keepNext/>
        <w:spacing w:after="0" w:line="360" w:lineRule="auto"/>
        <w:jc w:val="both"/>
      </w:pPr>
      <w:r>
        <w:rPr>
          <w:noProof/>
          <w:lang w:val="de-DE" w:eastAsia="de-DE"/>
        </w:rPr>
        <w:drawing>
          <wp:anchor distT="0" distB="0" distL="114300" distR="114300" simplePos="0" relativeHeight="251716608" behindDoc="0" locked="0" layoutInCell="1" allowOverlap="1" wp14:anchorId="59A50D38" wp14:editId="2BF90904">
            <wp:simplePos x="0" y="0"/>
            <wp:positionH relativeFrom="page">
              <wp:align>center</wp:align>
            </wp:positionH>
            <wp:positionV relativeFrom="paragraph">
              <wp:posOffset>0</wp:posOffset>
            </wp:positionV>
            <wp:extent cx="5760000" cy="5547330"/>
            <wp:effectExtent l="19050" t="19050" r="12700" b="15875"/>
            <wp:wrapTopAndBottom/>
            <wp:docPr id="15"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t Bc+mutants.png"/>
                    <pic:cNvPicPr/>
                  </pic:nvPicPr>
                  <pic:blipFill>
                    <a:blip r:embed="rId64" cstate="print">
                      <a:extLst>
                        <a:ext uri="{28A0092B-C50C-407E-A947-70E740481C1C}">
                          <a14:useLocalDpi xmlns:a14="http://schemas.microsoft.com/office/drawing/2010/main" val="0"/>
                        </a:ext>
                      </a:extLst>
                    </a:blip>
                    <a:stretch>
                      <a:fillRect/>
                    </a:stretch>
                  </pic:blipFill>
                  <pic:spPr>
                    <a:xfrm>
                      <a:off x="0" y="0"/>
                      <a:ext cx="5760000" cy="554733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rsidR="00A73F6D" w:rsidRPr="00343090" w:rsidRDefault="00A73F6D" w:rsidP="00C2498E">
      <w:pPr>
        <w:pStyle w:val="Beschriftung"/>
        <w:spacing w:after="0" w:line="360" w:lineRule="auto"/>
        <w:jc w:val="both"/>
        <w:rPr>
          <w:color w:val="auto"/>
          <w:lang w:val="en-US"/>
        </w:rPr>
      </w:pPr>
      <w:bookmarkStart w:id="83" w:name="_Toc435621153"/>
      <w:proofErr w:type="gramStart"/>
      <w:r w:rsidRPr="00343090">
        <w:rPr>
          <w:color w:val="auto"/>
        </w:rPr>
        <w:t xml:space="preserve">Figure </w:t>
      </w:r>
      <w:r w:rsidRPr="00343090">
        <w:rPr>
          <w:color w:val="auto"/>
        </w:rPr>
        <w:fldChar w:fldCharType="begin"/>
      </w:r>
      <w:r w:rsidRPr="00343090">
        <w:rPr>
          <w:color w:val="auto"/>
        </w:rPr>
        <w:instrText xml:space="preserve"> SEQ Figure \* ARABIC </w:instrText>
      </w:r>
      <w:r w:rsidRPr="00343090">
        <w:rPr>
          <w:color w:val="auto"/>
        </w:rPr>
        <w:fldChar w:fldCharType="separate"/>
      </w:r>
      <w:r w:rsidR="00CB17FE">
        <w:rPr>
          <w:noProof/>
          <w:color w:val="auto"/>
        </w:rPr>
        <w:t>35</w:t>
      </w:r>
      <w:r w:rsidRPr="00343090">
        <w:rPr>
          <w:color w:val="auto"/>
        </w:rPr>
        <w:fldChar w:fldCharType="end"/>
      </w:r>
      <w:r w:rsidR="0096402E">
        <w:rPr>
          <w:color w:val="auto"/>
        </w:rPr>
        <w:t>.</w:t>
      </w:r>
      <w:proofErr w:type="gramEnd"/>
      <w:r w:rsidRPr="00343090">
        <w:rPr>
          <w:color w:val="auto"/>
        </w:rPr>
        <w:t xml:space="preserve"> </w:t>
      </w:r>
      <w:proofErr w:type="gramStart"/>
      <w:r w:rsidRPr="00343090">
        <w:rPr>
          <w:color w:val="auto"/>
          <w:lang w:val="en-US"/>
        </w:rPr>
        <w:t xml:space="preserve">Defence signalling in the </w:t>
      </w:r>
      <w:r w:rsidRPr="00343090">
        <w:rPr>
          <w:i/>
          <w:color w:val="auto"/>
          <w:lang w:val="en-US"/>
        </w:rPr>
        <w:t>Arabidopsis-Botrytis</w:t>
      </w:r>
      <w:r w:rsidRPr="00343090">
        <w:rPr>
          <w:color w:val="auto"/>
          <w:lang w:val="en-US"/>
        </w:rPr>
        <w:t xml:space="preserve"> interaction.</w:t>
      </w:r>
      <w:bookmarkEnd w:id="83"/>
      <w:proofErr w:type="gramEnd"/>
      <w:r w:rsidRPr="00343090">
        <w:rPr>
          <w:color w:val="auto"/>
          <w:lang w:val="en-US"/>
        </w:rPr>
        <w:t xml:space="preserve"> </w:t>
      </w:r>
    </w:p>
    <w:p w:rsidR="00A73F6D" w:rsidRPr="00343090" w:rsidRDefault="000A0576" w:rsidP="00A73F6D">
      <w:pPr>
        <w:pStyle w:val="Beschriftung"/>
        <w:jc w:val="both"/>
        <w:rPr>
          <w:b w:val="0"/>
          <w:color w:val="auto"/>
          <w:lang w:val="en-US"/>
        </w:rPr>
      </w:pPr>
      <w:r w:rsidRPr="00343090">
        <w:rPr>
          <w:b w:val="0"/>
          <w:color w:val="auto"/>
          <w:lang w:val="en-US"/>
        </w:rPr>
        <w:t xml:space="preserve">Plants were </w:t>
      </w:r>
      <w:r w:rsidR="00D859B8" w:rsidRPr="00343090">
        <w:rPr>
          <w:b w:val="0"/>
          <w:color w:val="auto"/>
          <w:lang w:val="en-US"/>
        </w:rPr>
        <w:t>treated as described in figure 34</w:t>
      </w:r>
      <w:r w:rsidRPr="00343090">
        <w:rPr>
          <w:b w:val="0"/>
          <w:color w:val="auto"/>
          <w:lang w:val="en-US"/>
        </w:rPr>
        <w:t xml:space="preserve">. </w:t>
      </w:r>
      <w:r w:rsidR="00A73F6D" w:rsidRPr="00343090">
        <w:rPr>
          <w:b w:val="0"/>
          <w:color w:val="auto"/>
          <w:lang w:val="en-US"/>
        </w:rPr>
        <w:t xml:space="preserve">Accumulation of total </w:t>
      </w:r>
      <w:r w:rsidR="00C2498E">
        <w:rPr>
          <w:b w:val="0"/>
          <w:color w:val="auto"/>
          <w:lang w:val="en-US"/>
        </w:rPr>
        <w:t>SA</w:t>
      </w:r>
      <w:r w:rsidR="00A73F6D" w:rsidRPr="00343090">
        <w:rPr>
          <w:b w:val="0"/>
          <w:color w:val="auto"/>
          <w:lang w:val="en-US"/>
        </w:rPr>
        <w:t xml:space="preserve"> (sum of free and conj</w:t>
      </w:r>
      <w:r w:rsidR="00237FC0" w:rsidRPr="00343090">
        <w:rPr>
          <w:b w:val="0"/>
          <w:color w:val="auto"/>
          <w:lang w:val="en-US"/>
        </w:rPr>
        <w:t xml:space="preserve">ugated SA) (A), camalexin (B), </w:t>
      </w:r>
      <w:r w:rsidR="00C2498E">
        <w:rPr>
          <w:b w:val="0"/>
          <w:color w:val="auto"/>
          <w:lang w:val="en-US"/>
        </w:rPr>
        <w:t>Pip</w:t>
      </w:r>
      <w:r w:rsidR="00A73F6D" w:rsidRPr="00343090">
        <w:rPr>
          <w:b w:val="0"/>
          <w:color w:val="auto"/>
          <w:lang w:val="en-US"/>
        </w:rPr>
        <w:t xml:space="preserve"> (C), </w:t>
      </w:r>
      <w:r w:rsidR="00C2498E" w:rsidRPr="00C2498E">
        <w:rPr>
          <w:b w:val="0"/>
          <w:color w:val="auto"/>
          <w:lang w:val="en-US"/>
        </w:rPr>
        <w:t>GABA</w:t>
      </w:r>
      <w:r w:rsidR="00A73F6D" w:rsidRPr="00C2498E">
        <w:rPr>
          <w:b w:val="0"/>
          <w:color w:val="auto"/>
          <w:lang w:val="en-US"/>
        </w:rPr>
        <w:t xml:space="preserve"> </w:t>
      </w:r>
      <w:r w:rsidR="00A73F6D" w:rsidRPr="00343090">
        <w:rPr>
          <w:b w:val="0"/>
          <w:color w:val="auto"/>
          <w:lang w:val="en-US"/>
        </w:rPr>
        <w:t xml:space="preserve">(D), ornithine (E), and the unknown </w:t>
      </w:r>
      <w:r w:rsidR="00237FC0" w:rsidRPr="00343090">
        <w:rPr>
          <w:b w:val="0"/>
          <w:color w:val="auto"/>
          <w:lang w:val="en-US"/>
        </w:rPr>
        <w:t>compound</w:t>
      </w:r>
      <w:r w:rsidR="00A73F6D" w:rsidRPr="00343090">
        <w:rPr>
          <w:b w:val="0"/>
          <w:color w:val="auto"/>
          <w:lang w:val="en-US"/>
        </w:rPr>
        <w:t xml:space="preserve"> 13 (70, 112) (F) in </w:t>
      </w:r>
      <w:r w:rsidR="00A73F6D" w:rsidRPr="00343090">
        <w:rPr>
          <w:b w:val="0"/>
          <w:i/>
          <w:color w:val="auto"/>
          <w:lang w:val="en-US"/>
        </w:rPr>
        <w:t>Arabidopsis</w:t>
      </w:r>
      <w:r w:rsidR="00A73F6D" w:rsidRPr="00343090">
        <w:rPr>
          <w:b w:val="0"/>
          <w:color w:val="auto"/>
          <w:lang w:val="en-US"/>
        </w:rPr>
        <w:t xml:space="preserve"> plants after </w:t>
      </w:r>
      <w:r w:rsidR="00A73F6D" w:rsidRPr="00343090">
        <w:rPr>
          <w:b w:val="0"/>
          <w:i/>
          <w:color w:val="auto"/>
          <w:lang w:val="en-US"/>
        </w:rPr>
        <w:t>B.</w:t>
      </w:r>
      <w:r w:rsidR="00C2498E">
        <w:rPr>
          <w:b w:val="0"/>
          <w:i/>
          <w:color w:val="auto"/>
          <w:lang w:val="en-US"/>
        </w:rPr>
        <w:t xml:space="preserve"> </w:t>
      </w:r>
      <w:r w:rsidR="00A73F6D" w:rsidRPr="00343090">
        <w:rPr>
          <w:b w:val="0"/>
          <w:i/>
          <w:color w:val="auto"/>
          <w:lang w:val="en-US"/>
        </w:rPr>
        <w:t>cinerea</w:t>
      </w:r>
      <w:r w:rsidR="00763066">
        <w:rPr>
          <w:b w:val="0"/>
          <w:color w:val="auto"/>
          <w:lang w:val="en-US"/>
        </w:rPr>
        <w:t>-</w:t>
      </w:r>
      <w:r w:rsidR="00A73F6D" w:rsidRPr="00343090">
        <w:rPr>
          <w:b w:val="0"/>
          <w:color w:val="auto"/>
          <w:lang w:val="en-US"/>
        </w:rPr>
        <w:t>infection. Bars represent the mean ±SD of three replicate samples and significant statistical differences between non-infected and infected</w:t>
      </w:r>
      <w:r w:rsidR="002F715B" w:rsidRPr="00343090">
        <w:rPr>
          <w:b w:val="0"/>
          <w:color w:val="auto"/>
          <w:lang w:val="en-US"/>
        </w:rPr>
        <w:t>, as well as between wild type control and mutant plants</w:t>
      </w:r>
      <w:r w:rsidR="00A73F6D" w:rsidRPr="00343090">
        <w:rPr>
          <w:b w:val="0"/>
          <w:color w:val="auto"/>
          <w:lang w:val="en-US"/>
        </w:rPr>
        <w:t xml:space="preserve"> are indicated by asterisks </w:t>
      </w:r>
      <w:r w:rsidR="002F715B" w:rsidRPr="00343090">
        <w:rPr>
          <w:b w:val="0"/>
          <w:color w:val="auto"/>
          <w:lang w:val="en-US"/>
        </w:rPr>
        <w:t xml:space="preserve">and letters, respectively, </w:t>
      </w:r>
      <w:r w:rsidR="00A73F6D" w:rsidRPr="00343090">
        <w:rPr>
          <w:b w:val="0"/>
          <w:color w:val="auto"/>
          <w:lang w:val="en-US"/>
        </w:rPr>
        <w:t xml:space="preserve">above the bars (two-tailed </w:t>
      </w:r>
      <w:r w:rsidR="00A73F6D" w:rsidRPr="00343090">
        <w:rPr>
          <w:b w:val="0"/>
          <w:i/>
          <w:color w:val="auto"/>
          <w:lang w:val="en-US"/>
        </w:rPr>
        <w:t>t</w:t>
      </w:r>
      <w:r w:rsidR="00A73F6D" w:rsidRPr="00343090">
        <w:rPr>
          <w:b w:val="0"/>
          <w:color w:val="auto"/>
          <w:lang w:val="en-US"/>
        </w:rPr>
        <w:t xml:space="preserve"> test; *</w:t>
      </w:r>
      <w:r w:rsidR="008C5C07" w:rsidRPr="00343090">
        <w:rPr>
          <w:b w:val="0"/>
          <w:color w:val="auto"/>
          <w:lang w:val="en-US"/>
        </w:rPr>
        <w:t xml:space="preserve"> </w:t>
      </w:r>
      <w:r w:rsidR="002F715B" w:rsidRPr="00343090">
        <w:rPr>
          <w:b w:val="0"/>
          <w:color w:val="auto"/>
          <w:lang w:val="en-US"/>
        </w:rPr>
        <w:t>a</w:t>
      </w:r>
      <w:r w:rsidR="00A73F6D" w:rsidRPr="00343090">
        <w:rPr>
          <w:b w:val="0"/>
          <w:color w:val="auto"/>
          <w:lang w:val="en-US"/>
        </w:rPr>
        <w:t>, P&lt; 0.05; **</w:t>
      </w:r>
      <w:r w:rsidR="008C5C07" w:rsidRPr="00343090">
        <w:rPr>
          <w:b w:val="0"/>
          <w:color w:val="auto"/>
          <w:lang w:val="en-US"/>
        </w:rPr>
        <w:t xml:space="preserve"> </w:t>
      </w:r>
      <w:r w:rsidR="002F715B" w:rsidRPr="00343090">
        <w:rPr>
          <w:b w:val="0"/>
          <w:color w:val="auto"/>
          <w:lang w:val="en-US"/>
        </w:rPr>
        <w:t>b</w:t>
      </w:r>
      <w:r w:rsidR="00A73F6D" w:rsidRPr="00343090">
        <w:rPr>
          <w:b w:val="0"/>
          <w:color w:val="auto"/>
          <w:lang w:val="en-US"/>
        </w:rPr>
        <w:t>, P&lt; 0.01; ***</w:t>
      </w:r>
      <w:r w:rsidR="008C5C07" w:rsidRPr="00343090">
        <w:rPr>
          <w:b w:val="0"/>
          <w:color w:val="auto"/>
          <w:lang w:val="en-US"/>
        </w:rPr>
        <w:t xml:space="preserve"> </w:t>
      </w:r>
      <w:r w:rsidR="002F715B" w:rsidRPr="00343090">
        <w:rPr>
          <w:b w:val="0"/>
          <w:color w:val="auto"/>
          <w:lang w:val="en-US"/>
        </w:rPr>
        <w:t>c</w:t>
      </w:r>
      <w:r w:rsidR="00A73F6D" w:rsidRPr="00343090">
        <w:rPr>
          <w:b w:val="0"/>
          <w:color w:val="auto"/>
          <w:lang w:val="en-US"/>
        </w:rPr>
        <w:t>, P&lt; 0.001).</w:t>
      </w:r>
      <w:r w:rsidR="00420F6E">
        <w:rPr>
          <w:b w:val="0"/>
          <w:color w:val="auto"/>
          <w:lang w:val="en-US"/>
        </w:rPr>
        <w:t xml:space="preserve"> The unkn</w:t>
      </w:r>
      <w:r w:rsidR="006F62EE" w:rsidRPr="00343090">
        <w:rPr>
          <w:b w:val="0"/>
          <w:color w:val="auto"/>
          <w:lang w:val="en-US"/>
        </w:rPr>
        <w:t>o</w:t>
      </w:r>
      <w:r w:rsidR="00420F6E">
        <w:rPr>
          <w:b w:val="0"/>
          <w:color w:val="auto"/>
          <w:lang w:val="en-US"/>
        </w:rPr>
        <w:t>w</w:t>
      </w:r>
      <w:r w:rsidR="006F62EE" w:rsidRPr="00343090">
        <w:rPr>
          <w:b w:val="0"/>
          <w:color w:val="auto"/>
          <w:lang w:val="en-US"/>
        </w:rPr>
        <w:t>n substance 13 was ana</w:t>
      </w:r>
      <w:r w:rsidR="00237FC0" w:rsidRPr="00343090">
        <w:rPr>
          <w:b w:val="0"/>
          <w:color w:val="auto"/>
          <w:lang w:val="en-US"/>
        </w:rPr>
        <w:t>lysed as described in figure 34</w:t>
      </w:r>
      <w:r w:rsidR="006F62EE" w:rsidRPr="00343090">
        <w:rPr>
          <w:b w:val="0"/>
          <w:color w:val="auto"/>
          <w:lang w:val="en-US"/>
        </w:rPr>
        <w:t>.</w:t>
      </w:r>
      <w:r w:rsidR="00A73F6D" w:rsidRPr="00343090">
        <w:rPr>
          <w:b w:val="0"/>
          <w:color w:val="auto"/>
          <w:lang w:val="en-US"/>
        </w:rPr>
        <w:t xml:space="preserve"> </w:t>
      </w:r>
      <w:r w:rsidR="00A73F6D" w:rsidRPr="00343090">
        <w:rPr>
          <w:b w:val="0"/>
          <w:i/>
          <w:color w:val="auto"/>
          <w:lang w:val="en-US"/>
        </w:rPr>
        <w:t>Arabidopsis</w:t>
      </w:r>
      <w:r w:rsidR="00A73F6D" w:rsidRPr="00343090">
        <w:rPr>
          <w:b w:val="0"/>
          <w:color w:val="auto"/>
          <w:lang w:val="en-US"/>
        </w:rPr>
        <w:t xml:space="preserve"> mutant lines </w:t>
      </w:r>
      <w:r w:rsidR="00237FC0" w:rsidRPr="00343090">
        <w:rPr>
          <w:b w:val="0"/>
          <w:i/>
          <w:color w:val="auto"/>
          <w:lang w:val="en-US"/>
        </w:rPr>
        <w:t>coi1, ein2, etr1</w:t>
      </w:r>
      <w:r w:rsidR="00A73F6D" w:rsidRPr="00343090">
        <w:rPr>
          <w:b w:val="0"/>
          <w:color w:val="auto"/>
          <w:lang w:val="en-US"/>
        </w:rPr>
        <w:t xml:space="preserve">, and </w:t>
      </w:r>
      <w:r w:rsidR="00A73F6D" w:rsidRPr="00343090">
        <w:rPr>
          <w:b w:val="0"/>
          <w:i/>
          <w:color w:val="auto"/>
          <w:lang w:val="en-US"/>
        </w:rPr>
        <w:t>pad2</w:t>
      </w:r>
      <w:r w:rsidR="00A73F6D" w:rsidRPr="00343090">
        <w:rPr>
          <w:b w:val="0"/>
          <w:color w:val="auto"/>
          <w:lang w:val="en-US"/>
        </w:rPr>
        <w:t xml:space="preserve"> were used</w:t>
      </w:r>
      <w:r w:rsidR="00D859B8" w:rsidRPr="00343090">
        <w:rPr>
          <w:b w:val="0"/>
          <w:color w:val="auto"/>
          <w:lang w:val="en-US"/>
        </w:rPr>
        <w:t xml:space="preserve"> once in this kind of experiment</w:t>
      </w:r>
      <w:r w:rsidR="002F715B" w:rsidRPr="00343090">
        <w:rPr>
          <w:b w:val="0"/>
          <w:color w:val="auto"/>
          <w:lang w:val="en-US"/>
        </w:rPr>
        <w:t>, the rest of the mutants were</w:t>
      </w:r>
      <w:r w:rsidR="00A73F6D" w:rsidRPr="00343090">
        <w:rPr>
          <w:b w:val="0"/>
          <w:color w:val="auto"/>
          <w:lang w:val="en-US"/>
        </w:rPr>
        <w:t xml:space="preserve"> used in at least three independent biological ex</w:t>
      </w:r>
      <w:r w:rsidR="00C2498E">
        <w:rPr>
          <w:b w:val="0"/>
          <w:color w:val="auto"/>
          <w:lang w:val="en-US"/>
        </w:rPr>
        <w:t>periments with similar results.</w:t>
      </w:r>
      <w:r w:rsidR="00A73F6D" w:rsidRPr="00343090">
        <w:rPr>
          <w:b w:val="0"/>
          <w:color w:val="auto"/>
          <w:lang w:val="en-US"/>
        </w:rPr>
        <w:t xml:space="preserve"> </w:t>
      </w:r>
      <w:proofErr w:type="gramStart"/>
      <w:r w:rsidR="00A73F6D" w:rsidRPr="00343090">
        <w:rPr>
          <w:b w:val="0"/>
          <w:color w:val="auto"/>
          <w:lang w:val="en-US"/>
        </w:rPr>
        <w:t>FW, fresh weight.</w:t>
      </w:r>
      <w:proofErr w:type="gramEnd"/>
    </w:p>
    <w:p w:rsidR="004B69A1" w:rsidRDefault="00FD65FA" w:rsidP="00DC283C">
      <w:pPr>
        <w:spacing w:after="0" w:line="360" w:lineRule="auto"/>
        <w:jc w:val="both"/>
      </w:pPr>
      <w:r w:rsidRPr="00FD65FA">
        <w:t>In this experiment</w:t>
      </w:r>
      <w:r w:rsidR="00B37905">
        <w:t>,</w:t>
      </w:r>
      <w:r w:rsidRPr="00FD65FA">
        <w:t xml:space="preserve"> camalexin levels </w:t>
      </w:r>
      <w:r w:rsidR="00DD79C5">
        <w:t>showed an increase</w:t>
      </w:r>
      <w:r w:rsidRPr="00FD65FA">
        <w:t xml:space="preserve"> </w:t>
      </w:r>
      <w:proofErr w:type="gramStart"/>
      <w:r w:rsidR="000229B7">
        <w:t>from 0.2 µg g</w:t>
      </w:r>
      <w:r w:rsidR="000229B7" w:rsidRPr="00DD79C5">
        <w:rPr>
          <w:vertAlign w:val="superscript"/>
        </w:rPr>
        <w:t>-1</w:t>
      </w:r>
      <w:r w:rsidR="00DD79C5">
        <w:t xml:space="preserve"> FW in Col-0</w:t>
      </w:r>
      <w:proofErr w:type="gramEnd"/>
      <w:r w:rsidR="00DD79C5">
        <w:t xml:space="preserve"> </w:t>
      </w:r>
      <w:r w:rsidR="000229B7">
        <w:t xml:space="preserve">and </w:t>
      </w:r>
      <w:r w:rsidR="0036564F">
        <w:t xml:space="preserve">from </w:t>
      </w:r>
      <w:r w:rsidR="000229B7">
        <w:t>0.02 µg g</w:t>
      </w:r>
      <w:r w:rsidR="000229B7" w:rsidRPr="00DD79C5">
        <w:rPr>
          <w:vertAlign w:val="superscript"/>
        </w:rPr>
        <w:t>-1</w:t>
      </w:r>
      <w:r w:rsidR="00DD79C5">
        <w:t xml:space="preserve"> FW in </w:t>
      </w:r>
      <w:r w:rsidR="00DD79C5" w:rsidRPr="00DD79C5">
        <w:rPr>
          <w:i/>
        </w:rPr>
        <w:t>ald1</w:t>
      </w:r>
      <w:r w:rsidR="0036564F">
        <w:rPr>
          <w:i/>
        </w:rPr>
        <w:t>,</w:t>
      </w:r>
      <w:r w:rsidR="000229B7" w:rsidRPr="00DD79C5">
        <w:rPr>
          <w:i/>
        </w:rPr>
        <w:t xml:space="preserve"> </w:t>
      </w:r>
      <w:r w:rsidR="000229B7">
        <w:t xml:space="preserve">to about </w:t>
      </w:r>
      <w:r w:rsidR="00F13088">
        <w:t>4</w:t>
      </w:r>
      <w:r w:rsidRPr="00FD65FA">
        <w:t xml:space="preserve"> µg g</w:t>
      </w:r>
      <w:r w:rsidRPr="00FD65FA">
        <w:rPr>
          <w:vertAlign w:val="superscript"/>
        </w:rPr>
        <w:t>-1</w:t>
      </w:r>
      <w:r w:rsidR="00A05C54">
        <w:t xml:space="preserve"> </w:t>
      </w:r>
      <w:r w:rsidR="00B37905">
        <w:t xml:space="preserve">FW </w:t>
      </w:r>
      <w:r w:rsidR="00DD79C5">
        <w:t xml:space="preserve">in both lines </w:t>
      </w:r>
      <w:r w:rsidR="00B37905">
        <w:t>(Figu</w:t>
      </w:r>
      <w:r w:rsidR="000229B7">
        <w:t>re 35</w:t>
      </w:r>
      <w:r w:rsidR="00B37905">
        <w:t xml:space="preserve"> </w:t>
      </w:r>
      <w:r w:rsidRPr="00FD65FA">
        <w:t>B). Cam</w:t>
      </w:r>
      <w:r w:rsidR="00B37905">
        <w:t>alexin</w:t>
      </w:r>
      <w:r w:rsidRPr="00FD65FA">
        <w:t xml:space="preserve"> levels in </w:t>
      </w:r>
      <w:r w:rsidRPr="00FD65FA">
        <w:rPr>
          <w:i/>
        </w:rPr>
        <w:t>etr1-1</w:t>
      </w:r>
      <w:r w:rsidRPr="00FD65FA">
        <w:t xml:space="preserve"> were slightly lower than in WT </w:t>
      </w:r>
      <w:r w:rsidR="004351CA">
        <w:t>(0.1 µg g</w:t>
      </w:r>
      <w:r w:rsidR="004351CA" w:rsidRPr="004351CA">
        <w:rPr>
          <w:vertAlign w:val="superscript"/>
        </w:rPr>
        <w:t>-1</w:t>
      </w:r>
      <w:r w:rsidR="004351CA">
        <w:t xml:space="preserve"> FW) </w:t>
      </w:r>
      <w:r w:rsidRPr="00FD65FA">
        <w:t xml:space="preserve">and </w:t>
      </w:r>
      <w:r w:rsidR="00763066">
        <w:t>did not increase</w:t>
      </w:r>
      <w:r w:rsidR="004351CA">
        <w:t xml:space="preserve"> </w:t>
      </w:r>
      <w:r w:rsidR="00763066">
        <w:t xml:space="preserve">as </w:t>
      </w:r>
      <w:r w:rsidR="00763066">
        <w:lastRenderedPageBreak/>
        <w:t>strongly as observed</w:t>
      </w:r>
      <w:r w:rsidR="004351CA">
        <w:t xml:space="preserve"> in Col-0 (1.8 µg g</w:t>
      </w:r>
      <w:r w:rsidR="004351CA" w:rsidRPr="004351CA">
        <w:rPr>
          <w:vertAlign w:val="superscript"/>
        </w:rPr>
        <w:t>-1</w:t>
      </w:r>
      <w:r w:rsidR="004351CA">
        <w:t xml:space="preserve"> FW). </w:t>
      </w:r>
      <w:r w:rsidR="004351CA" w:rsidRPr="0036564F">
        <w:rPr>
          <w:i/>
        </w:rPr>
        <w:t>Arabidopsis</w:t>
      </w:r>
      <w:r w:rsidR="004351CA">
        <w:t xml:space="preserve"> lines</w:t>
      </w:r>
      <w:r w:rsidRPr="00FD65FA">
        <w:t xml:space="preserve"> </w:t>
      </w:r>
      <w:r w:rsidR="00676CBE">
        <w:rPr>
          <w:i/>
        </w:rPr>
        <w:t>coi1, ein2-1, pad2</w:t>
      </w:r>
      <w:r w:rsidRPr="00FD65FA">
        <w:t xml:space="preserve">, and </w:t>
      </w:r>
      <w:r w:rsidRPr="00FD65FA">
        <w:rPr>
          <w:i/>
        </w:rPr>
        <w:t>pad3</w:t>
      </w:r>
      <w:r w:rsidR="004351CA">
        <w:rPr>
          <w:i/>
        </w:rPr>
        <w:t xml:space="preserve"> </w:t>
      </w:r>
      <w:r w:rsidR="004351CA">
        <w:t>contained very little camalexin in uninfected leaves (0.04-0.1 µg g</w:t>
      </w:r>
      <w:r w:rsidR="004351CA" w:rsidRPr="004351CA">
        <w:rPr>
          <w:vertAlign w:val="superscript"/>
        </w:rPr>
        <w:t>-1</w:t>
      </w:r>
      <w:r w:rsidR="004351CA">
        <w:t xml:space="preserve"> FW) and </w:t>
      </w:r>
      <w:r w:rsidR="00763066">
        <w:t xml:space="preserve">also </w:t>
      </w:r>
      <w:r w:rsidR="004351CA">
        <w:t xml:space="preserve">did not accumulate </w:t>
      </w:r>
      <w:r w:rsidR="0036564F">
        <w:t xml:space="preserve">this phytoalexin </w:t>
      </w:r>
      <w:r w:rsidR="00AA13FB">
        <w:t>as much as</w:t>
      </w:r>
      <w:r w:rsidR="004351CA">
        <w:t xml:space="preserve"> in </w:t>
      </w:r>
      <w:r w:rsidR="004351CA" w:rsidRPr="004351CA">
        <w:rPr>
          <w:i/>
        </w:rPr>
        <w:t>Botrytis</w:t>
      </w:r>
      <w:r w:rsidR="004351CA">
        <w:t>-infected Col-0 plants</w:t>
      </w:r>
      <w:r w:rsidRPr="00FD65FA">
        <w:t xml:space="preserve">. The mutant lines </w:t>
      </w:r>
      <w:r w:rsidRPr="00FD65FA">
        <w:rPr>
          <w:i/>
        </w:rPr>
        <w:t>fmo1</w:t>
      </w:r>
      <w:r w:rsidRPr="00FD65FA">
        <w:t xml:space="preserve"> and </w:t>
      </w:r>
      <w:r w:rsidR="00A05C54">
        <w:rPr>
          <w:i/>
        </w:rPr>
        <w:t>sid2</w:t>
      </w:r>
      <w:r w:rsidRPr="00FD65FA">
        <w:t>, on the other hand, exhibited overaccumulation of camalexin</w:t>
      </w:r>
      <w:r w:rsidR="004351CA">
        <w:t xml:space="preserve"> from basal levels comparable to Col-0 levels</w:t>
      </w:r>
      <w:r w:rsidRPr="00FD65FA">
        <w:t xml:space="preserve"> to almost 10 µg g</w:t>
      </w:r>
      <w:r w:rsidRPr="00FD65FA">
        <w:rPr>
          <w:vertAlign w:val="superscript"/>
        </w:rPr>
        <w:t>-1</w:t>
      </w:r>
      <w:r w:rsidRPr="00FD65FA">
        <w:t xml:space="preserve"> FW upon infection with </w:t>
      </w:r>
      <w:r w:rsidRPr="00FD65FA">
        <w:rPr>
          <w:i/>
        </w:rPr>
        <w:t>B.</w:t>
      </w:r>
      <w:r w:rsidR="00763066">
        <w:rPr>
          <w:i/>
        </w:rPr>
        <w:t xml:space="preserve"> </w:t>
      </w:r>
      <w:r w:rsidRPr="00FD65FA">
        <w:rPr>
          <w:i/>
        </w:rPr>
        <w:t>cinerea</w:t>
      </w:r>
      <w:r w:rsidR="00466CCB">
        <w:t xml:space="preserve"> (Figure 35</w:t>
      </w:r>
      <w:r w:rsidR="00B37905">
        <w:t xml:space="preserve"> </w:t>
      </w:r>
      <w:r w:rsidRPr="00FD65FA">
        <w:t xml:space="preserve">B). </w:t>
      </w:r>
      <w:r w:rsidR="004351CA">
        <w:t>However, b</w:t>
      </w:r>
      <w:r w:rsidR="00DD79C5">
        <w:t xml:space="preserve">ecause of the high standard deviation for </w:t>
      </w:r>
      <w:r w:rsidR="00466CCB" w:rsidRPr="00466CCB">
        <w:rPr>
          <w:i/>
        </w:rPr>
        <w:t>fmo1</w:t>
      </w:r>
      <w:r w:rsidR="00466CCB">
        <w:t xml:space="preserve"> and </w:t>
      </w:r>
      <w:r w:rsidR="00466CCB" w:rsidRPr="00466CCB">
        <w:rPr>
          <w:i/>
        </w:rPr>
        <w:t>sid2</w:t>
      </w:r>
      <w:r w:rsidR="00466CCB">
        <w:t xml:space="preserve"> samples in this experiment</w:t>
      </w:r>
      <w:r w:rsidR="00763066">
        <w:t>,</w:t>
      </w:r>
      <w:r w:rsidR="00466CCB">
        <w:t xml:space="preserve"> th</w:t>
      </w:r>
      <w:r w:rsidR="00AA13FB">
        <w:t>is camalexin overaccumulation most likely is not</w:t>
      </w:r>
      <w:r w:rsidR="00466CCB">
        <w:t xml:space="preserve"> significant. </w:t>
      </w:r>
      <w:r w:rsidR="00AA13FB">
        <w:t>Another metabolite analysis using</w:t>
      </w:r>
      <w:r w:rsidR="00466CCB">
        <w:t xml:space="preserve"> </w:t>
      </w:r>
      <w:r w:rsidR="00466CCB" w:rsidRPr="00466CCB">
        <w:rPr>
          <w:i/>
        </w:rPr>
        <w:t>B.</w:t>
      </w:r>
      <w:r w:rsidR="00AA13FB">
        <w:rPr>
          <w:i/>
        </w:rPr>
        <w:t xml:space="preserve"> </w:t>
      </w:r>
      <w:r w:rsidR="00466CCB" w:rsidRPr="00466CCB">
        <w:rPr>
          <w:i/>
        </w:rPr>
        <w:t>cinerea</w:t>
      </w:r>
      <w:r w:rsidR="00466CCB">
        <w:t xml:space="preserve">-infected </w:t>
      </w:r>
      <w:proofErr w:type="gramStart"/>
      <w:r w:rsidR="00466CCB">
        <w:t>plants,</w:t>
      </w:r>
      <w:proofErr w:type="gramEnd"/>
      <w:r w:rsidR="00466CCB">
        <w:t xml:space="preserve"> </w:t>
      </w:r>
      <w:r w:rsidR="00AA13FB">
        <w:t>could not support these findings</w:t>
      </w:r>
      <w:r w:rsidR="00763066">
        <w:t xml:space="preserve"> (Supplemental figure 13)</w:t>
      </w:r>
      <w:r w:rsidR="00AA13FB">
        <w:t xml:space="preserve">. </w:t>
      </w:r>
      <w:r w:rsidRPr="00FD65FA">
        <w:t xml:space="preserve">Accumulation of </w:t>
      </w:r>
      <w:r w:rsidR="00AA13FB">
        <w:t>Pip</w:t>
      </w:r>
      <w:r w:rsidRPr="00FD65FA">
        <w:t xml:space="preserve"> was found to be </w:t>
      </w:r>
      <w:r w:rsidR="00D62A12">
        <w:t>different</w:t>
      </w:r>
      <w:r w:rsidRPr="00FD65FA">
        <w:t xml:space="preserve"> than observed in the </w:t>
      </w:r>
      <w:r w:rsidR="00B37905">
        <w:t>t</w:t>
      </w:r>
      <w:r w:rsidR="00D62A12">
        <w:t>ime course experiment (Figure 33</w:t>
      </w:r>
      <w:r w:rsidR="00B37905">
        <w:t xml:space="preserve"> </w:t>
      </w:r>
      <w:r w:rsidRPr="00FD65FA">
        <w:t xml:space="preserve">E) with </w:t>
      </w:r>
      <w:r w:rsidR="00D62A12">
        <w:t xml:space="preserve">basal </w:t>
      </w:r>
      <w:r w:rsidRPr="00FD65FA">
        <w:t>levels of</w:t>
      </w:r>
      <w:r w:rsidR="00D62A12">
        <w:t xml:space="preserve"> 0.07 µg g</w:t>
      </w:r>
      <w:r w:rsidR="00D62A12" w:rsidRPr="00D62A12">
        <w:rPr>
          <w:vertAlign w:val="superscript"/>
        </w:rPr>
        <w:t>-1</w:t>
      </w:r>
      <w:r w:rsidR="00D62A12">
        <w:t xml:space="preserve"> FW that increased to 0.3</w:t>
      </w:r>
      <w:r w:rsidRPr="00FD65FA">
        <w:t xml:space="preserve"> µg g</w:t>
      </w:r>
      <w:r w:rsidRPr="00FD65FA">
        <w:rPr>
          <w:vertAlign w:val="superscript"/>
        </w:rPr>
        <w:t>-1</w:t>
      </w:r>
      <w:r w:rsidR="00D62A12">
        <w:t xml:space="preserve"> FW, marking a three-fold upregulation of Pip in </w:t>
      </w:r>
      <w:r w:rsidR="00D62A12" w:rsidRPr="00D62A12">
        <w:rPr>
          <w:i/>
        </w:rPr>
        <w:t>B.</w:t>
      </w:r>
      <w:r w:rsidR="007D6039">
        <w:rPr>
          <w:i/>
        </w:rPr>
        <w:t xml:space="preserve"> </w:t>
      </w:r>
      <w:r w:rsidR="00D62A12" w:rsidRPr="00D62A12">
        <w:rPr>
          <w:i/>
        </w:rPr>
        <w:t>cinerea</w:t>
      </w:r>
      <w:r w:rsidR="00D62A12">
        <w:t>-infected leaves</w:t>
      </w:r>
      <w:r w:rsidRPr="00FD65FA">
        <w:t xml:space="preserve">. This discrepancy </w:t>
      </w:r>
      <w:r w:rsidR="00D40D45">
        <w:t xml:space="preserve">between the two experiments </w:t>
      </w:r>
      <w:r w:rsidRPr="00FD65FA">
        <w:t>may</w:t>
      </w:r>
      <w:r w:rsidR="00D40D45">
        <w:t xml:space="preserve"> be</w:t>
      </w:r>
      <w:r w:rsidRPr="00FD65FA">
        <w:t xml:space="preserve"> </w:t>
      </w:r>
      <w:r w:rsidR="00676CBE">
        <w:t>explained by</w:t>
      </w:r>
      <w:r w:rsidRPr="00FD65FA">
        <w:t xml:space="preserve"> differences in experimental procedure</w:t>
      </w:r>
      <w:r w:rsidR="00D62A12">
        <w:t xml:space="preserve"> or conditions</w:t>
      </w:r>
      <w:r w:rsidR="00763066">
        <w:t>. Pip-accumulation</w:t>
      </w:r>
      <w:r w:rsidRPr="00FD65FA">
        <w:t xml:space="preserve"> in </w:t>
      </w:r>
      <w:r w:rsidR="00676CBE">
        <w:rPr>
          <w:i/>
        </w:rPr>
        <w:t>fmo1, pad2</w:t>
      </w:r>
      <w:r w:rsidRPr="00FD65FA">
        <w:rPr>
          <w:i/>
        </w:rPr>
        <w:t>, pad3</w:t>
      </w:r>
      <w:r w:rsidRPr="00FD65FA">
        <w:t xml:space="preserve">, and </w:t>
      </w:r>
      <w:r w:rsidR="00A05C54">
        <w:rPr>
          <w:i/>
        </w:rPr>
        <w:t>sid2</w:t>
      </w:r>
      <w:r w:rsidRPr="00FD65FA">
        <w:t xml:space="preserve"> was comp</w:t>
      </w:r>
      <w:r w:rsidR="00AF612B">
        <w:t>arable to levels found in Col-0 and</w:t>
      </w:r>
      <w:r w:rsidRPr="00FD65FA">
        <w:t xml:space="preserve"> no </w:t>
      </w:r>
      <w:r w:rsidR="007D6039">
        <w:t>Pip</w:t>
      </w:r>
      <w:r w:rsidRPr="00FD65FA">
        <w:t xml:space="preserve"> was detectable in </w:t>
      </w:r>
      <w:r w:rsidRPr="00FD65FA">
        <w:rPr>
          <w:i/>
        </w:rPr>
        <w:t>ald1</w:t>
      </w:r>
      <w:r w:rsidR="00D40D45">
        <w:t xml:space="preserve"> (Figure 35</w:t>
      </w:r>
      <w:r w:rsidRPr="00FD65FA">
        <w:t xml:space="preserve"> C). Sl</w:t>
      </w:r>
      <w:r w:rsidR="00763066">
        <w:t>ightly elevated Pip-</w:t>
      </w:r>
      <w:r w:rsidR="00B37905">
        <w:t>levels</w:t>
      </w:r>
      <w:r w:rsidRPr="00FD65FA">
        <w:t xml:space="preserve"> showed </w:t>
      </w:r>
      <w:r w:rsidRPr="00FD65FA">
        <w:rPr>
          <w:i/>
        </w:rPr>
        <w:t>coi1</w:t>
      </w:r>
      <w:r w:rsidRPr="00FD65FA">
        <w:t xml:space="preserve"> and </w:t>
      </w:r>
      <w:r w:rsidRPr="00FD65FA">
        <w:rPr>
          <w:i/>
        </w:rPr>
        <w:t>etr1-1</w:t>
      </w:r>
      <w:r w:rsidRPr="00FD65FA">
        <w:t xml:space="preserve"> an</w:t>
      </w:r>
      <w:r w:rsidR="00763066">
        <w:t>d more than two-fold higher Pip-</w:t>
      </w:r>
      <w:r w:rsidRPr="00FD65FA">
        <w:t>levels were discovered in</w:t>
      </w:r>
      <w:r w:rsidR="00CE28FD">
        <w:t xml:space="preserve"> infected</w:t>
      </w:r>
      <w:r w:rsidRPr="00FD65FA">
        <w:t xml:space="preserve"> </w:t>
      </w:r>
      <w:r w:rsidRPr="00FD65FA">
        <w:rPr>
          <w:i/>
        </w:rPr>
        <w:t>ein2-1</w:t>
      </w:r>
      <w:r w:rsidR="00D40D45">
        <w:t xml:space="preserve"> </w:t>
      </w:r>
      <w:r w:rsidR="00CE28FD">
        <w:t xml:space="preserve">leaves </w:t>
      </w:r>
      <w:r w:rsidR="00D40D45">
        <w:t>(Figure 35</w:t>
      </w:r>
      <w:r w:rsidR="00DC283C">
        <w:t xml:space="preserve"> C). Analysis of </w:t>
      </w:r>
      <w:r w:rsidR="007D6039" w:rsidRPr="007D6039">
        <w:rPr>
          <w:rFonts w:cstheme="minorHAnsi"/>
        </w:rPr>
        <w:t>GABA</w:t>
      </w:r>
      <w:r w:rsidR="00763066">
        <w:t>-</w:t>
      </w:r>
      <w:r w:rsidRPr="00FD65FA">
        <w:t>accumulation</w:t>
      </w:r>
      <w:r w:rsidR="00D40D45">
        <w:t xml:space="preserve"> showed basal levels of </w:t>
      </w:r>
      <w:r w:rsidR="00DC283C">
        <w:t>1-2 µg g</w:t>
      </w:r>
      <w:r w:rsidR="00DC283C" w:rsidRPr="00DC283C">
        <w:rPr>
          <w:vertAlign w:val="superscript"/>
        </w:rPr>
        <w:t>-1</w:t>
      </w:r>
      <w:r w:rsidR="00DC283C">
        <w:t xml:space="preserve"> FW that increased to approximately</w:t>
      </w:r>
      <w:r w:rsidRPr="00FD65FA">
        <w:t xml:space="preserve"> 5 µg g</w:t>
      </w:r>
      <w:r w:rsidRPr="00FD65FA">
        <w:rPr>
          <w:vertAlign w:val="superscript"/>
        </w:rPr>
        <w:t>-1</w:t>
      </w:r>
      <w:r w:rsidRPr="00FD65FA">
        <w:t xml:space="preserve"> FW</w:t>
      </w:r>
      <w:r w:rsidR="003009FB">
        <w:t xml:space="preserve"> in Col-0 and the mutant lines and</w:t>
      </w:r>
      <w:r w:rsidRPr="00FD65FA">
        <w:t xml:space="preserve"> </w:t>
      </w:r>
      <w:r w:rsidR="00763066">
        <w:t>slightly higher GABA-</w:t>
      </w:r>
      <w:r w:rsidR="00AF612B">
        <w:t>levels</w:t>
      </w:r>
      <w:r w:rsidRPr="00FD65FA">
        <w:t xml:space="preserve"> in</w:t>
      </w:r>
      <w:r w:rsidR="00AF612B">
        <w:t xml:space="preserve"> infected</w:t>
      </w:r>
      <w:r w:rsidRPr="00FD65FA">
        <w:t xml:space="preserve"> </w:t>
      </w:r>
      <w:r w:rsidRPr="00FD65FA">
        <w:rPr>
          <w:i/>
        </w:rPr>
        <w:t>coi1</w:t>
      </w:r>
      <w:r w:rsidR="00DC283C">
        <w:t xml:space="preserve"> </w:t>
      </w:r>
      <w:r w:rsidR="00AF612B">
        <w:t xml:space="preserve">leaves </w:t>
      </w:r>
      <w:r w:rsidR="00DC283C">
        <w:t>(Figure 35</w:t>
      </w:r>
      <w:r w:rsidR="00B37905">
        <w:t xml:space="preserve"> </w:t>
      </w:r>
      <w:r w:rsidRPr="00FD65FA">
        <w:t>D). The non-protein amino acid ornithine exhibited an increase</w:t>
      </w:r>
      <w:r w:rsidR="00DC283C">
        <w:t xml:space="preserve"> from 0.3-1 µg g</w:t>
      </w:r>
      <w:r w:rsidR="00DC283C" w:rsidRPr="00DC283C">
        <w:rPr>
          <w:vertAlign w:val="superscript"/>
        </w:rPr>
        <w:t>-1</w:t>
      </w:r>
      <w:r w:rsidR="00DC283C">
        <w:t xml:space="preserve"> FW in non-infected leaves to around</w:t>
      </w:r>
      <w:r w:rsidRPr="00FD65FA">
        <w:t xml:space="preserve"> 1.5 µg g</w:t>
      </w:r>
      <w:r w:rsidRPr="00FD65FA">
        <w:rPr>
          <w:vertAlign w:val="superscript"/>
        </w:rPr>
        <w:t>-1</w:t>
      </w:r>
      <w:r w:rsidRPr="00FD65FA">
        <w:t xml:space="preserve"> FW in Col-0, </w:t>
      </w:r>
      <w:r w:rsidRPr="00FD65FA">
        <w:rPr>
          <w:i/>
        </w:rPr>
        <w:t>ald1,</w:t>
      </w:r>
      <w:r w:rsidRPr="00FD65FA">
        <w:t xml:space="preserve"> and </w:t>
      </w:r>
      <w:r w:rsidRPr="00FD65FA">
        <w:rPr>
          <w:i/>
        </w:rPr>
        <w:t>ein2-1</w:t>
      </w:r>
      <w:r w:rsidRPr="00FD65FA">
        <w:t xml:space="preserve">, with slightly higher levels in </w:t>
      </w:r>
      <w:r w:rsidR="00EE0E54">
        <w:rPr>
          <w:i/>
        </w:rPr>
        <w:t>coi1, fmo1, pad2</w:t>
      </w:r>
      <w:r w:rsidRPr="00FD65FA">
        <w:rPr>
          <w:i/>
        </w:rPr>
        <w:t>, pad3</w:t>
      </w:r>
      <w:r w:rsidRPr="00FD65FA">
        <w:t xml:space="preserve">, and </w:t>
      </w:r>
      <w:r w:rsidR="00A05C54">
        <w:rPr>
          <w:i/>
        </w:rPr>
        <w:t>sid2</w:t>
      </w:r>
      <w:r w:rsidRPr="00FD65FA">
        <w:t xml:space="preserve"> </w:t>
      </w:r>
      <w:r w:rsidR="00DC283C">
        <w:t>and very high levels</w:t>
      </w:r>
      <w:r w:rsidR="00B37905">
        <w:t xml:space="preserve"> of approximately</w:t>
      </w:r>
      <w:r w:rsidRPr="00FD65FA">
        <w:t xml:space="preserve"> 4 µg g</w:t>
      </w:r>
      <w:r w:rsidRPr="00FD65FA">
        <w:rPr>
          <w:vertAlign w:val="superscript"/>
        </w:rPr>
        <w:t>-1</w:t>
      </w:r>
      <w:r w:rsidRPr="00FD65FA">
        <w:t xml:space="preserve"> FW in </w:t>
      </w:r>
      <w:r w:rsidRPr="00FD65FA">
        <w:rPr>
          <w:i/>
        </w:rPr>
        <w:t xml:space="preserve">etr1-1 </w:t>
      </w:r>
      <w:r w:rsidR="00DC283C">
        <w:t>(Figure 35</w:t>
      </w:r>
      <w:r w:rsidR="00B37905">
        <w:t xml:space="preserve"> </w:t>
      </w:r>
      <w:r w:rsidRPr="00FD65FA">
        <w:t xml:space="preserve">E). </w:t>
      </w:r>
      <w:r w:rsidR="007D6039">
        <w:t>Interestingly, the compound</w:t>
      </w:r>
      <w:r w:rsidRPr="00FD65FA">
        <w:t xml:space="preserve"> </w:t>
      </w:r>
      <w:r w:rsidR="007D6039">
        <w:t>“unknown</w:t>
      </w:r>
      <w:r w:rsidRPr="00FD65FA">
        <w:t xml:space="preserve"> 13</w:t>
      </w:r>
      <w:r w:rsidR="007D6039">
        <w:t>”</w:t>
      </w:r>
      <w:r w:rsidRPr="00FD65FA">
        <w:t xml:space="preserve"> accumu</w:t>
      </w:r>
      <w:r w:rsidR="007D6039">
        <w:t>lated more than 1000-</w:t>
      </w:r>
      <w:r w:rsidR="003009FB">
        <w:t xml:space="preserve">fold in </w:t>
      </w:r>
      <w:r w:rsidR="003009FB" w:rsidRPr="003009FB">
        <w:rPr>
          <w:i/>
        </w:rPr>
        <w:t>Botrytis</w:t>
      </w:r>
      <w:r w:rsidR="003009FB">
        <w:t xml:space="preserve">-infected Col-0 and </w:t>
      </w:r>
      <w:r w:rsidR="003009FB" w:rsidRPr="003009FB">
        <w:rPr>
          <w:i/>
        </w:rPr>
        <w:t xml:space="preserve">sid2 </w:t>
      </w:r>
      <w:r w:rsidR="003009FB">
        <w:t xml:space="preserve">plants, and </w:t>
      </w:r>
      <w:r w:rsidR="007D6039">
        <w:t>even 2000-</w:t>
      </w:r>
      <w:r w:rsidR="003009FB">
        <w:t xml:space="preserve">fold in </w:t>
      </w:r>
      <w:r w:rsidR="003009FB" w:rsidRPr="003009FB">
        <w:rPr>
          <w:i/>
        </w:rPr>
        <w:t>fmo1</w:t>
      </w:r>
      <w:r w:rsidR="003009FB">
        <w:t xml:space="preserve"> </w:t>
      </w:r>
      <w:r w:rsidR="007D6039">
        <w:t xml:space="preserve">compared to uninfected controls </w:t>
      </w:r>
      <w:r w:rsidR="00DC283C">
        <w:t>(Figure 35</w:t>
      </w:r>
      <w:r w:rsidR="00B37905">
        <w:t xml:space="preserve"> </w:t>
      </w:r>
      <w:r w:rsidRPr="00FD65FA">
        <w:t xml:space="preserve">F). In </w:t>
      </w:r>
      <w:r w:rsidRPr="00FD65FA">
        <w:rPr>
          <w:i/>
        </w:rPr>
        <w:t>ein2-1</w:t>
      </w:r>
      <w:r w:rsidRPr="00FD65FA">
        <w:t xml:space="preserve"> </w:t>
      </w:r>
      <w:r w:rsidR="003009FB">
        <w:t xml:space="preserve">and </w:t>
      </w:r>
      <w:r w:rsidR="003009FB" w:rsidRPr="003009FB">
        <w:rPr>
          <w:i/>
        </w:rPr>
        <w:t>ein2</w:t>
      </w:r>
      <w:r w:rsidR="003009FB">
        <w:t xml:space="preserve"> this substance </w:t>
      </w:r>
      <w:r w:rsidR="007D6039">
        <w:t>increased</w:t>
      </w:r>
      <w:r w:rsidR="00420F6E">
        <w:t xml:space="preserve"> 100- and 600-fold</w:t>
      </w:r>
      <w:r w:rsidR="003009FB">
        <w:t>, respectively, and</w:t>
      </w:r>
      <w:r w:rsidR="007D6039">
        <w:t xml:space="preserve"> a less than 100-fold increase was observed in plant lines</w:t>
      </w:r>
      <w:r w:rsidR="003009FB">
        <w:t xml:space="preserve"> </w:t>
      </w:r>
      <w:r w:rsidR="003009FB" w:rsidRPr="003009FB">
        <w:rPr>
          <w:i/>
        </w:rPr>
        <w:t>ald1, etr1-1</w:t>
      </w:r>
      <w:r w:rsidR="003009FB">
        <w:t xml:space="preserve">, and </w:t>
      </w:r>
      <w:r w:rsidR="003009FB" w:rsidRPr="003009FB">
        <w:rPr>
          <w:i/>
        </w:rPr>
        <w:t>pad3</w:t>
      </w:r>
      <w:r w:rsidR="00CE28FD">
        <w:t xml:space="preserve">. </w:t>
      </w:r>
      <w:r w:rsidR="003009FB">
        <w:t xml:space="preserve">In the phytoalexin- and glucosinolate-deficient </w:t>
      </w:r>
      <w:r w:rsidR="003009FB" w:rsidRPr="006C18A8">
        <w:rPr>
          <w:i/>
        </w:rPr>
        <w:t>pad2</w:t>
      </w:r>
      <w:r w:rsidR="003009FB">
        <w:t xml:space="preserve"> mutant line a</w:t>
      </w:r>
      <w:r w:rsidR="00A754DE">
        <w:t>n</w:t>
      </w:r>
      <w:r w:rsidR="003009FB">
        <w:t xml:space="preserve"> almost 500-fold increase of this compound</w:t>
      </w:r>
      <w:r w:rsidR="00A754DE">
        <w:t xml:space="preserve"> was detected </w:t>
      </w:r>
      <w:r w:rsidR="003009FB">
        <w:t xml:space="preserve">in infected leaves </w:t>
      </w:r>
      <w:r w:rsidR="00A754DE">
        <w:t>compared to uninfected ones</w:t>
      </w:r>
      <w:r w:rsidR="003009FB">
        <w:t xml:space="preserve">. </w:t>
      </w:r>
      <w:r w:rsidR="00862CE6">
        <w:t>The JA-</w:t>
      </w:r>
      <w:r w:rsidR="006C18A8">
        <w:t xml:space="preserve">receptor mutant </w:t>
      </w:r>
      <w:r w:rsidR="006C18A8" w:rsidRPr="006C18A8">
        <w:rPr>
          <w:i/>
        </w:rPr>
        <w:t>coi1</w:t>
      </w:r>
      <w:r w:rsidR="006C18A8">
        <w:t xml:space="preserve"> did not exhibit </w:t>
      </w:r>
      <w:r w:rsidR="00A754DE">
        <w:t xml:space="preserve">any </w:t>
      </w:r>
      <w:r w:rsidR="006C18A8">
        <w:t xml:space="preserve">accumulation of this substance in </w:t>
      </w:r>
      <w:r w:rsidR="006C18A8" w:rsidRPr="006C18A8">
        <w:rPr>
          <w:i/>
        </w:rPr>
        <w:t>B.</w:t>
      </w:r>
      <w:r w:rsidR="00A754DE">
        <w:rPr>
          <w:i/>
        </w:rPr>
        <w:t xml:space="preserve"> </w:t>
      </w:r>
      <w:r w:rsidR="006C18A8" w:rsidRPr="006C18A8">
        <w:rPr>
          <w:i/>
        </w:rPr>
        <w:t>cinerea</w:t>
      </w:r>
      <w:r w:rsidR="006C18A8">
        <w:t>-infected leaves</w:t>
      </w:r>
      <w:r w:rsidR="00A754DE">
        <w:t xml:space="preserve"> at all</w:t>
      </w:r>
      <w:r w:rsidR="006C18A8">
        <w:t xml:space="preserve">. </w:t>
      </w:r>
      <w:r w:rsidR="00CE28FD">
        <w:t>As i</w:t>
      </w:r>
      <w:r w:rsidRPr="00FD65FA">
        <w:t xml:space="preserve">t was not to </w:t>
      </w:r>
      <w:r w:rsidR="00DC283C">
        <w:t xml:space="preserve">possible </w:t>
      </w:r>
      <w:r w:rsidR="00CE28FD">
        <w:t xml:space="preserve">to </w:t>
      </w:r>
      <w:r w:rsidR="00A754DE">
        <w:t>detect</w:t>
      </w:r>
      <w:r w:rsidR="00DC283C">
        <w:t xml:space="preserve"> </w:t>
      </w:r>
      <w:r w:rsidR="00A754DE">
        <w:t>“</w:t>
      </w:r>
      <w:r w:rsidR="00DC283C">
        <w:t>u</w:t>
      </w:r>
      <w:r w:rsidRPr="00FD65FA">
        <w:t>nknown 13</w:t>
      </w:r>
      <w:r w:rsidR="00A754DE">
        <w:t>”</w:t>
      </w:r>
      <w:r w:rsidRPr="00FD65FA">
        <w:t xml:space="preserve"> in </w:t>
      </w:r>
      <w:r w:rsidRPr="00FD65FA">
        <w:rPr>
          <w:i/>
        </w:rPr>
        <w:t xml:space="preserve">coi1, </w:t>
      </w:r>
      <w:r w:rsidR="006C18A8">
        <w:t>and levels for this com</w:t>
      </w:r>
      <w:r w:rsidR="00A754DE">
        <w:t>p</w:t>
      </w:r>
      <w:r w:rsidR="006C18A8">
        <w:t xml:space="preserve">ound were very low in </w:t>
      </w:r>
      <w:r w:rsidRPr="00FD65FA">
        <w:rPr>
          <w:i/>
        </w:rPr>
        <w:t>etr1-1</w:t>
      </w:r>
      <w:r w:rsidR="006C18A8">
        <w:t>, and</w:t>
      </w:r>
      <w:r w:rsidRPr="00FD65FA">
        <w:t xml:space="preserve"> </w:t>
      </w:r>
      <w:r w:rsidRPr="00FD65FA">
        <w:rPr>
          <w:i/>
        </w:rPr>
        <w:t>pad3</w:t>
      </w:r>
      <w:r w:rsidR="00CE28FD">
        <w:t>, it</w:t>
      </w:r>
      <w:r w:rsidR="00DC283C">
        <w:t xml:space="preserve"> </w:t>
      </w:r>
      <w:r w:rsidR="00A754DE">
        <w:t>appears plausible</w:t>
      </w:r>
      <w:r w:rsidR="00DC283C">
        <w:t xml:space="preserve"> </w:t>
      </w:r>
      <w:r w:rsidR="00A754DE">
        <w:t xml:space="preserve">that either </w:t>
      </w:r>
      <w:r w:rsidR="00DC283C">
        <w:t>JA/ET-mediated signalling</w:t>
      </w:r>
      <w:r w:rsidR="00A754DE">
        <w:t xml:space="preserve"> is involved</w:t>
      </w:r>
      <w:r w:rsidR="00DC283C">
        <w:t xml:space="preserve"> in </w:t>
      </w:r>
      <w:r w:rsidR="00A754DE">
        <w:t xml:space="preserve">the </w:t>
      </w:r>
      <w:r w:rsidR="00DC283C">
        <w:t xml:space="preserve">biosynthesis of this compound, or </w:t>
      </w:r>
      <w:r w:rsidR="00A754DE">
        <w:t>that “unknown 13” and camalexin share a common</w:t>
      </w:r>
      <w:r w:rsidR="0075259A">
        <w:t xml:space="preserve"> biosynthesis pathway </w:t>
      </w:r>
      <w:r w:rsidR="00B37905">
        <w:t>(</w:t>
      </w:r>
      <w:r w:rsidR="00DC283C">
        <w:t>Figure 35</w:t>
      </w:r>
      <w:r w:rsidR="00B37905">
        <w:t xml:space="preserve"> </w:t>
      </w:r>
      <w:r w:rsidRPr="00FD65FA">
        <w:t>F).</w:t>
      </w:r>
      <w:r w:rsidR="0075259A">
        <w:t xml:space="preserve"> </w:t>
      </w:r>
      <w:r w:rsidR="00EA3549">
        <w:t xml:space="preserve">These results </w:t>
      </w:r>
      <w:r w:rsidR="00A754DE">
        <w:t>demonstrate</w:t>
      </w:r>
      <w:r w:rsidR="00EA3549">
        <w:t xml:space="preserve"> that camalexin </w:t>
      </w:r>
      <w:r w:rsidR="00CE28FD">
        <w:t>accumulation</w:t>
      </w:r>
      <w:r w:rsidR="00420F6E">
        <w:t xml:space="preserve"> –in contrast to that of SA–</w:t>
      </w:r>
      <w:r w:rsidR="00CE28FD">
        <w:t xml:space="preserve"> seems to play</w:t>
      </w:r>
      <w:r w:rsidR="00EA3549">
        <w:t xml:space="preserve"> a major role in defence </w:t>
      </w:r>
      <w:r w:rsidR="00A754DE">
        <w:t xml:space="preserve">in the interaction between </w:t>
      </w:r>
      <w:r w:rsidR="00A754DE">
        <w:rPr>
          <w:i/>
        </w:rPr>
        <w:t>Arabidopsis</w:t>
      </w:r>
      <w:r w:rsidR="00A754DE">
        <w:t xml:space="preserve"> and </w:t>
      </w:r>
      <w:r w:rsidR="00A754DE">
        <w:rPr>
          <w:i/>
        </w:rPr>
        <w:t>Botrytis</w:t>
      </w:r>
      <w:r w:rsidR="00EA3549">
        <w:t xml:space="preserve">. It also shows that infection with this necrotroph induces </w:t>
      </w:r>
      <w:r w:rsidR="00A754DE">
        <w:t>Pip</w:t>
      </w:r>
      <w:r w:rsidR="00763066">
        <w:t>-</w:t>
      </w:r>
      <w:r w:rsidR="00EA3549">
        <w:t xml:space="preserve">accumulation, albeit not to similar high levels as in the </w:t>
      </w:r>
      <w:r w:rsidR="00EA3549" w:rsidRPr="00EA3549">
        <w:rPr>
          <w:i/>
        </w:rPr>
        <w:t>Arabidopsis-</w:t>
      </w:r>
      <w:r w:rsidR="00763066">
        <w:rPr>
          <w:i/>
        </w:rPr>
        <w:t>Psm</w:t>
      </w:r>
      <w:r w:rsidR="00EA3549">
        <w:t xml:space="preserve"> int</w:t>
      </w:r>
      <w:r w:rsidR="00E8171E">
        <w:t xml:space="preserve">eraction. </w:t>
      </w:r>
    </w:p>
    <w:p w:rsidR="00E8171E" w:rsidRDefault="00E8171E" w:rsidP="00DC283C">
      <w:pPr>
        <w:spacing w:after="0" w:line="360" w:lineRule="auto"/>
        <w:jc w:val="both"/>
        <w:sectPr w:rsidR="00E8171E" w:rsidSect="00B517AA">
          <w:headerReference w:type="default" r:id="rId65"/>
          <w:headerReference w:type="first" r:id="rId66"/>
          <w:type w:val="continuous"/>
          <w:pgSz w:w="11906" w:h="16838"/>
          <w:pgMar w:top="1417" w:right="1417" w:bottom="1134" w:left="1417" w:header="708" w:footer="708" w:gutter="0"/>
          <w:cols w:space="708"/>
          <w:titlePg/>
          <w:docGrid w:linePitch="360"/>
        </w:sectPr>
      </w:pPr>
    </w:p>
    <w:p w:rsidR="00B517AA" w:rsidRDefault="008C5C07" w:rsidP="008C5C07">
      <w:pPr>
        <w:pStyle w:val="berschrift2"/>
        <w:spacing w:after="240"/>
        <w:jc w:val="both"/>
        <w:rPr>
          <w:color w:val="auto"/>
        </w:rPr>
      </w:pPr>
      <w:bookmarkStart w:id="84" w:name="_Toc435621242"/>
      <w:r>
        <w:rPr>
          <w:color w:val="auto"/>
        </w:rPr>
        <w:lastRenderedPageBreak/>
        <w:t xml:space="preserve">6.6 </w:t>
      </w:r>
      <w:r w:rsidR="00D34609">
        <w:rPr>
          <w:color w:val="auto"/>
        </w:rPr>
        <w:t>Reducti</w:t>
      </w:r>
      <w:r w:rsidR="003108D6">
        <w:rPr>
          <w:color w:val="auto"/>
        </w:rPr>
        <w:t>on of</w:t>
      </w:r>
      <w:r w:rsidR="00D34609">
        <w:rPr>
          <w:color w:val="auto"/>
        </w:rPr>
        <w:t xml:space="preserve"> </w:t>
      </w:r>
      <w:r w:rsidR="00D34609" w:rsidRPr="00D34609">
        <w:rPr>
          <w:i/>
          <w:color w:val="auto"/>
        </w:rPr>
        <w:t>B. cinerea</w:t>
      </w:r>
      <w:r w:rsidR="003108D6">
        <w:rPr>
          <w:i/>
          <w:color w:val="auto"/>
        </w:rPr>
        <w:t>-</w:t>
      </w:r>
      <w:r w:rsidR="003108D6" w:rsidRPr="003108D6">
        <w:rPr>
          <w:color w:val="auto"/>
        </w:rPr>
        <w:t>caused</w:t>
      </w:r>
      <w:r w:rsidR="00D34609" w:rsidRPr="003108D6">
        <w:rPr>
          <w:color w:val="auto"/>
        </w:rPr>
        <w:t xml:space="preserve"> </w:t>
      </w:r>
      <w:r w:rsidR="003108D6">
        <w:rPr>
          <w:color w:val="auto"/>
        </w:rPr>
        <w:t xml:space="preserve">disease symptoms </w:t>
      </w:r>
      <w:r w:rsidR="00D34609">
        <w:rPr>
          <w:color w:val="auto"/>
        </w:rPr>
        <w:t>by e</w:t>
      </w:r>
      <w:r>
        <w:rPr>
          <w:color w:val="auto"/>
        </w:rPr>
        <w:t>xogenous</w:t>
      </w:r>
      <w:r w:rsidR="00DA20A3">
        <w:rPr>
          <w:color w:val="auto"/>
        </w:rPr>
        <w:t xml:space="preserve"> Pip</w:t>
      </w:r>
      <w:r w:rsidR="003108D6">
        <w:rPr>
          <w:color w:val="auto"/>
        </w:rPr>
        <w:t>-treatment</w:t>
      </w:r>
      <w:bookmarkEnd w:id="84"/>
      <w:r w:rsidRPr="00086577">
        <w:rPr>
          <w:color w:val="auto"/>
        </w:rPr>
        <w:t xml:space="preserve"> </w:t>
      </w:r>
    </w:p>
    <w:p w:rsidR="008C5C07" w:rsidRDefault="008C5C07" w:rsidP="008C5C07">
      <w:pPr>
        <w:spacing w:after="0" w:line="360" w:lineRule="auto"/>
        <w:jc w:val="both"/>
      </w:pPr>
      <w:r>
        <w:t>A</w:t>
      </w:r>
      <w:r w:rsidRPr="00FD65FA">
        <w:t xml:space="preserve">s </w:t>
      </w:r>
      <w:r w:rsidR="00D34609">
        <w:t>Pip</w:t>
      </w:r>
      <w:r w:rsidR="00DA20A3">
        <w:t>-</w:t>
      </w:r>
      <w:r w:rsidRPr="00FD65FA">
        <w:t>levels were found to increase upon infection with</w:t>
      </w:r>
      <w:r>
        <w:t xml:space="preserve"> the necrotrophic fungus</w:t>
      </w:r>
      <w:r w:rsidRPr="00FD65FA">
        <w:t xml:space="preserve"> </w:t>
      </w:r>
      <w:r w:rsidRPr="00C416B1">
        <w:rPr>
          <w:i/>
        </w:rPr>
        <w:t>B</w:t>
      </w:r>
      <w:r w:rsidR="00DA20A3">
        <w:rPr>
          <w:i/>
        </w:rPr>
        <w:t>.</w:t>
      </w:r>
      <w:r w:rsidRPr="00C416B1">
        <w:rPr>
          <w:i/>
        </w:rPr>
        <w:t xml:space="preserve"> cinerea</w:t>
      </w:r>
      <w:r w:rsidRPr="00FD65FA">
        <w:t xml:space="preserve">, the ability of </w:t>
      </w:r>
      <w:r>
        <w:t>exogenous</w:t>
      </w:r>
      <w:r w:rsidR="00DA20A3">
        <w:t>ly</w:t>
      </w:r>
      <w:r>
        <w:t xml:space="preserve"> applied </w:t>
      </w:r>
      <w:r w:rsidRPr="00FD65FA">
        <w:t>Pip to induce resistance to t</w:t>
      </w:r>
      <w:r>
        <w:t>his pathogen</w:t>
      </w:r>
      <w:r w:rsidRPr="00FD65FA">
        <w:t xml:space="preserve"> was tested</w:t>
      </w:r>
      <w:r w:rsidR="00DA20A3">
        <w:t xml:space="preserve"> analogously to the Pip-induced resistance (Pip-IR)</w:t>
      </w:r>
      <w:r w:rsidR="00D34609">
        <w:t xml:space="preserve"> experiments performed with the hemibiotrophic bacterium</w:t>
      </w:r>
      <w:r w:rsidR="00D34609" w:rsidRPr="00FD65FA">
        <w:t xml:space="preserve"> </w:t>
      </w:r>
      <w:r w:rsidR="00D34609" w:rsidRPr="00FD65FA">
        <w:rPr>
          <w:i/>
        </w:rPr>
        <w:t>Psm</w:t>
      </w:r>
      <w:r>
        <w:t>. For this experiment the same plant lines were used as in the analysis of metabolite accumulation.</w:t>
      </w:r>
    </w:p>
    <w:p w:rsidR="008C5C07" w:rsidRDefault="008C5C07" w:rsidP="008C5C07">
      <w:pPr>
        <w:spacing w:after="0" w:line="360" w:lineRule="auto"/>
        <w:jc w:val="both"/>
      </w:pPr>
    </w:p>
    <w:p w:rsidR="00D34609" w:rsidRPr="008C5C07" w:rsidRDefault="00D34609" w:rsidP="008C5C07">
      <w:pPr>
        <w:spacing w:after="0" w:line="360" w:lineRule="auto"/>
        <w:jc w:val="both"/>
        <w:sectPr w:rsidR="00D34609" w:rsidRPr="008C5C07" w:rsidSect="00B517AA">
          <w:headerReference w:type="first" r:id="rId67"/>
          <w:type w:val="continuous"/>
          <w:pgSz w:w="11906" w:h="16838"/>
          <w:pgMar w:top="1417" w:right="1417" w:bottom="1134" w:left="1417" w:header="708" w:footer="708" w:gutter="0"/>
          <w:cols w:space="708"/>
          <w:titlePg/>
          <w:docGrid w:linePitch="360"/>
        </w:sectPr>
      </w:pPr>
    </w:p>
    <w:p w:rsidR="008C5C07" w:rsidRPr="001022FC" w:rsidRDefault="008C5C07" w:rsidP="001022FC">
      <w:pPr>
        <w:spacing w:after="0" w:line="360" w:lineRule="auto"/>
        <w:jc w:val="both"/>
      </w:pPr>
      <w:r w:rsidRPr="001022FC">
        <w:rPr>
          <w:noProof/>
          <w:lang w:val="de-DE" w:eastAsia="de-DE"/>
        </w:rPr>
        <w:lastRenderedPageBreak/>
        <w:drawing>
          <wp:anchor distT="0" distB="0" distL="114300" distR="114300" simplePos="0" relativeHeight="251712512" behindDoc="0" locked="0" layoutInCell="1" allowOverlap="1" wp14:anchorId="0BDBB8F8" wp14:editId="0753C5C2">
            <wp:simplePos x="895350" y="895350"/>
            <wp:positionH relativeFrom="page">
              <wp:align>center</wp:align>
            </wp:positionH>
            <wp:positionV relativeFrom="paragraph">
              <wp:posOffset>-3810</wp:posOffset>
            </wp:positionV>
            <wp:extent cx="4320000" cy="2726996"/>
            <wp:effectExtent l="19050" t="19050" r="23495" b="16510"/>
            <wp:wrapTopAndBottom/>
            <wp:docPr id="63" name="Grafik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p-IR vs Bc.png"/>
                    <pic:cNvPicPr/>
                  </pic:nvPicPr>
                  <pic:blipFill>
                    <a:blip r:embed="rId68">
                      <a:extLst>
                        <a:ext uri="{28A0092B-C50C-407E-A947-70E740481C1C}">
                          <a14:useLocalDpi xmlns:a14="http://schemas.microsoft.com/office/drawing/2010/main" val="0"/>
                        </a:ext>
                      </a:extLst>
                    </a:blip>
                    <a:stretch>
                      <a:fillRect/>
                    </a:stretch>
                  </pic:blipFill>
                  <pic:spPr>
                    <a:xfrm>
                      <a:off x="0" y="0"/>
                      <a:ext cx="4320000" cy="2726996"/>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p>
    <w:p w:rsidR="001022FC" w:rsidRPr="006E436D" w:rsidRDefault="001022FC" w:rsidP="00D34609">
      <w:pPr>
        <w:spacing w:after="0" w:line="360" w:lineRule="auto"/>
        <w:jc w:val="both"/>
        <w:rPr>
          <w:b/>
          <w:bCs/>
          <w:sz w:val="18"/>
          <w:szCs w:val="18"/>
          <w:lang w:val="en-US"/>
        </w:rPr>
      </w:pPr>
      <w:bookmarkStart w:id="85" w:name="_Toc435621154"/>
      <w:proofErr w:type="gramStart"/>
      <w:r w:rsidRPr="006E436D">
        <w:rPr>
          <w:b/>
          <w:bCs/>
          <w:sz w:val="18"/>
          <w:szCs w:val="18"/>
        </w:rPr>
        <w:t xml:space="preserve">Figure </w:t>
      </w:r>
      <w:r w:rsidRPr="006E436D">
        <w:rPr>
          <w:b/>
          <w:bCs/>
          <w:sz w:val="18"/>
          <w:szCs w:val="18"/>
        </w:rPr>
        <w:fldChar w:fldCharType="begin"/>
      </w:r>
      <w:r w:rsidRPr="006E436D">
        <w:rPr>
          <w:b/>
          <w:bCs/>
          <w:sz w:val="18"/>
          <w:szCs w:val="18"/>
        </w:rPr>
        <w:instrText xml:space="preserve"> SEQ Figure \* ARABIC </w:instrText>
      </w:r>
      <w:r w:rsidRPr="006E436D">
        <w:rPr>
          <w:b/>
          <w:bCs/>
          <w:sz w:val="18"/>
          <w:szCs w:val="18"/>
        </w:rPr>
        <w:fldChar w:fldCharType="separate"/>
      </w:r>
      <w:r w:rsidR="00CB17FE">
        <w:rPr>
          <w:b/>
          <w:bCs/>
          <w:noProof/>
          <w:sz w:val="18"/>
          <w:szCs w:val="18"/>
        </w:rPr>
        <w:t>36</w:t>
      </w:r>
      <w:r w:rsidRPr="006E436D">
        <w:rPr>
          <w:sz w:val="18"/>
          <w:szCs w:val="18"/>
        </w:rPr>
        <w:fldChar w:fldCharType="end"/>
      </w:r>
      <w:r w:rsidR="0096402E" w:rsidRPr="0096402E">
        <w:rPr>
          <w:b/>
          <w:sz w:val="18"/>
          <w:szCs w:val="18"/>
        </w:rPr>
        <w:t>.</w:t>
      </w:r>
      <w:proofErr w:type="gramEnd"/>
      <w:r w:rsidRPr="006E436D">
        <w:rPr>
          <w:b/>
          <w:bCs/>
          <w:sz w:val="18"/>
          <w:szCs w:val="18"/>
        </w:rPr>
        <w:t xml:space="preserve"> </w:t>
      </w:r>
      <w:proofErr w:type="gramStart"/>
      <w:r w:rsidR="00D34609">
        <w:rPr>
          <w:b/>
          <w:bCs/>
          <w:sz w:val="18"/>
          <w:szCs w:val="18"/>
          <w:lang w:val="en-US"/>
        </w:rPr>
        <w:t>Pip-</w:t>
      </w:r>
      <w:r w:rsidRPr="006E436D">
        <w:rPr>
          <w:b/>
          <w:bCs/>
          <w:sz w:val="18"/>
          <w:szCs w:val="18"/>
          <w:lang w:val="en-US"/>
        </w:rPr>
        <w:t xml:space="preserve">induced resistance against the necrotrophic fungus </w:t>
      </w:r>
      <w:r w:rsidR="00D34609">
        <w:rPr>
          <w:b/>
          <w:bCs/>
          <w:i/>
          <w:sz w:val="18"/>
          <w:szCs w:val="18"/>
          <w:lang w:val="en-US"/>
        </w:rPr>
        <w:t xml:space="preserve">B. </w:t>
      </w:r>
      <w:r w:rsidRPr="006E436D">
        <w:rPr>
          <w:b/>
          <w:bCs/>
          <w:i/>
          <w:sz w:val="18"/>
          <w:szCs w:val="18"/>
          <w:lang w:val="en-US"/>
        </w:rPr>
        <w:t>cinerea</w:t>
      </w:r>
      <w:r w:rsidRPr="006E436D">
        <w:rPr>
          <w:b/>
          <w:bCs/>
          <w:sz w:val="18"/>
          <w:szCs w:val="18"/>
          <w:lang w:val="en-US"/>
        </w:rPr>
        <w:t>.</w:t>
      </w:r>
      <w:bookmarkEnd w:id="85"/>
      <w:proofErr w:type="gramEnd"/>
      <w:r w:rsidRPr="006E436D">
        <w:rPr>
          <w:b/>
          <w:bCs/>
          <w:sz w:val="18"/>
          <w:szCs w:val="18"/>
          <w:lang w:val="en-US"/>
        </w:rPr>
        <w:t xml:space="preserve"> </w:t>
      </w:r>
    </w:p>
    <w:p w:rsidR="001022FC" w:rsidRPr="006E436D" w:rsidRDefault="001022FC" w:rsidP="00552DD6">
      <w:pPr>
        <w:jc w:val="both"/>
        <w:rPr>
          <w:bCs/>
          <w:sz w:val="18"/>
          <w:szCs w:val="18"/>
          <w:lang w:val="en-US"/>
        </w:rPr>
      </w:pPr>
      <w:r w:rsidRPr="006E436D">
        <w:rPr>
          <w:bCs/>
          <w:sz w:val="18"/>
          <w:szCs w:val="18"/>
          <w:lang w:val="en-US"/>
        </w:rPr>
        <w:t xml:space="preserve">Plants were supplied </w:t>
      </w:r>
      <w:r w:rsidR="00E10306" w:rsidRPr="006E436D">
        <w:rPr>
          <w:bCs/>
          <w:sz w:val="18"/>
          <w:szCs w:val="18"/>
          <w:lang w:val="en-US"/>
        </w:rPr>
        <w:t>with 10 ml water or 10 ml 1 mM</w:t>
      </w:r>
      <w:r w:rsidRPr="006E436D">
        <w:rPr>
          <w:bCs/>
          <w:sz w:val="18"/>
          <w:szCs w:val="18"/>
          <w:lang w:val="en-US"/>
        </w:rPr>
        <w:t xml:space="preserve"> (10 µmol) Pip per pot 1 day prior to infection with 4 drops á 3 µl of pregerminated </w:t>
      </w:r>
      <w:r w:rsidRPr="006E436D">
        <w:rPr>
          <w:bCs/>
          <w:i/>
          <w:sz w:val="18"/>
          <w:szCs w:val="18"/>
          <w:lang w:val="en-US"/>
        </w:rPr>
        <w:t>B.</w:t>
      </w:r>
      <w:r w:rsidR="00D34609">
        <w:rPr>
          <w:bCs/>
          <w:i/>
          <w:sz w:val="18"/>
          <w:szCs w:val="18"/>
          <w:lang w:val="en-US"/>
        </w:rPr>
        <w:t xml:space="preserve"> </w:t>
      </w:r>
      <w:r w:rsidRPr="006E436D">
        <w:rPr>
          <w:bCs/>
          <w:i/>
          <w:sz w:val="18"/>
          <w:szCs w:val="18"/>
          <w:lang w:val="en-US"/>
        </w:rPr>
        <w:t>cinerea</w:t>
      </w:r>
      <w:r w:rsidRPr="006E436D">
        <w:rPr>
          <w:bCs/>
          <w:sz w:val="18"/>
          <w:szCs w:val="18"/>
          <w:lang w:val="en-US"/>
        </w:rPr>
        <w:t xml:space="preserve"> spores per leaf on 3 leaves per plant. Plants were kept in high air humidity for 3 days and disease symptoms </w:t>
      </w:r>
      <w:r w:rsidR="00F36933">
        <w:rPr>
          <w:bCs/>
          <w:sz w:val="18"/>
          <w:szCs w:val="18"/>
          <w:lang w:val="en-US"/>
        </w:rPr>
        <w:t xml:space="preserve">were </w:t>
      </w:r>
      <w:r w:rsidRPr="006E436D">
        <w:rPr>
          <w:bCs/>
          <w:sz w:val="18"/>
          <w:szCs w:val="18"/>
          <w:lang w:val="en-US"/>
        </w:rPr>
        <w:t>evaluated by measuring lesion size. Statistical significant differences between water- and Pip-treated plants (asterisks above the bars)</w:t>
      </w:r>
      <w:r w:rsidR="008C5C07" w:rsidRPr="006E436D">
        <w:rPr>
          <w:bCs/>
          <w:sz w:val="18"/>
          <w:szCs w:val="18"/>
          <w:lang w:val="en-US"/>
        </w:rPr>
        <w:t xml:space="preserve"> and between Col-0 and mutant plants (letters above the bars)</w:t>
      </w:r>
      <w:r w:rsidRPr="006E436D">
        <w:rPr>
          <w:bCs/>
          <w:sz w:val="18"/>
          <w:szCs w:val="18"/>
          <w:lang w:val="en-US"/>
        </w:rPr>
        <w:t xml:space="preserve"> were assessed using a two-tailed </w:t>
      </w:r>
      <w:r w:rsidRPr="006E436D">
        <w:rPr>
          <w:bCs/>
          <w:i/>
          <w:sz w:val="18"/>
          <w:szCs w:val="18"/>
          <w:lang w:val="en-US"/>
        </w:rPr>
        <w:t>t</w:t>
      </w:r>
      <w:r w:rsidRPr="006E436D">
        <w:rPr>
          <w:bCs/>
          <w:sz w:val="18"/>
          <w:szCs w:val="18"/>
          <w:lang w:val="en-US"/>
        </w:rPr>
        <w:t xml:space="preserve"> test (*</w:t>
      </w:r>
      <w:r w:rsidR="008C5C07" w:rsidRPr="006E436D">
        <w:rPr>
          <w:bCs/>
          <w:sz w:val="18"/>
          <w:szCs w:val="18"/>
          <w:lang w:val="en-US"/>
        </w:rPr>
        <w:t xml:space="preserve"> a</w:t>
      </w:r>
      <w:r w:rsidRPr="006E436D">
        <w:rPr>
          <w:bCs/>
          <w:sz w:val="18"/>
          <w:szCs w:val="18"/>
          <w:lang w:val="en-US"/>
        </w:rPr>
        <w:t>, P&lt; 0.05; **</w:t>
      </w:r>
      <w:r w:rsidR="008C5C07" w:rsidRPr="006E436D">
        <w:rPr>
          <w:bCs/>
          <w:sz w:val="18"/>
          <w:szCs w:val="18"/>
          <w:lang w:val="en-US"/>
        </w:rPr>
        <w:t xml:space="preserve"> b</w:t>
      </w:r>
      <w:r w:rsidRPr="006E436D">
        <w:rPr>
          <w:bCs/>
          <w:sz w:val="18"/>
          <w:szCs w:val="18"/>
          <w:lang w:val="en-US"/>
        </w:rPr>
        <w:t>, P&lt; 0.01; ***</w:t>
      </w:r>
      <w:r w:rsidR="008C5C07" w:rsidRPr="006E436D">
        <w:rPr>
          <w:bCs/>
          <w:sz w:val="18"/>
          <w:szCs w:val="18"/>
          <w:lang w:val="en-US"/>
        </w:rPr>
        <w:t xml:space="preserve"> c</w:t>
      </w:r>
      <w:r w:rsidRPr="006E436D">
        <w:rPr>
          <w:bCs/>
          <w:sz w:val="18"/>
          <w:szCs w:val="18"/>
          <w:lang w:val="en-US"/>
        </w:rPr>
        <w:t>, P&lt;0.001).</w:t>
      </w:r>
    </w:p>
    <w:p w:rsidR="00552DD6" w:rsidRDefault="00552DD6" w:rsidP="00E10306">
      <w:pPr>
        <w:spacing w:after="0" w:line="360" w:lineRule="auto"/>
        <w:jc w:val="both"/>
        <w:rPr>
          <w:lang w:val="en-US"/>
        </w:rPr>
      </w:pPr>
      <w:r w:rsidRPr="00552DD6">
        <w:t xml:space="preserve">Plants were treated with 10 µmol Pip one day prior to infection with </w:t>
      </w:r>
      <w:r w:rsidRPr="00552DD6">
        <w:rPr>
          <w:i/>
        </w:rPr>
        <w:t>B.</w:t>
      </w:r>
      <w:r w:rsidR="00F40261">
        <w:rPr>
          <w:i/>
        </w:rPr>
        <w:t xml:space="preserve"> </w:t>
      </w:r>
      <w:r w:rsidRPr="00552DD6">
        <w:rPr>
          <w:i/>
        </w:rPr>
        <w:t>cinerea</w:t>
      </w:r>
      <w:r w:rsidRPr="00552DD6">
        <w:t xml:space="preserve"> and disease symptoms and lesion size documented </w:t>
      </w:r>
      <w:r w:rsidR="00420F6E">
        <w:t xml:space="preserve">were </w:t>
      </w:r>
      <w:r w:rsidRPr="00552DD6">
        <w:t xml:space="preserve">at 3 dpi (Figure 36; Figure 37). Pip induced resistance to </w:t>
      </w:r>
      <w:r w:rsidRPr="00552DD6">
        <w:rPr>
          <w:i/>
        </w:rPr>
        <w:t>B</w:t>
      </w:r>
      <w:r w:rsidR="00F40261">
        <w:rPr>
          <w:i/>
        </w:rPr>
        <w:t>.</w:t>
      </w:r>
      <w:r w:rsidRPr="00552DD6">
        <w:rPr>
          <w:i/>
        </w:rPr>
        <w:t xml:space="preserve"> cinerea</w:t>
      </w:r>
      <w:r w:rsidRPr="00552DD6">
        <w:t xml:space="preserve"> in Col-0 and to a lesser degree in </w:t>
      </w:r>
      <w:r w:rsidRPr="00552DD6">
        <w:rPr>
          <w:i/>
        </w:rPr>
        <w:t>ald1</w:t>
      </w:r>
      <w:r w:rsidRPr="00552DD6">
        <w:t>. A very weak</w:t>
      </w:r>
      <w:r w:rsidR="000A29E1">
        <w:t>, but in</w:t>
      </w:r>
      <w:r w:rsidR="0020502E">
        <w:t>significant,</w:t>
      </w:r>
      <w:r w:rsidRPr="00552DD6">
        <w:t xml:space="preserve"> induction of defence was observed in </w:t>
      </w:r>
      <w:r w:rsidRPr="00552DD6">
        <w:rPr>
          <w:i/>
        </w:rPr>
        <w:t>fmo1</w:t>
      </w:r>
      <w:r w:rsidRPr="00552DD6">
        <w:t xml:space="preserve"> and no significant difference in water- and Pip-treated plants was seen in </w:t>
      </w:r>
      <w:r w:rsidRPr="00552DD6">
        <w:rPr>
          <w:i/>
        </w:rPr>
        <w:t>ein2-1</w:t>
      </w:r>
      <w:r w:rsidRPr="00552DD6">
        <w:t xml:space="preserve"> and </w:t>
      </w:r>
      <w:r w:rsidRPr="00552DD6">
        <w:rPr>
          <w:i/>
        </w:rPr>
        <w:t>etr1-1</w:t>
      </w:r>
      <w:r w:rsidRPr="00552DD6">
        <w:t xml:space="preserve"> (Figure 36; Figure 37). The camalexin-deficient lines </w:t>
      </w:r>
      <w:r w:rsidRPr="00552DD6">
        <w:rPr>
          <w:i/>
        </w:rPr>
        <w:t>pad2</w:t>
      </w:r>
      <w:r w:rsidRPr="00552DD6">
        <w:t xml:space="preserve"> and </w:t>
      </w:r>
      <w:r w:rsidRPr="00552DD6">
        <w:rPr>
          <w:i/>
        </w:rPr>
        <w:t>pad3</w:t>
      </w:r>
      <w:r w:rsidR="00420F6E">
        <w:t xml:space="preserve"> showed severe disease sympt</w:t>
      </w:r>
      <w:r w:rsidRPr="00552DD6">
        <w:t xml:space="preserve">oms in water- and Pip-treated leaves. In stark contrast to Col-0, treatment of plants with </w:t>
      </w:r>
      <w:r w:rsidR="00F40261">
        <w:t xml:space="preserve">Pip </w:t>
      </w:r>
      <w:r w:rsidRPr="00552DD6">
        <w:t xml:space="preserve">prior to </w:t>
      </w:r>
      <w:r w:rsidRPr="00552DD6">
        <w:rPr>
          <w:i/>
        </w:rPr>
        <w:t>B.</w:t>
      </w:r>
      <w:r w:rsidR="00F40261">
        <w:rPr>
          <w:i/>
        </w:rPr>
        <w:t xml:space="preserve"> </w:t>
      </w:r>
      <w:r w:rsidRPr="00552DD6">
        <w:rPr>
          <w:i/>
        </w:rPr>
        <w:t>cinerea</w:t>
      </w:r>
      <w:r w:rsidR="00420F6E">
        <w:t xml:space="preserve"> infection</w:t>
      </w:r>
      <w:r w:rsidRPr="00552DD6">
        <w:t xml:space="preserve"> aggravated disease symptoms in </w:t>
      </w:r>
      <w:r w:rsidRPr="00552DD6">
        <w:rPr>
          <w:i/>
        </w:rPr>
        <w:t xml:space="preserve">coi1 </w:t>
      </w:r>
      <w:r w:rsidRPr="00552DD6">
        <w:t xml:space="preserve">and </w:t>
      </w:r>
      <w:r w:rsidRPr="00552DD6">
        <w:rPr>
          <w:i/>
        </w:rPr>
        <w:t>sid2</w:t>
      </w:r>
      <w:r w:rsidRPr="00552DD6">
        <w:t xml:space="preserve"> with large and more numerous lesions (Figure 36; Figure 37) and almost complete leaf destruction. </w:t>
      </w:r>
    </w:p>
    <w:p w:rsidR="00E10306" w:rsidRDefault="00E10306" w:rsidP="00874D9D">
      <w:pPr>
        <w:keepNext/>
        <w:spacing w:after="0" w:line="360" w:lineRule="auto"/>
        <w:jc w:val="both"/>
        <w:rPr>
          <w:lang w:val="en-US"/>
        </w:rPr>
      </w:pPr>
    </w:p>
    <w:p w:rsidR="00EA0358" w:rsidRDefault="00086577" w:rsidP="00874D9D">
      <w:pPr>
        <w:keepNext/>
        <w:spacing w:after="0" w:line="360" w:lineRule="auto"/>
        <w:jc w:val="both"/>
      </w:pPr>
      <w:r>
        <w:rPr>
          <w:noProof/>
          <w:lang w:val="de-DE" w:eastAsia="de-DE"/>
        </w:rPr>
        <w:lastRenderedPageBreak/>
        <w:drawing>
          <wp:anchor distT="0" distB="0" distL="114300" distR="114300" simplePos="0" relativeHeight="251696128" behindDoc="0" locked="0" layoutInCell="1" allowOverlap="1" wp14:anchorId="33D657C7" wp14:editId="40F23EE4">
            <wp:simplePos x="895350" y="895350"/>
            <wp:positionH relativeFrom="page">
              <wp:align>center</wp:align>
            </wp:positionH>
            <wp:positionV relativeFrom="paragraph">
              <wp:posOffset>-3810</wp:posOffset>
            </wp:positionV>
            <wp:extent cx="4320000" cy="7192474"/>
            <wp:effectExtent l="19050" t="19050" r="23495" b="27940"/>
            <wp:wrapTopAndBottom/>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p-IR vs Bc macro.png"/>
                    <pic:cNvPicPr/>
                  </pic:nvPicPr>
                  <pic:blipFill rotWithShape="1">
                    <a:blip r:embed="rId69">
                      <a:extLst>
                        <a:ext uri="{28A0092B-C50C-407E-A947-70E740481C1C}">
                          <a14:useLocalDpi xmlns:a14="http://schemas.microsoft.com/office/drawing/2010/main" val="0"/>
                        </a:ext>
                      </a:extLst>
                    </a:blip>
                    <a:srcRect l="1" r="-1323"/>
                    <a:stretch/>
                  </pic:blipFill>
                  <pic:spPr bwMode="auto">
                    <a:xfrm>
                      <a:off x="0" y="0"/>
                      <a:ext cx="4320000" cy="7192474"/>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EA0358" w:rsidRPr="006E436D" w:rsidRDefault="00EA0358" w:rsidP="00F40261">
      <w:pPr>
        <w:pStyle w:val="Beschriftung"/>
        <w:spacing w:after="0" w:line="360" w:lineRule="auto"/>
        <w:jc w:val="both"/>
        <w:rPr>
          <w:color w:val="auto"/>
          <w:lang w:val="en-US"/>
        </w:rPr>
      </w:pPr>
      <w:bookmarkStart w:id="86" w:name="_Toc435621155"/>
      <w:proofErr w:type="gramStart"/>
      <w:r w:rsidRPr="006E436D">
        <w:rPr>
          <w:color w:val="auto"/>
        </w:rPr>
        <w:t xml:space="preserve">Figure </w:t>
      </w:r>
      <w:r w:rsidRPr="006E436D">
        <w:rPr>
          <w:color w:val="auto"/>
        </w:rPr>
        <w:fldChar w:fldCharType="begin"/>
      </w:r>
      <w:r w:rsidRPr="006E436D">
        <w:rPr>
          <w:color w:val="auto"/>
        </w:rPr>
        <w:instrText xml:space="preserve"> SEQ Figure \* ARABIC </w:instrText>
      </w:r>
      <w:r w:rsidRPr="006E436D">
        <w:rPr>
          <w:color w:val="auto"/>
        </w:rPr>
        <w:fldChar w:fldCharType="separate"/>
      </w:r>
      <w:r w:rsidR="00CB17FE">
        <w:rPr>
          <w:noProof/>
          <w:color w:val="auto"/>
        </w:rPr>
        <w:t>37</w:t>
      </w:r>
      <w:r w:rsidRPr="006E436D">
        <w:rPr>
          <w:color w:val="auto"/>
        </w:rPr>
        <w:fldChar w:fldCharType="end"/>
      </w:r>
      <w:r w:rsidR="0096402E">
        <w:rPr>
          <w:color w:val="auto"/>
        </w:rPr>
        <w:t>.</w:t>
      </w:r>
      <w:proofErr w:type="gramEnd"/>
      <w:r w:rsidRPr="006E436D">
        <w:rPr>
          <w:color w:val="auto"/>
        </w:rPr>
        <w:t xml:space="preserve"> </w:t>
      </w:r>
      <w:r w:rsidR="00F40261">
        <w:rPr>
          <w:color w:val="auto"/>
          <w:lang w:val="en-US"/>
        </w:rPr>
        <w:t>Pip</w:t>
      </w:r>
      <w:r w:rsidRPr="006E436D">
        <w:rPr>
          <w:color w:val="auto"/>
          <w:lang w:val="en-US"/>
        </w:rPr>
        <w:t xml:space="preserve"> induces resistance to </w:t>
      </w:r>
      <w:r w:rsidRPr="006E436D">
        <w:rPr>
          <w:i/>
          <w:color w:val="auto"/>
          <w:lang w:val="en-US"/>
        </w:rPr>
        <w:t>B</w:t>
      </w:r>
      <w:r w:rsidR="00F40261">
        <w:rPr>
          <w:i/>
          <w:color w:val="auto"/>
          <w:lang w:val="en-US"/>
        </w:rPr>
        <w:t>.</w:t>
      </w:r>
      <w:r w:rsidRPr="006E436D">
        <w:rPr>
          <w:i/>
          <w:color w:val="auto"/>
          <w:lang w:val="en-US"/>
        </w:rPr>
        <w:t xml:space="preserve"> cinerea</w:t>
      </w:r>
      <w:r w:rsidRPr="006E436D">
        <w:rPr>
          <w:color w:val="auto"/>
          <w:lang w:val="en-US"/>
        </w:rPr>
        <w:t xml:space="preserve"> in Col-0, but exacerbates symptoms in the mutant lines </w:t>
      </w:r>
      <w:r w:rsidRPr="006E436D">
        <w:rPr>
          <w:i/>
          <w:color w:val="auto"/>
          <w:lang w:val="en-US"/>
        </w:rPr>
        <w:t>coi1, pad2</w:t>
      </w:r>
      <w:r w:rsidRPr="006E436D">
        <w:rPr>
          <w:color w:val="auto"/>
          <w:lang w:val="en-US"/>
        </w:rPr>
        <w:t xml:space="preserve">, and </w:t>
      </w:r>
      <w:r w:rsidR="0002600F" w:rsidRPr="006E436D">
        <w:rPr>
          <w:i/>
          <w:color w:val="auto"/>
          <w:lang w:val="en-US"/>
        </w:rPr>
        <w:t>sid2</w:t>
      </w:r>
      <w:r w:rsidRPr="006E436D">
        <w:rPr>
          <w:color w:val="auto"/>
          <w:lang w:val="en-US"/>
        </w:rPr>
        <w:t>.</w:t>
      </w:r>
      <w:bookmarkEnd w:id="86"/>
      <w:r w:rsidRPr="006E436D">
        <w:rPr>
          <w:color w:val="auto"/>
          <w:lang w:val="en-US"/>
        </w:rPr>
        <w:t xml:space="preserve"> </w:t>
      </w:r>
    </w:p>
    <w:p w:rsidR="00EA0358" w:rsidRPr="006E436D" w:rsidRDefault="00EA0358" w:rsidP="00EA0358">
      <w:pPr>
        <w:pStyle w:val="Beschriftung"/>
        <w:jc w:val="both"/>
        <w:rPr>
          <w:b w:val="0"/>
          <w:color w:val="auto"/>
          <w:lang w:val="en-US"/>
        </w:rPr>
      </w:pPr>
      <w:r w:rsidRPr="006E436D">
        <w:rPr>
          <w:b w:val="0"/>
          <w:color w:val="auto"/>
          <w:lang w:val="en-US"/>
        </w:rPr>
        <w:t>Plants were supplie</w:t>
      </w:r>
      <w:r w:rsidR="0002600F" w:rsidRPr="006E436D">
        <w:rPr>
          <w:b w:val="0"/>
          <w:color w:val="auto"/>
          <w:lang w:val="en-US"/>
        </w:rPr>
        <w:t>d with 10 ml w</w:t>
      </w:r>
      <w:r w:rsidR="00420F6E">
        <w:rPr>
          <w:b w:val="0"/>
          <w:color w:val="auto"/>
          <w:lang w:val="en-US"/>
        </w:rPr>
        <w:t>ater or 10 ml 1 mM</w:t>
      </w:r>
      <w:r w:rsidR="0002600F" w:rsidRPr="006E436D">
        <w:rPr>
          <w:b w:val="0"/>
          <w:color w:val="auto"/>
          <w:lang w:val="en-US"/>
        </w:rPr>
        <w:t xml:space="preserve"> (10 µmol</w:t>
      </w:r>
      <w:r w:rsidRPr="006E436D">
        <w:rPr>
          <w:b w:val="0"/>
          <w:color w:val="auto"/>
          <w:lang w:val="en-US"/>
        </w:rPr>
        <w:t xml:space="preserve">) Pip per pot 1 day prior to infection with 4 drops á 3 µl of pregerminated </w:t>
      </w:r>
      <w:r w:rsidRPr="006E436D">
        <w:rPr>
          <w:b w:val="0"/>
          <w:i/>
          <w:color w:val="auto"/>
          <w:lang w:val="en-US"/>
        </w:rPr>
        <w:t>B.</w:t>
      </w:r>
      <w:r w:rsidR="00F40261">
        <w:rPr>
          <w:b w:val="0"/>
          <w:i/>
          <w:color w:val="auto"/>
          <w:lang w:val="en-US"/>
        </w:rPr>
        <w:t xml:space="preserve"> </w:t>
      </w:r>
      <w:r w:rsidRPr="006E436D">
        <w:rPr>
          <w:b w:val="0"/>
          <w:i/>
          <w:color w:val="auto"/>
          <w:lang w:val="en-US"/>
        </w:rPr>
        <w:t>cinerea</w:t>
      </w:r>
      <w:r w:rsidRPr="006E436D">
        <w:rPr>
          <w:b w:val="0"/>
          <w:color w:val="auto"/>
          <w:lang w:val="en-US"/>
        </w:rPr>
        <w:t xml:space="preserve"> spores per leaf on 3 leaves per plant and kept in high air humidity for 3 days.</w:t>
      </w:r>
    </w:p>
    <w:p w:rsidR="00874D9D" w:rsidRPr="00874D9D" w:rsidRDefault="00F40261" w:rsidP="00F40261">
      <w:pPr>
        <w:spacing w:after="0" w:line="360" w:lineRule="auto"/>
        <w:jc w:val="both"/>
        <w:rPr>
          <w:lang w:val="en-US"/>
        </w:rPr>
      </w:pPr>
      <w:r w:rsidRPr="00552DD6">
        <w:t xml:space="preserve">This is </w:t>
      </w:r>
      <w:r>
        <w:t>especially</w:t>
      </w:r>
      <w:r w:rsidRPr="00552DD6">
        <w:t xml:space="preserve"> interesting, </w:t>
      </w:r>
      <w:r>
        <w:t>since</w:t>
      </w:r>
      <w:r w:rsidRPr="00552DD6">
        <w:t xml:space="preserve"> the SA-biosynthesis impaired </w:t>
      </w:r>
      <w:r w:rsidRPr="00552DD6">
        <w:rPr>
          <w:i/>
        </w:rPr>
        <w:t>sid2</w:t>
      </w:r>
      <w:r w:rsidRPr="00552DD6">
        <w:t xml:space="preserve"> mutant exhibited high basal resistance in water-treated leaves (Figure 36).</w:t>
      </w:r>
      <w:r>
        <w:rPr>
          <w:lang w:val="en-US"/>
        </w:rPr>
        <w:t xml:space="preserve"> </w:t>
      </w:r>
      <w:r w:rsidR="00874D9D">
        <w:rPr>
          <w:lang w:val="en-US"/>
        </w:rPr>
        <w:t xml:space="preserve">This experiment reflects earlier findings with </w:t>
      </w:r>
      <w:r>
        <w:rPr>
          <w:i/>
          <w:lang w:val="en-US"/>
        </w:rPr>
        <w:t>Psm</w:t>
      </w:r>
      <w:r w:rsidR="00874D9D">
        <w:rPr>
          <w:lang w:val="en-US"/>
        </w:rPr>
        <w:t>, as exogenous</w:t>
      </w:r>
      <w:r w:rsidR="00F36933">
        <w:rPr>
          <w:lang w:val="en-US"/>
        </w:rPr>
        <w:t>ly</w:t>
      </w:r>
      <w:r w:rsidR="00874D9D">
        <w:rPr>
          <w:lang w:val="en-US"/>
        </w:rPr>
        <w:t xml:space="preserve"> applied Pip is able to induce resistance against </w:t>
      </w:r>
      <w:r w:rsidR="00874D9D" w:rsidRPr="00874D9D">
        <w:rPr>
          <w:i/>
          <w:lang w:val="en-US"/>
        </w:rPr>
        <w:t>B.</w:t>
      </w:r>
      <w:r>
        <w:rPr>
          <w:i/>
          <w:lang w:val="en-US"/>
        </w:rPr>
        <w:t xml:space="preserve"> </w:t>
      </w:r>
      <w:r w:rsidR="00874D9D" w:rsidRPr="00874D9D">
        <w:rPr>
          <w:i/>
          <w:lang w:val="en-US"/>
        </w:rPr>
        <w:t>cinerea</w:t>
      </w:r>
      <w:r w:rsidR="00874D9D">
        <w:rPr>
          <w:lang w:val="en-US"/>
        </w:rPr>
        <w:t xml:space="preserve"> in Col-0 </w:t>
      </w:r>
      <w:r w:rsidR="00874D9D">
        <w:rPr>
          <w:lang w:val="en-US"/>
        </w:rPr>
        <w:lastRenderedPageBreak/>
        <w:t xml:space="preserve">and also in part in </w:t>
      </w:r>
      <w:r w:rsidR="00874D9D" w:rsidRPr="00874D9D">
        <w:rPr>
          <w:i/>
          <w:lang w:val="en-US"/>
        </w:rPr>
        <w:t>ald1</w:t>
      </w:r>
      <w:r w:rsidR="00874D9D">
        <w:rPr>
          <w:lang w:val="en-US"/>
        </w:rPr>
        <w:t xml:space="preserve">, but not in </w:t>
      </w:r>
      <w:r w:rsidR="00874D9D" w:rsidRPr="00874D9D">
        <w:rPr>
          <w:i/>
          <w:lang w:val="en-US"/>
        </w:rPr>
        <w:t>fmo1</w:t>
      </w:r>
      <w:r w:rsidR="00005817">
        <w:rPr>
          <w:lang w:val="en-US"/>
        </w:rPr>
        <w:t>, which is</w:t>
      </w:r>
      <w:r w:rsidR="00874D9D">
        <w:rPr>
          <w:lang w:val="en-US"/>
        </w:rPr>
        <w:t xml:space="preserve"> hypothesise</w:t>
      </w:r>
      <w:r w:rsidR="00005817">
        <w:rPr>
          <w:lang w:val="en-US"/>
        </w:rPr>
        <w:t>d</w:t>
      </w:r>
      <w:r w:rsidR="00874D9D">
        <w:rPr>
          <w:lang w:val="en-US"/>
        </w:rPr>
        <w:t xml:space="preserve"> to </w:t>
      </w:r>
      <w:r w:rsidR="00E10306">
        <w:rPr>
          <w:lang w:val="en-US"/>
        </w:rPr>
        <w:t>be responsible for processing</w:t>
      </w:r>
      <w:r w:rsidR="00874D9D">
        <w:rPr>
          <w:lang w:val="en-US"/>
        </w:rPr>
        <w:t xml:space="preserve"> the resistance-inducing signal </w:t>
      </w:r>
      <w:r>
        <w:rPr>
          <w:lang w:val="en-US"/>
        </w:rPr>
        <w:t>derived from</w:t>
      </w:r>
      <w:r w:rsidR="00874D9D">
        <w:rPr>
          <w:lang w:val="en-US"/>
        </w:rPr>
        <w:t xml:space="preserve"> </w:t>
      </w:r>
      <w:r>
        <w:rPr>
          <w:lang w:val="en-US"/>
        </w:rPr>
        <w:t>Pip</w:t>
      </w:r>
      <w:r w:rsidR="00874D9D">
        <w:rPr>
          <w:lang w:val="en-US"/>
        </w:rPr>
        <w:t xml:space="preserve">. </w:t>
      </w:r>
      <w:r w:rsidR="00D1438D">
        <w:rPr>
          <w:lang w:val="en-US"/>
        </w:rPr>
        <w:t>These results also show that JA/ET-mediated signalling and the presence of camalexin are crucial factors in resistance against this necrotrophic fungus</w:t>
      </w:r>
      <w:r w:rsidR="003A2533">
        <w:rPr>
          <w:lang w:val="en-US"/>
        </w:rPr>
        <w:t>,</w:t>
      </w:r>
      <w:r w:rsidR="00D1438D">
        <w:rPr>
          <w:lang w:val="en-US"/>
        </w:rPr>
        <w:t xml:space="preserve"> and that Pip alone is not able to reduce disease symptoms</w:t>
      </w:r>
      <w:r w:rsidR="00A846B2">
        <w:rPr>
          <w:lang w:val="en-US"/>
        </w:rPr>
        <w:t xml:space="preserve"> in lines impaired in these processes</w:t>
      </w:r>
      <w:r w:rsidR="00D1438D">
        <w:rPr>
          <w:lang w:val="en-US"/>
        </w:rPr>
        <w:t xml:space="preserve">. </w:t>
      </w:r>
    </w:p>
    <w:p w:rsidR="00B517AA" w:rsidRDefault="00B517AA" w:rsidP="008C11E1">
      <w:pPr>
        <w:pStyle w:val="berschrift2"/>
        <w:jc w:val="both"/>
        <w:rPr>
          <w:color w:val="auto"/>
        </w:rPr>
        <w:sectPr w:rsidR="00B517AA" w:rsidSect="00B517AA">
          <w:headerReference w:type="default" r:id="rId70"/>
          <w:type w:val="continuous"/>
          <w:pgSz w:w="11906" w:h="16838"/>
          <w:pgMar w:top="1417" w:right="1417" w:bottom="1134" w:left="1417" w:header="708" w:footer="708" w:gutter="0"/>
          <w:cols w:space="708"/>
          <w:titlePg/>
          <w:docGrid w:linePitch="360"/>
        </w:sectPr>
      </w:pPr>
    </w:p>
    <w:p w:rsidR="00FD65FA" w:rsidRPr="001C7E95" w:rsidRDefault="00563EC1" w:rsidP="001C7E95">
      <w:pPr>
        <w:pStyle w:val="berschrift2"/>
        <w:spacing w:after="240"/>
        <w:jc w:val="both"/>
        <w:rPr>
          <w:color w:val="auto"/>
        </w:rPr>
      </w:pPr>
      <w:bookmarkStart w:id="87" w:name="_Toc435621243"/>
      <w:r>
        <w:rPr>
          <w:color w:val="auto"/>
        </w:rPr>
        <w:lastRenderedPageBreak/>
        <w:t xml:space="preserve">6.7 </w:t>
      </w:r>
      <w:r w:rsidR="00FD65FA" w:rsidRPr="001C7E95">
        <w:rPr>
          <w:color w:val="auto"/>
        </w:rPr>
        <w:t xml:space="preserve">Metabolic profile of </w:t>
      </w:r>
      <w:r w:rsidR="00FD65FA" w:rsidRPr="001C7E95">
        <w:rPr>
          <w:i/>
          <w:color w:val="auto"/>
        </w:rPr>
        <w:t>A</w:t>
      </w:r>
      <w:r w:rsidR="003108D6">
        <w:rPr>
          <w:i/>
          <w:color w:val="auto"/>
        </w:rPr>
        <w:t>.</w:t>
      </w:r>
      <w:r w:rsidR="00FD65FA" w:rsidRPr="001C7E95">
        <w:rPr>
          <w:i/>
          <w:color w:val="auto"/>
        </w:rPr>
        <w:t xml:space="preserve"> thaliana</w:t>
      </w:r>
      <w:r w:rsidR="00FD65FA" w:rsidRPr="001C7E95">
        <w:rPr>
          <w:color w:val="auto"/>
        </w:rPr>
        <w:t xml:space="preserve"> after infection with a biotrophic oomycete</w:t>
      </w:r>
      <w:bookmarkEnd w:id="87"/>
    </w:p>
    <w:p w:rsidR="0002539E" w:rsidRDefault="00FD65FA" w:rsidP="0002539E">
      <w:pPr>
        <w:spacing w:after="0" w:line="360" w:lineRule="auto"/>
        <w:jc w:val="both"/>
      </w:pPr>
      <w:r w:rsidRPr="00FD65FA">
        <w:t xml:space="preserve">After examining metabolite accumulation in </w:t>
      </w:r>
      <w:r w:rsidRPr="00FD65FA">
        <w:rPr>
          <w:i/>
        </w:rPr>
        <w:t>Arabidopsis</w:t>
      </w:r>
      <w:r w:rsidRPr="00FD65FA">
        <w:t xml:space="preserve"> in a hemibiotrophic (</w:t>
      </w:r>
      <w:r w:rsidR="006B709E">
        <w:rPr>
          <w:i/>
        </w:rPr>
        <w:t>Psm</w:t>
      </w:r>
      <w:r w:rsidRPr="00FD65FA">
        <w:t>) and</w:t>
      </w:r>
      <w:r w:rsidR="00862CE6">
        <w:t xml:space="preserve"> in</w:t>
      </w:r>
      <w:r w:rsidRPr="00FD65FA">
        <w:t xml:space="preserve"> a necrotrophic (</w:t>
      </w:r>
      <w:r w:rsidRPr="00FD65FA">
        <w:rPr>
          <w:i/>
        </w:rPr>
        <w:t>B</w:t>
      </w:r>
      <w:r w:rsidR="00DE40AC">
        <w:rPr>
          <w:i/>
        </w:rPr>
        <w:t>.</w:t>
      </w:r>
      <w:r w:rsidR="006B709E">
        <w:rPr>
          <w:i/>
        </w:rPr>
        <w:t xml:space="preserve"> </w:t>
      </w:r>
      <w:r w:rsidRPr="00FD65FA">
        <w:rPr>
          <w:i/>
        </w:rPr>
        <w:t>c</w:t>
      </w:r>
      <w:r w:rsidR="00DE40AC">
        <w:rPr>
          <w:i/>
        </w:rPr>
        <w:t>inerea</w:t>
      </w:r>
      <w:r w:rsidRPr="00FD65FA">
        <w:t>) in</w:t>
      </w:r>
      <w:r w:rsidR="00DE40AC">
        <w:t>teraction, metabolic profiles of</w:t>
      </w:r>
      <w:r w:rsidRPr="00FD65FA">
        <w:t xml:space="preserve"> plants in</w:t>
      </w:r>
      <w:r w:rsidR="006E27C1">
        <w:t xml:space="preserve"> an interaction with the biotrophic oomycete</w:t>
      </w:r>
      <w:r w:rsidR="00761760">
        <w:t xml:space="preserve"> </w:t>
      </w:r>
      <w:r w:rsidR="006E27C1" w:rsidRPr="00213AAE">
        <w:rPr>
          <w:i/>
        </w:rPr>
        <w:t>Hyaloperonospora arabidopsidis</w:t>
      </w:r>
      <w:r w:rsidR="006E27C1">
        <w:t xml:space="preserve"> </w:t>
      </w:r>
      <w:r w:rsidR="00761760">
        <w:t xml:space="preserve">were </w:t>
      </w:r>
      <w:r w:rsidR="006E27C1">
        <w:t>investigated (Figure 38</w:t>
      </w:r>
      <w:r w:rsidRPr="00FD65FA">
        <w:t xml:space="preserve">). </w:t>
      </w:r>
      <w:r w:rsidR="00761760">
        <w:t xml:space="preserve">For </w:t>
      </w:r>
      <w:r w:rsidR="006E27C1">
        <w:t xml:space="preserve">this experiment </w:t>
      </w:r>
      <w:r w:rsidR="00761760">
        <w:t xml:space="preserve">the </w:t>
      </w:r>
      <w:r w:rsidR="006B709E">
        <w:rPr>
          <w:i/>
        </w:rPr>
        <w:t>Hpa</w:t>
      </w:r>
      <w:r w:rsidR="00761760">
        <w:t xml:space="preserve"> strain Noco2 was used, which is virulent to </w:t>
      </w:r>
      <w:r w:rsidR="00761760" w:rsidRPr="00761760">
        <w:rPr>
          <w:i/>
        </w:rPr>
        <w:t>A.</w:t>
      </w:r>
      <w:r w:rsidR="006B709E">
        <w:rPr>
          <w:i/>
        </w:rPr>
        <w:t xml:space="preserve"> </w:t>
      </w:r>
      <w:r w:rsidR="00761760" w:rsidRPr="00761760">
        <w:rPr>
          <w:i/>
        </w:rPr>
        <w:t>thaliana</w:t>
      </w:r>
      <w:r w:rsidR="00761760">
        <w:t xml:space="preserve"> ecotype Col-0.</w:t>
      </w:r>
      <w:r w:rsidRPr="00FD65FA">
        <w:t xml:space="preserve"> </w:t>
      </w:r>
      <w:r w:rsidR="00416D68">
        <w:t>A slight increase in free SA-</w:t>
      </w:r>
      <w:r w:rsidR="00E10306" w:rsidRPr="00E10306">
        <w:t>levels from 0.05 µg g</w:t>
      </w:r>
      <w:r w:rsidR="00E10306" w:rsidRPr="00E10306">
        <w:rPr>
          <w:vertAlign w:val="superscript"/>
        </w:rPr>
        <w:t>-1</w:t>
      </w:r>
      <w:r w:rsidR="00E10306" w:rsidRPr="00E10306">
        <w:t xml:space="preserve"> FW to about 0.5 µg g</w:t>
      </w:r>
      <w:r w:rsidR="00E10306" w:rsidRPr="00E10306">
        <w:rPr>
          <w:vertAlign w:val="superscript"/>
        </w:rPr>
        <w:t>-1</w:t>
      </w:r>
      <w:r w:rsidR="00E10306" w:rsidRPr="00E10306">
        <w:t xml:space="preserve"> FW was observed in Col-0 infected with this pathogen</w:t>
      </w:r>
      <w:r w:rsidR="00E10306" w:rsidRPr="00E10306">
        <w:rPr>
          <w:i/>
        </w:rPr>
        <w:t xml:space="preserve"> </w:t>
      </w:r>
      <w:r w:rsidR="00E10306" w:rsidRPr="00E10306">
        <w:t xml:space="preserve">(Figure 38 A). In the mutant lines </w:t>
      </w:r>
      <w:r w:rsidR="00E10306" w:rsidRPr="00E10306">
        <w:rPr>
          <w:i/>
        </w:rPr>
        <w:t>ald1</w:t>
      </w:r>
      <w:r w:rsidR="00E10306" w:rsidRPr="00E10306">
        <w:t xml:space="preserve"> and </w:t>
      </w:r>
      <w:r w:rsidR="00E10306" w:rsidRPr="00E10306">
        <w:rPr>
          <w:i/>
        </w:rPr>
        <w:t>fmo1</w:t>
      </w:r>
      <w:r w:rsidR="00E10306" w:rsidRPr="00E10306">
        <w:t xml:space="preserve"> accumulation of free SA was slightl</w:t>
      </w:r>
      <w:r w:rsidR="00416D68">
        <w:t>y weaker than in Col-0, with SA-</w:t>
      </w:r>
      <w:r w:rsidR="00E10306" w:rsidRPr="00E10306">
        <w:t>levels around 0.2 µg g</w:t>
      </w:r>
      <w:r w:rsidR="00E10306" w:rsidRPr="00E10306">
        <w:rPr>
          <w:vertAlign w:val="superscript"/>
        </w:rPr>
        <w:t>-1</w:t>
      </w:r>
      <w:r w:rsidR="00E10306" w:rsidRPr="00E10306">
        <w:t xml:space="preserve"> FW in infected leaves (Figure 38 A). The SA-deficient </w:t>
      </w:r>
      <w:r w:rsidR="00E10306" w:rsidRPr="00E10306">
        <w:rPr>
          <w:i/>
        </w:rPr>
        <w:t>sid2</w:t>
      </w:r>
      <w:r w:rsidR="00E10306" w:rsidRPr="00E10306">
        <w:t xml:space="preserve"> and the SA- and Pip-deficient </w:t>
      </w:r>
      <w:r w:rsidR="00E10306" w:rsidRPr="00E10306">
        <w:rPr>
          <w:i/>
        </w:rPr>
        <w:t>sid2 ald1</w:t>
      </w:r>
      <w:r w:rsidR="00E10306" w:rsidRPr="00E10306">
        <w:t xml:space="preserve"> double mutant did not accumulate free SA upon infection with the virulent </w:t>
      </w:r>
      <w:r w:rsidR="006B709E">
        <w:rPr>
          <w:i/>
        </w:rPr>
        <w:t>Hpa</w:t>
      </w:r>
      <w:r w:rsidR="00E10306" w:rsidRPr="00E10306">
        <w:t xml:space="preserve"> isolate. Basal amounts of 0.01 µg g</w:t>
      </w:r>
      <w:r w:rsidR="00E10306" w:rsidRPr="006B709E">
        <w:rPr>
          <w:vertAlign w:val="superscript"/>
        </w:rPr>
        <w:t>-1</w:t>
      </w:r>
      <w:r w:rsidR="00E10306" w:rsidRPr="00E10306">
        <w:t xml:space="preserve"> FW for camalexin, which moderately increased to roughly 2 µg g</w:t>
      </w:r>
      <w:r w:rsidR="00E10306" w:rsidRPr="00E10306">
        <w:rPr>
          <w:vertAlign w:val="superscript"/>
        </w:rPr>
        <w:t>-1</w:t>
      </w:r>
      <w:r w:rsidR="00E10306" w:rsidRPr="00E10306">
        <w:t xml:space="preserve"> FW were detected in infected leaves of Col-0,</w:t>
      </w:r>
      <w:r w:rsidR="00E10306" w:rsidRPr="00E10306">
        <w:rPr>
          <w:i/>
        </w:rPr>
        <w:t xml:space="preserve"> sid2</w:t>
      </w:r>
      <w:r w:rsidR="00E10306" w:rsidRPr="00E10306">
        <w:t xml:space="preserve">, and </w:t>
      </w:r>
      <w:r w:rsidR="00E10306" w:rsidRPr="00E10306">
        <w:rPr>
          <w:i/>
        </w:rPr>
        <w:t>sid2 ald1</w:t>
      </w:r>
      <w:r w:rsidR="00E10306" w:rsidRPr="00E10306">
        <w:t xml:space="preserve"> (Figure 38 B). Similarly to accumulation of free </w:t>
      </w:r>
      <w:r w:rsidR="006B709E">
        <w:t>SA</w:t>
      </w:r>
      <w:r w:rsidR="00E10306" w:rsidRPr="00E10306">
        <w:t xml:space="preserve">, camalexin levels in infected </w:t>
      </w:r>
      <w:r w:rsidR="00E10306" w:rsidRPr="00E10306">
        <w:rPr>
          <w:i/>
        </w:rPr>
        <w:t>ald1</w:t>
      </w:r>
      <w:r w:rsidR="00E10306" w:rsidRPr="00E10306">
        <w:t xml:space="preserve"> and </w:t>
      </w:r>
      <w:r w:rsidR="00E10306" w:rsidRPr="00E10306">
        <w:rPr>
          <w:i/>
        </w:rPr>
        <w:t>fmo1</w:t>
      </w:r>
      <w:r w:rsidR="00E10306" w:rsidRPr="00E10306">
        <w:t xml:space="preserve"> plants were lower than in Col-0 (0.8-1 µg g</w:t>
      </w:r>
      <w:r w:rsidR="00E10306" w:rsidRPr="00E10306">
        <w:rPr>
          <w:vertAlign w:val="superscript"/>
        </w:rPr>
        <w:t>-1</w:t>
      </w:r>
      <w:r w:rsidR="00E10306" w:rsidRPr="00E10306">
        <w:t xml:space="preserve"> FW). Analysis of </w:t>
      </w:r>
      <w:r w:rsidR="006B709E">
        <w:t>ICA</w:t>
      </w:r>
      <w:r w:rsidR="00E10306" w:rsidRPr="00E10306">
        <w:t xml:space="preserve"> showed basal levels of 0.004 µg g</w:t>
      </w:r>
      <w:r w:rsidR="00E10306" w:rsidRPr="00E10306">
        <w:rPr>
          <w:vertAlign w:val="superscript"/>
        </w:rPr>
        <w:t>-1</w:t>
      </w:r>
      <w:r w:rsidR="00E10306" w:rsidRPr="00E10306">
        <w:t xml:space="preserve"> FW and with 0.1 µg g</w:t>
      </w:r>
      <w:r w:rsidR="00E10306" w:rsidRPr="00E10306">
        <w:rPr>
          <w:vertAlign w:val="superscript"/>
        </w:rPr>
        <w:t>-1</w:t>
      </w:r>
      <w:r w:rsidR="00E10306" w:rsidRPr="00E10306">
        <w:t xml:space="preserve"> FW quite low levels in Col-0 after infection with t</w:t>
      </w:r>
      <w:r w:rsidR="006B709E">
        <w:t>his</w:t>
      </w:r>
      <w:r w:rsidR="00E10306" w:rsidRPr="00E10306">
        <w:t xml:space="preserve"> virulent oomycete (Figure 38 C). In </w:t>
      </w:r>
      <w:r w:rsidR="00E10306" w:rsidRPr="00E10306">
        <w:rPr>
          <w:i/>
        </w:rPr>
        <w:t>ald1</w:t>
      </w:r>
      <w:r w:rsidR="00E10306" w:rsidRPr="00E10306">
        <w:t xml:space="preserve"> and </w:t>
      </w:r>
      <w:r w:rsidR="00E10306" w:rsidRPr="00E10306">
        <w:rPr>
          <w:i/>
        </w:rPr>
        <w:t>fmo1</w:t>
      </w:r>
      <w:r w:rsidR="00416D68">
        <w:rPr>
          <w:i/>
        </w:rPr>
        <w:t>,</w:t>
      </w:r>
      <w:r w:rsidR="00E10306" w:rsidRPr="00E10306">
        <w:t xml:space="preserve"> basal </w:t>
      </w:r>
      <w:r w:rsidR="00416D68">
        <w:t>ICA-levels</w:t>
      </w:r>
      <w:r w:rsidR="00E10306" w:rsidRPr="00E10306">
        <w:t xml:space="preserve"> were slightly higher than in Col-0 (0.008 µg g</w:t>
      </w:r>
      <w:r w:rsidR="00E10306" w:rsidRPr="00E10306">
        <w:rPr>
          <w:vertAlign w:val="superscript"/>
        </w:rPr>
        <w:t>-1</w:t>
      </w:r>
      <w:r w:rsidR="00E10306" w:rsidRPr="00E10306">
        <w:t xml:space="preserve"> FW), but </w:t>
      </w:r>
      <w:r w:rsidR="009D47C1">
        <w:t xml:space="preserve">ICA-accumulation in </w:t>
      </w:r>
      <w:r w:rsidR="009D47C1" w:rsidRPr="009D47C1">
        <w:rPr>
          <w:i/>
        </w:rPr>
        <w:t>Hpa</w:t>
      </w:r>
      <w:r w:rsidR="009D47C1">
        <w:t>-infected leaves was comparable to</w:t>
      </w:r>
      <w:r w:rsidR="006B709E">
        <w:t xml:space="preserve"> the WT control</w:t>
      </w:r>
      <w:r w:rsidR="00E10306" w:rsidRPr="00E10306">
        <w:t xml:space="preserve">. The lines </w:t>
      </w:r>
      <w:r w:rsidR="00E10306" w:rsidRPr="00E10306">
        <w:rPr>
          <w:i/>
        </w:rPr>
        <w:t>sid2</w:t>
      </w:r>
      <w:r w:rsidR="00E10306" w:rsidRPr="00E10306">
        <w:t xml:space="preserve"> and </w:t>
      </w:r>
      <w:r w:rsidR="00E10306" w:rsidRPr="00E10306">
        <w:rPr>
          <w:i/>
        </w:rPr>
        <w:t>sid2 ald1</w:t>
      </w:r>
      <w:r w:rsidR="00E10306" w:rsidRPr="00E10306">
        <w:t xml:space="preserve"> both showed higher </w:t>
      </w:r>
      <w:r w:rsidR="00416D68">
        <w:t>ICA-levels</w:t>
      </w:r>
      <w:r w:rsidR="00E10306" w:rsidRPr="00E10306">
        <w:t xml:space="preserve"> than in Col-0, with basal </w:t>
      </w:r>
      <w:r w:rsidR="00862CE6">
        <w:t>amounts</w:t>
      </w:r>
      <w:r w:rsidR="00E10306" w:rsidRPr="00E10306">
        <w:t xml:space="preserve"> of 0.01 µg g</w:t>
      </w:r>
      <w:r w:rsidR="00E10306" w:rsidRPr="00E10306">
        <w:rPr>
          <w:vertAlign w:val="superscript"/>
        </w:rPr>
        <w:t>-1</w:t>
      </w:r>
      <w:r w:rsidR="00E10306" w:rsidRPr="00E10306">
        <w:t xml:space="preserve"> FW for </w:t>
      </w:r>
      <w:r w:rsidR="00E10306" w:rsidRPr="00E10306">
        <w:rPr>
          <w:i/>
        </w:rPr>
        <w:t>sid2</w:t>
      </w:r>
      <w:r w:rsidR="00E10306" w:rsidRPr="00E10306">
        <w:t xml:space="preserve"> and 0.02 µg g</w:t>
      </w:r>
      <w:r w:rsidR="00E10306" w:rsidRPr="00E10306">
        <w:rPr>
          <w:vertAlign w:val="superscript"/>
        </w:rPr>
        <w:t>-1</w:t>
      </w:r>
      <w:r w:rsidR="00E10306" w:rsidRPr="00E10306">
        <w:t xml:space="preserve"> FW for </w:t>
      </w:r>
      <w:r w:rsidR="00E10306" w:rsidRPr="00E10306">
        <w:rPr>
          <w:i/>
        </w:rPr>
        <w:t>sid2 ald1</w:t>
      </w:r>
      <w:r w:rsidR="00E10306" w:rsidRPr="00E10306">
        <w:t>, which increased to 0.2 µg g</w:t>
      </w:r>
      <w:r w:rsidR="00E10306" w:rsidRPr="00E10306">
        <w:rPr>
          <w:vertAlign w:val="superscript"/>
        </w:rPr>
        <w:t>-1</w:t>
      </w:r>
      <w:r w:rsidR="00E10306" w:rsidRPr="00E10306">
        <w:t xml:space="preserve"> FW in both plant lines (Figure 38 C). In this interaction of </w:t>
      </w:r>
      <w:r w:rsidR="00E10306" w:rsidRPr="00E10306">
        <w:rPr>
          <w:i/>
        </w:rPr>
        <w:t>Arabidopsis</w:t>
      </w:r>
      <w:r w:rsidR="00E10306" w:rsidRPr="00E10306">
        <w:t xml:space="preserve"> with a biotrophic oomycete an unknown compound, termed </w:t>
      </w:r>
      <w:r w:rsidR="006B709E">
        <w:t>“</w:t>
      </w:r>
      <w:r w:rsidR="00E10306" w:rsidRPr="00E10306">
        <w:t>unknown 28</w:t>
      </w:r>
      <w:r w:rsidR="006B709E">
        <w:t>”</w:t>
      </w:r>
      <w:r w:rsidR="00E10306" w:rsidRPr="00E10306">
        <w:t xml:space="preserve">, was found (Figure 38 D; Table 2). This compound was present in very low levels in uninfected leaves of Col-0, </w:t>
      </w:r>
      <w:r w:rsidR="00E10306" w:rsidRPr="00E10306">
        <w:rPr>
          <w:i/>
        </w:rPr>
        <w:t>ald1</w:t>
      </w:r>
      <w:r w:rsidR="00E10306" w:rsidRPr="00E10306">
        <w:t xml:space="preserve">, </w:t>
      </w:r>
      <w:r w:rsidR="00E10306" w:rsidRPr="00E10306">
        <w:rPr>
          <w:i/>
        </w:rPr>
        <w:t>fmo1</w:t>
      </w:r>
      <w:r w:rsidR="00E10306" w:rsidRPr="00E10306">
        <w:t xml:space="preserve">, and </w:t>
      </w:r>
      <w:r w:rsidR="00E10306" w:rsidRPr="00E10306">
        <w:rPr>
          <w:i/>
        </w:rPr>
        <w:t>sid2 ald1</w:t>
      </w:r>
      <w:r w:rsidR="00E10306" w:rsidRPr="00E10306">
        <w:t xml:space="preserve">, increased approximately tenfold in infected leaves and was only detectable in the interaction with this pathogen (Table 5). </w:t>
      </w:r>
      <w:r w:rsidR="006B709E">
        <w:t>E</w:t>
      </w:r>
      <w:r w:rsidR="00E10306" w:rsidRPr="00E10306">
        <w:t>levated basal levels of this compound</w:t>
      </w:r>
      <w:r w:rsidR="007A7ECF">
        <w:t xml:space="preserve"> were detected</w:t>
      </w:r>
      <w:r w:rsidR="006B709E">
        <w:t xml:space="preserve"> in </w:t>
      </w:r>
      <w:r w:rsidR="006B709E" w:rsidRPr="006B709E">
        <w:rPr>
          <w:i/>
        </w:rPr>
        <w:t>sid2</w:t>
      </w:r>
      <w:r w:rsidR="007A7ECF">
        <w:t xml:space="preserve"> and increased 14-</w:t>
      </w:r>
      <w:r w:rsidR="00E10306" w:rsidRPr="00E10306">
        <w:t xml:space="preserve">fold in infected leaves. The </w:t>
      </w:r>
      <w:r w:rsidR="00E10306" w:rsidRPr="00E10306">
        <w:rPr>
          <w:i/>
        </w:rPr>
        <w:t>sid2 ald1</w:t>
      </w:r>
      <w:r w:rsidR="00E10306" w:rsidRPr="00E10306">
        <w:t xml:space="preserve"> double mutant exhibited similar levels of this compound as in C</w:t>
      </w:r>
      <w:r w:rsidR="007A7ECF">
        <w:t>ol-0, but showed a more than 20-</w:t>
      </w:r>
      <w:r w:rsidR="00E10306" w:rsidRPr="00E10306">
        <w:t xml:space="preserve">fold increase of this metabolite in infected plants (Figure 38 D). </w:t>
      </w:r>
      <w:r w:rsidR="009846F5" w:rsidRPr="00E10306">
        <w:t xml:space="preserve">Basal levels of </w:t>
      </w:r>
      <w:r w:rsidR="006B709E">
        <w:t>Pip</w:t>
      </w:r>
      <w:r w:rsidR="009846F5" w:rsidRPr="00E10306">
        <w:t xml:space="preserve"> were slightly elevated compared to previous findings (approx. 1 µg g</w:t>
      </w:r>
      <w:r w:rsidR="009846F5" w:rsidRPr="00E10306">
        <w:rPr>
          <w:vertAlign w:val="superscript"/>
        </w:rPr>
        <w:t>-1</w:t>
      </w:r>
      <w:r w:rsidR="009846F5" w:rsidRPr="00E10306">
        <w:t xml:space="preserve"> FW </w:t>
      </w:r>
      <w:r w:rsidR="009846F5" w:rsidRPr="00420F6E">
        <w:rPr>
          <w:i/>
        </w:rPr>
        <w:t>vs</w:t>
      </w:r>
      <w:r w:rsidR="009846F5" w:rsidRPr="00E10306">
        <w:t xml:space="preserve"> 0.6 µg g</w:t>
      </w:r>
      <w:r w:rsidR="009846F5" w:rsidRPr="00E10306">
        <w:rPr>
          <w:vertAlign w:val="superscript"/>
        </w:rPr>
        <w:t>-1</w:t>
      </w:r>
      <w:r w:rsidR="009846F5" w:rsidRPr="00E10306">
        <w:t xml:space="preserve"> FW as published in Návarová </w:t>
      </w:r>
      <w:r w:rsidR="009846F5" w:rsidRPr="00E10306">
        <w:rPr>
          <w:i/>
        </w:rPr>
        <w:t>et al</w:t>
      </w:r>
      <w:r w:rsidR="009846F5">
        <w:t xml:space="preserve">., </w:t>
      </w:r>
      <w:r w:rsidR="009846F5" w:rsidRPr="00E10306">
        <w:t>2012) and increased upon infection to levels of 8 µg g</w:t>
      </w:r>
      <w:r w:rsidR="009846F5" w:rsidRPr="00E10306">
        <w:rPr>
          <w:vertAlign w:val="superscript"/>
        </w:rPr>
        <w:t>-1</w:t>
      </w:r>
      <w:r w:rsidR="009846F5" w:rsidRPr="00E10306">
        <w:t xml:space="preserve"> FW and 6 µg g</w:t>
      </w:r>
      <w:r w:rsidR="009846F5" w:rsidRPr="00E10306">
        <w:rPr>
          <w:vertAlign w:val="superscript"/>
        </w:rPr>
        <w:t>-1</w:t>
      </w:r>
      <w:r w:rsidR="009846F5" w:rsidRPr="00E10306">
        <w:t xml:space="preserve"> FW in Col-0 and </w:t>
      </w:r>
      <w:r w:rsidR="009846F5" w:rsidRPr="00E10306">
        <w:rPr>
          <w:i/>
        </w:rPr>
        <w:t>fmo1</w:t>
      </w:r>
      <w:r w:rsidR="009846F5" w:rsidRPr="00E10306">
        <w:t xml:space="preserve">, respectively (Figure 38 E). </w:t>
      </w:r>
    </w:p>
    <w:p w:rsidR="0002539E" w:rsidRDefault="0002539E" w:rsidP="0002539E">
      <w:pPr>
        <w:spacing w:after="0" w:line="360" w:lineRule="auto"/>
        <w:jc w:val="both"/>
      </w:pPr>
      <w:r>
        <w:rPr>
          <w:noProof/>
          <w:lang w:val="de-DE" w:eastAsia="de-DE"/>
        </w:rPr>
        <w:lastRenderedPageBreak/>
        <w:drawing>
          <wp:anchor distT="0" distB="0" distL="114300" distR="114300" simplePos="0" relativeHeight="251698176" behindDoc="0" locked="0" layoutInCell="1" allowOverlap="1" wp14:anchorId="28638340" wp14:editId="0CAF009A">
            <wp:simplePos x="895350" y="895350"/>
            <wp:positionH relativeFrom="page">
              <wp:align>center</wp:align>
            </wp:positionH>
            <wp:positionV relativeFrom="paragraph">
              <wp:posOffset>-3810</wp:posOffset>
            </wp:positionV>
            <wp:extent cx="5220000" cy="7009822"/>
            <wp:effectExtent l="19050" t="19050" r="19050" b="19685"/>
            <wp:wrapTopAndBottom/>
            <wp:docPr id="33" name="Grafik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tabolite analyses Hpa Noco+Cala.png"/>
                    <pic:cNvPicPr/>
                  </pic:nvPicPr>
                  <pic:blipFill>
                    <a:blip r:embed="rId71" cstate="print">
                      <a:extLst>
                        <a:ext uri="{28A0092B-C50C-407E-A947-70E740481C1C}">
                          <a14:useLocalDpi xmlns:a14="http://schemas.microsoft.com/office/drawing/2010/main" val="0"/>
                        </a:ext>
                      </a:extLst>
                    </a:blip>
                    <a:stretch>
                      <a:fillRect/>
                    </a:stretch>
                  </pic:blipFill>
                  <pic:spPr>
                    <a:xfrm>
                      <a:off x="0" y="0"/>
                      <a:ext cx="5220000" cy="7009822"/>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p>
    <w:p w:rsidR="00E931C9" w:rsidRPr="006E436D" w:rsidRDefault="00E931C9" w:rsidP="005727B8">
      <w:pPr>
        <w:pStyle w:val="Beschriftung"/>
        <w:spacing w:after="0" w:line="360" w:lineRule="auto"/>
        <w:jc w:val="both"/>
        <w:rPr>
          <w:color w:val="auto"/>
          <w:lang w:val="en-US"/>
        </w:rPr>
      </w:pPr>
      <w:bookmarkStart w:id="88" w:name="_Toc435621156"/>
      <w:proofErr w:type="gramStart"/>
      <w:r w:rsidRPr="006E436D">
        <w:rPr>
          <w:color w:val="auto"/>
        </w:rPr>
        <w:t xml:space="preserve">Figure </w:t>
      </w:r>
      <w:r w:rsidRPr="006E436D">
        <w:rPr>
          <w:color w:val="auto"/>
        </w:rPr>
        <w:fldChar w:fldCharType="begin"/>
      </w:r>
      <w:r w:rsidRPr="006E436D">
        <w:rPr>
          <w:color w:val="auto"/>
        </w:rPr>
        <w:instrText xml:space="preserve"> SEQ Figure \* ARABIC </w:instrText>
      </w:r>
      <w:r w:rsidRPr="006E436D">
        <w:rPr>
          <w:color w:val="auto"/>
        </w:rPr>
        <w:fldChar w:fldCharType="separate"/>
      </w:r>
      <w:r w:rsidR="00CB17FE">
        <w:rPr>
          <w:noProof/>
          <w:color w:val="auto"/>
        </w:rPr>
        <w:t>38</w:t>
      </w:r>
      <w:r w:rsidRPr="006E436D">
        <w:rPr>
          <w:color w:val="auto"/>
        </w:rPr>
        <w:fldChar w:fldCharType="end"/>
      </w:r>
      <w:r w:rsidR="0096402E">
        <w:rPr>
          <w:color w:val="auto"/>
        </w:rPr>
        <w:t>.</w:t>
      </w:r>
      <w:proofErr w:type="gramEnd"/>
      <w:r w:rsidRPr="006E436D">
        <w:rPr>
          <w:color w:val="auto"/>
        </w:rPr>
        <w:t xml:space="preserve"> </w:t>
      </w:r>
      <w:r w:rsidRPr="006E436D">
        <w:rPr>
          <w:color w:val="auto"/>
          <w:lang w:val="en-US"/>
        </w:rPr>
        <w:t xml:space="preserve">Distinct differences in defence metabolite accumulation upon infection of </w:t>
      </w:r>
      <w:r w:rsidRPr="006E436D">
        <w:rPr>
          <w:i/>
          <w:color w:val="auto"/>
          <w:lang w:val="en-US"/>
        </w:rPr>
        <w:t>Arabidopsis</w:t>
      </w:r>
      <w:r w:rsidRPr="006E436D">
        <w:rPr>
          <w:color w:val="auto"/>
          <w:lang w:val="en-US"/>
        </w:rPr>
        <w:t xml:space="preserve"> with a v</w:t>
      </w:r>
      <w:r w:rsidR="007A7ECF" w:rsidRPr="006E436D">
        <w:rPr>
          <w:color w:val="auto"/>
          <w:lang w:val="en-US"/>
        </w:rPr>
        <w:t>irulent</w:t>
      </w:r>
      <w:r w:rsidRPr="006E436D">
        <w:rPr>
          <w:i/>
          <w:color w:val="auto"/>
          <w:lang w:val="en-US"/>
        </w:rPr>
        <w:t xml:space="preserve"> </w:t>
      </w:r>
      <w:r w:rsidR="007A7ECF" w:rsidRPr="006E436D">
        <w:rPr>
          <w:i/>
          <w:color w:val="auto"/>
          <w:lang w:val="en-US"/>
        </w:rPr>
        <w:t>(</w:t>
      </w:r>
      <w:r w:rsidRPr="006E436D">
        <w:rPr>
          <w:color w:val="auto"/>
          <w:lang w:val="en-US"/>
        </w:rPr>
        <w:t xml:space="preserve">Noco2) and an avirulent (Cala2) </w:t>
      </w:r>
      <w:r w:rsidR="005727B8" w:rsidRPr="005727B8">
        <w:rPr>
          <w:i/>
          <w:color w:val="auto"/>
          <w:lang w:val="en-US"/>
        </w:rPr>
        <w:t>Hpa</w:t>
      </w:r>
      <w:r w:rsidR="005727B8">
        <w:rPr>
          <w:color w:val="auto"/>
          <w:lang w:val="en-US"/>
        </w:rPr>
        <w:t xml:space="preserve"> strain</w:t>
      </w:r>
      <w:r w:rsidRPr="006E436D">
        <w:rPr>
          <w:color w:val="auto"/>
          <w:lang w:val="en-US"/>
        </w:rPr>
        <w:t>.</w:t>
      </w:r>
      <w:bookmarkEnd w:id="88"/>
    </w:p>
    <w:p w:rsidR="00FD65FA" w:rsidRPr="006E436D" w:rsidRDefault="00E931C9" w:rsidP="00F00532">
      <w:pPr>
        <w:pStyle w:val="Beschriftung"/>
        <w:jc w:val="both"/>
        <w:rPr>
          <w:b w:val="0"/>
          <w:color w:val="auto"/>
          <w:lang w:val="en-US"/>
        </w:rPr>
      </w:pPr>
      <w:r w:rsidRPr="006E436D">
        <w:rPr>
          <w:b w:val="0"/>
          <w:i/>
          <w:color w:val="auto"/>
          <w:lang w:val="en-US"/>
        </w:rPr>
        <w:t>Arabidopsis</w:t>
      </w:r>
      <w:r w:rsidRPr="006E436D">
        <w:rPr>
          <w:b w:val="0"/>
          <w:color w:val="auto"/>
          <w:lang w:val="en-US"/>
        </w:rPr>
        <w:t xml:space="preserve"> Col-0, as well as select mutant, plants were spray-infected with </w:t>
      </w:r>
      <w:r w:rsidR="005727B8">
        <w:rPr>
          <w:b w:val="0"/>
          <w:i/>
          <w:color w:val="auto"/>
          <w:lang w:val="en-US"/>
        </w:rPr>
        <w:t>Hpa</w:t>
      </w:r>
      <w:r w:rsidRPr="006E436D">
        <w:rPr>
          <w:b w:val="0"/>
          <w:color w:val="auto"/>
          <w:lang w:val="en-US"/>
        </w:rPr>
        <w:t xml:space="preserve"> strains Noco2 or Cala2 </w:t>
      </w:r>
      <w:r w:rsidR="00865E83" w:rsidRPr="006E436D">
        <w:rPr>
          <w:b w:val="0"/>
          <w:color w:val="auto"/>
          <w:lang w:val="en-US"/>
        </w:rPr>
        <w:t>(5x10</w:t>
      </w:r>
      <w:r w:rsidR="00865E83" w:rsidRPr="006E436D">
        <w:rPr>
          <w:b w:val="0"/>
          <w:color w:val="auto"/>
          <w:vertAlign w:val="superscript"/>
          <w:lang w:val="en-US"/>
        </w:rPr>
        <w:t>4</w:t>
      </w:r>
      <w:r w:rsidR="00865E83" w:rsidRPr="006E436D">
        <w:rPr>
          <w:b w:val="0"/>
          <w:color w:val="auto"/>
          <w:lang w:val="en-US"/>
        </w:rPr>
        <w:t xml:space="preserve"> spores ml</w:t>
      </w:r>
      <w:r w:rsidR="00865E83" w:rsidRPr="006E436D">
        <w:rPr>
          <w:b w:val="0"/>
          <w:color w:val="auto"/>
          <w:vertAlign w:val="superscript"/>
          <w:lang w:val="en-US"/>
        </w:rPr>
        <w:t>-1</w:t>
      </w:r>
      <w:r w:rsidR="00865E83" w:rsidRPr="006E436D">
        <w:rPr>
          <w:b w:val="0"/>
          <w:color w:val="auto"/>
          <w:lang w:val="en-US"/>
        </w:rPr>
        <w:t xml:space="preserve">; kept in high air humidity for 7 days) </w:t>
      </w:r>
      <w:r w:rsidRPr="006E436D">
        <w:rPr>
          <w:b w:val="0"/>
          <w:color w:val="auto"/>
          <w:lang w:val="en-US"/>
        </w:rPr>
        <w:t xml:space="preserve">and accumulation of free </w:t>
      </w:r>
      <w:r w:rsidR="005727B8">
        <w:rPr>
          <w:b w:val="0"/>
          <w:color w:val="auto"/>
          <w:lang w:val="en-US"/>
        </w:rPr>
        <w:t>SA</w:t>
      </w:r>
      <w:r w:rsidR="00F919B4" w:rsidRPr="006E436D">
        <w:rPr>
          <w:b w:val="0"/>
          <w:color w:val="auto"/>
          <w:lang w:val="en-US"/>
        </w:rPr>
        <w:t xml:space="preserve"> (A), camalexin (B), </w:t>
      </w:r>
      <w:r w:rsidR="005727B8">
        <w:rPr>
          <w:b w:val="0"/>
          <w:color w:val="auto"/>
          <w:lang w:val="en-US"/>
        </w:rPr>
        <w:t>ICA</w:t>
      </w:r>
      <w:r w:rsidR="00F919B4" w:rsidRPr="006E436D">
        <w:rPr>
          <w:b w:val="0"/>
          <w:color w:val="auto"/>
          <w:lang w:val="en-US"/>
        </w:rPr>
        <w:t xml:space="preserve"> (C), </w:t>
      </w:r>
      <w:r w:rsidR="005727B8">
        <w:rPr>
          <w:b w:val="0"/>
          <w:color w:val="auto"/>
          <w:lang w:val="en-US"/>
        </w:rPr>
        <w:t>“</w:t>
      </w:r>
      <w:r w:rsidR="00F919B4" w:rsidRPr="006E436D">
        <w:rPr>
          <w:b w:val="0"/>
          <w:color w:val="auto"/>
          <w:lang w:val="en-US"/>
        </w:rPr>
        <w:t>unknown 28</w:t>
      </w:r>
      <w:r w:rsidR="005727B8">
        <w:rPr>
          <w:b w:val="0"/>
          <w:color w:val="auto"/>
          <w:lang w:val="en-US"/>
        </w:rPr>
        <w:t>” (D), Pip</w:t>
      </w:r>
      <w:r w:rsidRPr="006E436D">
        <w:rPr>
          <w:b w:val="0"/>
          <w:color w:val="auto"/>
          <w:lang w:val="en-US"/>
        </w:rPr>
        <w:t xml:space="preserve"> (E), </w:t>
      </w:r>
      <w:r w:rsidR="00EE3541">
        <w:rPr>
          <w:b w:val="0"/>
          <w:color w:val="auto"/>
          <w:lang w:val="en-US"/>
        </w:rPr>
        <w:t>Pro</w:t>
      </w:r>
      <w:r w:rsidRPr="006E436D">
        <w:rPr>
          <w:b w:val="0"/>
          <w:color w:val="auto"/>
          <w:lang w:val="en-US"/>
        </w:rPr>
        <w:t xml:space="preserve"> (F), </w:t>
      </w:r>
      <w:r w:rsidR="005727B8" w:rsidRPr="005727B8">
        <w:rPr>
          <w:b w:val="0"/>
          <w:color w:val="auto"/>
          <w:lang w:val="en-US"/>
        </w:rPr>
        <w:t>GABA</w:t>
      </w:r>
      <w:r w:rsidRPr="006E436D">
        <w:rPr>
          <w:b w:val="0"/>
          <w:color w:val="auto"/>
          <w:lang w:val="en-US"/>
        </w:rPr>
        <w:t xml:space="preserve"> (G),</w:t>
      </w:r>
      <w:r w:rsidR="00F919B4" w:rsidRPr="006E436D">
        <w:rPr>
          <w:b w:val="0"/>
          <w:color w:val="auto"/>
          <w:lang w:val="en-US"/>
        </w:rPr>
        <w:t xml:space="preserve"> and </w:t>
      </w:r>
      <w:r w:rsidR="00EE3541">
        <w:rPr>
          <w:b w:val="0"/>
          <w:color w:val="auto"/>
          <w:lang w:val="en-US"/>
        </w:rPr>
        <w:t>Orn</w:t>
      </w:r>
      <w:r w:rsidRPr="006E436D">
        <w:rPr>
          <w:b w:val="0"/>
          <w:color w:val="auto"/>
          <w:lang w:val="en-US"/>
        </w:rPr>
        <w:t xml:space="preserve"> (H) was analysed in three replicate samples. Significant statistical differences between non-infected and infected</w:t>
      </w:r>
      <w:r w:rsidR="00330576" w:rsidRPr="006E436D">
        <w:rPr>
          <w:b w:val="0"/>
          <w:color w:val="auto"/>
          <w:lang w:val="en-US"/>
        </w:rPr>
        <w:t>, as well as between Col-0 and mutant,</w:t>
      </w:r>
      <w:r w:rsidRPr="006E436D">
        <w:rPr>
          <w:b w:val="0"/>
          <w:color w:val="auto"/>
          <w:lang w:val="en-US"/>
        </w:rPr>
        <w:t xml:space="preserve"> plants are marked with asterisks </w:t>
      </w:r>
      <w:r w:rsidR="00330576" w:rsidRPr="006E436D">
        <w:rPr>
          <w:b w:val="0"/>
          <w:color w:val="auto"/>
          <w:lang w:val="en-US"/>
        </w:rPr>
        <w:t xml:space="preserve">and letters, respectively, </w:t>
      </w:r>
      <w:r w:rsidRPr="006E436D">
        <w:rPr>
          <w:b w:val="0"/>
          <w:color w:val="auto"/>
          <w:lang w:val="en-US"/>
        </w:rPr>
        <w:t xml:space="preserve">above the bars (two-tailed </w:t>
      </w:r>
      <w:r w:rsidRPr="006E436D">
        <w:rPr>
          <w:b w:val="0"/>
          <w:i/>
          <w:color w:val="auto"/>
          <w:lang w:val="en-US"/>
        </w:rPr>
        <w:t>t</w:t>
      </w:r>
      <w:r w:rsidRPr="006E436D">
        <w:rPr>
          <w:b w:val="0"/>
          <w:color w:val="auto"/>
          <w:lang w:val="en-US"/>
        </w:rPr>
        <w:t xml:space="preserve"> test; *</w:t>
      </w:r>
      <w:r w:rsidR="00330576" w:rsidRPr="006E436D">
        <w:rPr>
          <w:b w:val="0"/>
          <w:color w:val="auto"/>
          <w:lang w:val="en-US"/>
        </w:rPr>
        <w:t xml:space="preserve"> a</w:t>
      </w:r>
      <w:r w:rsidRPr="006E436D">
        <w:rPr>
          <w:b w:val="0"/>
          <w:color w:val="auto"/>
          <w:lang w:val="en-US"/>
        </w:rPr>
        <w:t>, P&lt; 0.05; **</w:t>
      </w:r>
      <w:r w:rsidR="00330576" w:rsidRPr="006E436D">
        <w:rPr>
          <w:b w:val="0"/>
          <w:color w:val="auto"/>
          <w:lang w:val="en-US"/>
        </w:rPr>
        <w:t xml:space="preserve"> b</w:t>
      </w:r>
      <w:r w:rsidRPr="006E436D">
        <w:rPr>
          <w:b w:val="0"/>
          <w:color w:val="auto"/>
          <w:lang w:val="en-US"/>
        </w:rPr>
        <w:t>, P&lt; 0.01; ***</w:t>
      </w:r>
      <w:r w:rsidR="00330576" w:rsidRPr="006E436D">
        <w:rPr>
          <w:b w:val="0"/>
          <w:color w:val="auto"/>
          <w:lang w:val="en-US"/>
        </w:rPr>
        <w:t xml:space="preserve"> c</w:t>
      </w:r>
      <w:r w:rsidRPr="006E436D">
        <w:rPr>
          <w:b w:val="0"/>
          <w:color w:val="auto"/>
          <w:lang w:val="en-US"/>
        </w:rPr>
        <w:t xml:space="preserve">, P&lt; 0.001). For accumulation of metabolites in Ler-0 only the compatible interaction with </w:t>
      </w:r>
      <w:r w:rsidR="005727B8">
        <w:rPr>
          <w:b w:val="0"/>
          <w:i/>
          <w:color w:val="auto"/>
          <w:lang w:val="en-US"/>
        </w:rPr>
        <w:t>Hpa</w:t>
      </w:r>
      <w:r w:rsidRPr="006E436D">
        <w:rPr>
          <w:b w:val="0"/>
          <w:color w:val="auto"/>
          <w:lang w:val="en-US"/>
        </w:rPr>
        <w:t xml:space="preserve"> Cala2 was included.</w:t>
      </w:r>
      <w:r w:rsidR="007A7ECF" w:rsidRPr="006E436D">
        <w:rPr>
          <w:b w:val="0"/>
          <w:color w:val="auto"/>
          <w:lang w:val="en-US"/>
        </w:rPr>
        <w:t xml:space="preserve"> Results following the study of the interaction of </w:t>
      </w:r>
      <w:r w:rsidR="007A7ECF" w:rsidRPr="006E436D">
        <w:rPr>
          <w:b w:val="0"/>
          <w:i/>
          <w:color w:val="auto"/>
          <w:lang w:val="en-US"/>
        </w:rPr>
        <w:t>A.</w:t>
      </w:r>
      <w:r w:rsidR="005727B8">
        <w:rPr>
          <w:b w:val="0"/>
          <w:i/>
          <w:color w:val="auto"/>
          <w:lang w:val="en-US"/>
        </w:rPr>
        <w:t xml:space="preserve"> </w:t>
      </w:r>
      <w:r w:rsidR="007A7ECF" w:rsidRPr="006E436D">
        <w:rPr>
          <w:b w:val="0"/>
          <w:i/>
          <w:color w:val="auto"/>
          <w:lang w:val="en-US"/>
        </w:rPr>
        <w:t>thaliana</w:t>
      </w:r>
      <w:r w:rsidR="007A7ECF" w:rsidRPr="006E436D">
        <w:rPr>
          <w:b w:val="0"/>
          <w:color w:val="auto"/>
          <w:lang w:val="en-US"/>
        </w:rPr>
        <w:t xml:space="preserve"> with the avirulent </w:t>
      </w:r>
      <w:r w:rsidR="005727B8">
        <w:rPr>
          <w:b w:val="0"/>
          <w:i/>
          <w:color w:val="auto"/>
          <w:lang w:val="en-US"/>
        </w:rPr>
        <w:t>Hpa</w:t>
      </w:r>
      <w:r w:rsidR="007A7ECF" w:rsidRPr="006E436D">
        <w:rPr>
          <w:b w:val="0"/>
          <w:color w:val="auto"/>
          <w:lang w:val="en-US"/>
        </w:rPr>
        <w:t xml:space="preserve"> isolate Cala2 </w:t>
      </w:r>
      <w:r w:rsidR="00EE3541">
        <w:rPr>
          <w:b w:val="0"/>
          <w:color w:val="auto"/>
          <w:lang w:val="en-US"/>
        </w:rPr>
        <w:t>are</w:t>
      </w:r>
      <w:r w:rsidR="007A7ECF" w:rsidRPr="006E436D">
        <w:rPr>
          <w:b w:val="0"/>
          <w:color w:val="auto"/>
          <w:lang w:val="en-US"/>
        </w:rPr>
        <w:t xml:space="preserve"> described in section 6.10.</w:t>
      </w:r>
      <w:r w:rsidRPr="006E436D">
        <w:rPr>
          <w:b w:val="0"/>
          <w:color w:val="auto"/>
          <w:lang w:val="en-US"/>
        </w:rPr>
        <w:t xml:space="preserve"> </w:t>
      </w:r>
      <w:proofErr w:type="gramStart"/>
      <w:r w:rsidRPr="006E436D">
        <w:rPr>
          <w:b w:val="0"/>
          <w:color w:val="auto"/>
          <w:lang w:val="en-US"/>
        </w:rPr>
        <w:t>FW, fresh weight.</w:t>
      </w:r>
      <w:proofErr w:type="gramEnd"/>
      <w:r w:rsidR="00E5408B" w:rsidRPr="006E436D">
        <w:rPr>
          <w:b w:val="0"/>
          <w:color w:val="auto"/>
          <w:lang w:val="en-US"/>
        </w:rPr>
        <w:t xml:space="preserve"> </w:t>
      </w:r>
      <w:proofErr w:type="gramStart"/>
      <w:r w:rsidR="00E5408B" w:rsidRPr="006E436D">
        <w:rPr>
          <w:b w:val="0"/>
          <w:color w:val="auto"/>
          <w:lang w:val="en-US"/>
        </w:rPr>
        <w:t>Generation of the</w:t>
      </w:r>
      <w:r w:rsidR="00CE0C49" w:rsidRPr="006E436D">
        <w:rPr>
          <w:b w:val="0"/>
          <w:color w:val="auto"/>
          <w:lang w:val="en-US"/>
        </w:rPr>
        <w:t xml:space="preserve"> </w:t>
      </w:r>
      <w:r w:rsidR="00CE0C49" w:rsidRPr="006E436D">
        <w:rPr>
          <w:b w:val="0"/>
          <w:i/>
          <w:color w:val="auto"/>
          <w:lang w:val="en-US"/>
        </w:rPr>
        <w:t>sid2 ald1</w:t>
      </w:r>
      <w:r w:rsidR="00CE0C49" w:rsidRPr="006E436D">
        <w:rPr>
          <w:b w:val="0"/>
          <w:color w:val="auto"/>
          <w:lang w:val="en-US"/>
        </w:rPr>
        <w:t xml:space="preserve"> </w:t>
      </w:r>
      <w:r w:rsidR="00E5408B" w:rsidRPr="006E436D">
        <w:rPr>
          <w:b w:val="0"/>
          <w:color w:val="auto"/>
          <w:lang w:val="en-US"/>
        </w:rPr>
        <w:t>mutant</w:t>
      </w:r>
      <w:r w:rsidR="00420F6E">
        <w:rPr>
          <w:b w:val="0"/>
          <w:color w:val="auto"/>
          <w:lang w:val="en-US"/>
        </w:rPr>
        <w:t xml:space="preserve"> line</w:t>
      </w:r>
      <w:r w:rsidR="00E5408B" w:rsidRPr="006E436D">
        <w:rPr>
          <w:b w:val="0"/>
          <w:color w:val="auto"/>
          <w:lang w:val="en-US"/>
        </w:rPr>
        <w:t xml:space="preserve"> </w:t>
      </w:r>
      <w:r w:rsidR="00CE0C49" w:rsidRPr="006E436D">
        <w:rPr>
          <w:b w:val="0"/>
          <w:color w:val="auto"/>
          <w:lang w:val="en-US"/>
        </w:rPr>
        <w:t xml:space="preserve">by </w:t>
      </w:r>
      <w:r w:rsidR="00E5408B" w:rsidRPr="006E436D">
        <w:rPr>
          <w:b w:val="0"/>
          <w:color w:val="auto"/>
          <w:lang w:val="en-US"/>
        </w:rPr>
        <w:t xml:space="preserve">Dr </w:t>
      </w:r>
      <w:r w:rsidR="00CE0C49" w:rsidRPr="006E436D">
        <w:rPr>
          <w:b w:val="0"/>
          <w:color w:val="auto"/>
          <w:lang w:val="en-US"/>
        </w:rPr>
        <w:t>Friederike Bernsdorff.</w:t>
      </w:r>
      <w:proofErr w:type="gramEnd"/>
    </w:p>
    <w:p w:rsidR="00FD65FA" w:rsidRDefault="00EE3541" w:rsidP="00422AEA">
      <w:pPr>
        <w:spacing w:after="0" w:line="360" w:lineRule="auto"/>
        <w:jc w:val="both"/>
      </w:pPr>
      <w:r>
        <w:lastRenderedPageBreak/>
        <w:t>No increases in Pip-levels were</w:t>
      </w:r>
      <w:r w:rsidR="005727B8">
        <w:t xml:space="preserve"> measured in t</w:t>
      </w:r>
      <w:r>
        <w:t>he Pip-</w:t>
      </w:r>
      <w:r w:rsidR="005727B8" w:rsidRPr="00E10306">
        <w:t xml:space="preserve">biosynthesis-impaired mutant lines </w:t>
      </w:r>
      <w:r w:rsidR="005727B8" w:rsidRPr="00E10306">
        <w:rPr>
          <w:i/>
        </w:rPr>
        <w:t>ald1</w:t>
      </w:r>
      <w:r w:rsidR="005727B8" w:rsidRPr="00E10306">
        <w:t xml:space="preserve"> and </w:t>
      </w:r>
      <w:r w:rsidR="005727B8" w:rsidRPr="00E10306">
        <w:rPr>
          <w:i/>
        </w:rPr>
        <w:t>sid2 ald1</w:t>
      </w:r>
      <w:r w:rsidR="005727B8" w:rsidRPr="00E10306">
        <w:t>.</w:t>
      </w:r>
      <w:r w:rsidR="005727B8">
        <w:t xml:space="preserve"> In </w:t>
      </w:r>
      <w:r w:rsidR="005727B8" w:rsidRPr="005727B8">
        <w:rPr>
          <w:i/>
        </w:rPr>
        <w:t>sid2</w:t>
      </w:r>
      <w:r w:rsidR="005727B8">
        <w:t xml:space="preserve"> mutants an even</w:t>
      </w:r>
      <w:r>
        <w:t xml:space="preserve"> stronger increase in Pip-</w:t>
      </w:r>
      <w:r w:rsidR="005727B8" w:rsidRPr="00E10306">
        <w:t xml:space="preserve">levels </w:t>
      </w:r>
      <w:r w:rsidR="005727B8">
        <w:t>(</w:t>
      </w:r>
      <w:r w:rsidR="005727B8" w:rsidRPr="00E10306">
        <w:t>1.6 µg g</w:t>
      </w:r>
      <w:r w:rsidR="005727B8" w:rsidRPr="007A7ECF">
        <w:rPr>
          <w:vertAlign w:val="superscript"/>
        </w:rPr>
        <w:t>-1</w:t>
      </w:r>
      <w:r w:rsidR="005727B8" w:rsidRPr="00E10306">
        <w:t xml:space="preserve"> FW in non-infected</w:t>
      </w:r>
      <w:r w:rsidR="005727B8" w:rsidRPr="0002539E">
        <w:t xml:space="preserve"> </w:t>
      </w:r>
      <w:r w:rsidR="005727B8" w:rsidRPr="00E10306">
        <w:t xml:space="preserve">leaves </w:t>
      </w:r>
      <w:r w:rsidR="005727B8">
        <w:rPr>
          <w:i/>
        </w:rPr>
        <w:t>vs</w:t>
      </w:r>
      <w:r w:rsidR="005727B8" w:rsidRPr="00E10306">
        <w:t xml:space="preserve"> 14 µg g</w:t>
      </w:r>
      <w:r w:rsidR="005727B8" w:rsidRPr="007A7ECF">
        <w:rPr>
          <w:vertAlign w:val="superscript"/>
        </w:rPr>
        <w:t>-1</w:t>
      </w:r>
      <w:r w:rsidR="005727B8">
        <w:t xml:space="preserve"> FW in </w:t>
      </w:r>
      <w:r w:rsidR="005727B8">
        <w:rPr>
          <w:i/>
        </w:rPr>
        <w:t>Hpa</w:t>
      </w:r>
      <w:r w:rsidR="005727B8" w:rsidRPr="00E10306">
        <w:t>-infected leaves</w:t>
      </w:r>
      <w:r w:rsidR="005727B8">
        <w:t xml:space="preserve">) compared to WT was observed </w:t>
      </w:r>
      <w:r w:rsidR="005727B8" w:rsidRPr="00E10306">
        <w:t>upon infection (Figure 38 E).</w:t>
      </w:r>
      <w:r w:rsidR="005727B8">
        <w:t xml:space="preserve"> </w:t>
      </w:r>
      <w:r w:rsidR="007A7ECF" w:rsidRPr="007A7ECF">
        <w:t xml:space="preserve">In contrast to plants infected with the bacterium </w:t>
      </w:r>
      <w:r w:rsidR="00333BE4">
        <w:rPr>
          <w:i/>
        </w:rPr>
        <w:t>Psm</w:t>
      </w:r>
      <w:r w:rsidR="007A7ECF" w:rsidRPr="007A7ECF">
        <w:t xml:space="preserve">, infection with the virulent </w:t>
      </w:r>
      <w:r w:rsidR="00333BE4">
        <w:rPr>
          <w:i/>
        </w:rPr>
        <w:t>Hpa</w:t>
      </w:r>
      <w:r w:rsidR="007A7ECF" w:rsidRPr="007A7ECF">
        <w:t xml:space="preserve"> Noco2 induced a strong acc</w:t>
      </w:r>
      <w:r w:rsidR="00877399">
        <w:t>umulation of the proteinogenous</w:t>
      </w:r>
      <w:r w:rsidR="007A7ECF" w:rsidRPr="007A7ECF">
        <w:t xml:space="preserve"> amino acid proline</w:t>
      </w:r>
      <w:r>
        <w:t xml:space="preserve"> (Pro)</w:t>
      </w:r>
      <w:r w:rsidR="007A7ECF" w:rsidRPr="007A7ECF">
        <w:t xml:space="preserve"> from basal levels of</w:t>
      </w:r>
      <w:r w:rsidR="00333BE4">
        <w:t xml:space="preserve"> averagely</w:t>
      </w:r>
      <w:r w:rsidR="007A7ECF" w:rsidRPr="007A7ECF">
        <w:t xml:space="preserve"> 10 µg g</w:t>
      </w:r>
      <w:r w:rsidR="007A7ECF" w:rsidRPr="007A7ECF">
        <w:rPr>
          <w:vertAlign w:val="superscript"/>
        </w:rPr>
        <w:t>-1</w:t>
      </w:r>
      <w:r w:rsidR="007A7ECF" w:rsidRPr="007A7ECF">
        <w:t xml:space="preserve"> FW to more than 60 µg g</w:t>
      </w:r>
      <w:r w:rsidR="007A7ECF" w:rsidRPr="007A7ECF">
        <w:rPr>
          <w:vertAlign w:val="superscript"/>
        </w:rPr>
        <w:t>-1</w:t>
      </w:r>
      <w:r w:rsidR="007A7ECF" w:rsidRPr="007A7ECF">
        <w:t xml:space="preserve"> FW in Col-0 and 40-50 µg g</w:t>
      </w:r>
      <w:r w:rsidR="007A7ECF" w:rsidRPr="007A7ECF">
        <w:rPr>
          <w:vertAlign w:val="superscript"/>
        </w:rPr>
        <w:t>-1</w:t>
      </w:r>
      <w:r w:rsidR="007A7ECF" w:rsidRPr="007A7ECF">
        <w:t xml:space="preserve"> FW in the analysed mutant lines (Figure 38 F).</w:t>
      </w:r>
      <w:r w:rsidR="007A7ECF">
        <w:t xml:space="preserve"> </w:t>
      </w:r>
      <w:r w:rsidR="0008597B">
        <w:t xml:space="preserve">Similar to plants infected with the fungus </w:t>
      </w:r>
      <w:r w:rsidR="0008597B" w:rsidRPr="00B21103">
        <w:rPr>
          <w:i/>
        </w:rPr>
        <w:t>B.</w:t>
      </w:r>
      <w:r w:rsidR="00333BE4">
        <w:rPr>
          <w:i/>
        </w:rPr>
        <w:t xml:space="preserve"> </w:t>
      </w:r>
      <w:r w:rsidR="0008597B" w:rsidRPr="00B21103">
        <w:rPr>
          <w:i/>
        </w:rPr>
        <w:t>cinerea</w:t>
      </w:r>
      <w:r w:rsidR="0008597B">
        <w:t xml:space="preserve">, the non-protein amino acids </w:t>
      </w:r>
      <w:r w:rsidR="00333BE4" w:rsidRPr="00333BE4">
        <w:rPr>
          <w:rFonts w:cstheme="minorHAnsi"/>
        </w:rPr>
        <w:t>GABA</w:t>
      </w:r>
      <w:r w:rsidR="0008597B">
        <w:t xml:space="preserve"> and ornithine</w:t>
      </w:r>
      <w:r w:rsidR="004621C2">
        <w:t xml:space="preserve"> (Orn)</w:t>
      </w:r>
      <w:r w:rsidR="00FD65FA" w:rsidRPr="00FD65FA">
        <w:t xml:space="preserve"> </w:t>
      </w:r>
      <w:r>
        <w:t xml:space="preserve">also </w:t>
      </w:r>
      <w:r w:rsidR="0008597B">
        <w:t>accumulate</w:t>
      </w:r>
      <w:r>
        <w:t>d</w:t>
      </w:r>
      <w:r w:rsidR="0008597B">
        <w:t xml:space="preserve"> in </w:t>
      </w:r>
      <w:r w:rsidR="00333BE4">
        <w:rPr>
          <w:i/>
        </w:rPr>
        <w:t>Hpa</w:t>
      </w:r>
      <w:r w:rsidR="0008597B">
        <w:t>-infected plants (</w:t>
      </w:r>
      <w:r>
        <w:t>Figure 38 G; Figure 38 H). GABA-</w:t>
      </w:r>
      <w:r w:rsidR="0008597B">
        <w:t>levels increased</w:t>
      </w:r>
      <w:r w:rsidR="00B21103">
        <w:t xml:space="preserve"> in Col-0, </w:t>
      </w:r>
      <w:r w:rsidR="00B21103" w:rsidRPr="00B21103">
        <w:rPr>
          <w:i/>
        </w:rPr>
        <w:t>ald1</w:t>
      </w:r>
      <w:r w:rsidR="0008597B">
        <w:t xml:space="preserve">, and </w:t>
      </w:r>
      <w:r w:rsidR="0008597B" w:rsidRPr="00B21103">
        <w:rPr>
          <w:i/>
        </w:rPr>
        <w:t>sid2 ald1</w:t>
      </w:r>
      <w:r w:rsidR="0008597B">
        <w:t xml:space="preserve"> from 2 </w:t>
      </w:r>
      <w:r w:rsidR="00B21103">
        <w:t>µg g</w:t>
      </w:r>
      <w:r w:rsidR="00B21103" w:rsidRPr="00B21103">
        <w:rPr>
          <w:vertAlign w:val="superscript"/>
        </w:rPr>
        <w:t>-1</w:t>
      </w:r>
      <w:r w:rsidR="00B21103">
        <w:t xml:space="preserve"> FW in non-infected</w:t>
      </w:r>
      <w:r w:rsidR="0008597B">
        <w:t xml:space="preserve"> to </w:t>
      </w:r>
      <w:r w:rsidR="00B21103">
        <w:t>10-12 µg g</w:t>
      </w:r>
      <w:r w:rsidR="00B21103" w:rsidRPr="00B21103">
        <w:rPr>
          <w:vertAlign w:val="superscript"/>
        </w:rPr>
        <w:t>-1</w:t>
      </w:r>
      <w:r w:rsidR="00B21103">
        <w:t xml:space="preserve"> FW in infected leaves (Figure 38 G). This amino acid showed an even stronger increase in </w:t>
      </w:r>
      <w:r w:rsidR="00B21103" w:rsidRPr="00B21103">
        <w:rPr>
          <w:i/>
        </w:rPr>
        <w:t>sid2</w:t>
      </w:r>
      <w:r w:rsidR="00B21103">
        <w:t xml:space="preserve"> to 15 µg g</w:t>
      </w:r>
      <w:r w:rsidR="00B21103" w:rsidRPr="00B21103">
        <w:rPr>
          <w:vertAlign w:val="superscript"/>
        </w:rPr>
        <w:t>-1</w:t>
      </w:r>
      <w:r w:rsidR="00B21103">
        <w:t xml:space="preserve"> FW and accumulated to lower levels in </w:t>
      </w:r>
      <w:r w:rsidR="00B21103" w:rsidRPr="00B21103">
        <w:rPr>
          <w:i/>
        </w:rPr>
        <w:t>fmo1</w:t>
      </w:r>
      <w:r w:rsidR="00B21103">
        <w:t xml:space="preserve"> (7 µg g</w:t>
      </w:r>
      <w:r w:rsidR="00B21103" w:rsidRPr="00B21103">
        <w:rPr>
          <w:vertAlign w:val="superscript"/>
        </w:rPr>
        <w:t>-1</w:t>
      </w:r>
      <w:r w:rsidR="00B21103">
        <w:t xml:space="preserve"> FW).</w:t>
      </w:r>
      <w:r w:rsidR="00FD65FA" w:rsidRPr="00FD65FA">
        <w:t xml:space="preserve"> </w:t>
      </w:r>
      <w:r>
        <w:t>Orn</w:t>
      </w:r>
      <w:r w:rsidR="005F1F74">
        <w:t xml:space="preserve"> showed </w:t>
      </w:r>
      <w:r w:rsidR="0063074C">
        <w:t>similar levels in Col-0</w:t>
      </w:r>
      <w:r w:rsidR="005F1F74">
        <w:t xml:space="preserve"> as well as in the mutant lines with basal levels of 0.2 µg g</w:t>
      </w:r>
      <w:r w:rsidR="005F1F74" w:rsidRPr="0063074C">
        <w:rPr>
          <w:vertAlign w:val="superscript"/>
        </w:rPr>
        <w:t>-1</w:t>
      </w:r>
      <w:r w:rsidR="005F1F74">
        <w:t xml:space="preserve"> FW in non-infected and 1-2 µg g</w:t>
      </w:r>
      <w:r w:rsidR="005F1F74" w:rsidRPr="0063074C">
        <w:rPr>
          <w:vertAlign w:val="superscript"/>
        </w:rPr>
        <w:t>-1</w:t>
      </w:r>
      <w:r w:rsidR="005F1F74">
        <w:t xml:space="preserve"> FW in </w:t>
      </w:r>
      <w:r w:rsidR="00333BE4">
        <w:rPr>
          <w:i/>
        </w:rPr>
        <w:t>Hpa</w:t>
      </w:r>
      <w:r w:rsidR="005F1F74">
        <w:t>-infected leaves (Figure 38 H).</w:t>
      </w:r>
      <w:r w:rsidR="0063074C">
        <w:t xml:space="preserve"> </w:t>
      </w:r>
      <w:r w:rsidR="00B10C22">
        <w:t xml:space="preserve">These results indicate an interaction of Pip- and SA-mediated signalling in regulation of defence metabolite accumulation. In </w:t>
      </w:r>
      <w:r w:rsidR="00B10C22" w:rsidRPr="00B10C22">
        <w:rPr>
          <w:i/>
        </w:rPr>
        <w:t>ald1</w:t>
      </w:r>
      <w:r w:rsidR="00B10C22">
        <w:t xml:space="preserve">, which is unable to synthesize </w:t>
      </w:r>
      <w:r w:rsidR="00333BE4">
        <w:t>Pip</w:t>
      </w:r>
      <w:r w:rsidR="00B10C22">
        <w:t xml:space="preserve">, and in </w:t>
      </w:r>
      <w:r w:rsidR="00B10C22" w:rsidRPr="00B10C22">
        <w:rPr>
          <w:i/>
        </w:rPr>
        <w:t>fmo1</w:t>
      </w:r>
      <w:r w:rsidR="00B10C22">
        <w:t xml:space="preserve">, which presumably does not process the Pip-derived signal, </w:t>
      </w:r>
      <w:r w:rsidR="00333BE4">
        <w:t>SA</w:t>
      </w:r>
      <w:r>
        <w:t>-</w:t>
      </w:r>
      <w:r w:rsidR="00B10C22">
        <w:t xml:space="preserve">accumulation after infection with </w:t>
      </w:r>
      <w:r w:rsidR="00333BE4">
        <w:rPr>
          <w:i/>
        </w:rPr>
        <w:t>Hpa</w:t>
      </w:r>
      <w:r w:rsidR="00B10C22">
        <w:t xml:space="preserve"> Noco2 was found to be reduced. </w:t>
      </w:r>
      <w:r w:rsidR="00333BE4">
        <w:t>Pip</w:t>
      </w:r>
      <w:r w:rsidR="005B246A">
        <w:t xml:space="preserve"> and its processing by FMO1 seems to be important for camalexin accumulation as well, but not for accumulation of </w:t>
      </w:r>
      <w:r w:rsidR="00333BE4">
        <w:t>ICA</w:t>
      </w:r>
      <w:r w:rsidR="005B246A">
        <w:t xml:space="preserve">, as </w:t>
      </w:r>
      <w:r w:rsidR="005B246A" w:rsidRPr="005B246A">
        <w:rPr>
          <w:i/>
        </w:rPr>
        <w:t>ald1</w:t>
      </w:r>
      <w:r w:rsidR="005B246A">
        <w:t xml:space="preserve"> and </w:t>
      </w:r>
      <w:r w:rsidR="005B246A" w:rsidRPr="005B246A">
        <w:rPr>
          <w:i/>
        </w:rPr>
        <w:t xml:space="preserve">fmo1 </w:t>
      </w:r>
      <w:r w:rsidR="005B246A">
        <w:t>plants showed reduced levels of camalexin</w:t>
      </w:r>
      <w:r>
        <w:t>, but</w:t>
      </w:r>
      <w:r w:rsidR="005B246A">
        <w:t xml:space="preserve"> similar </w:t>
      </w:r>
      <w:r>
        <w:t>ICA-</w:t>
      </w:r>
      <w:r w:rsidR="007A7ECF">
        <w:t xml:space="preserve">levels as detected in </w:t>
      </w:r>
      <w:r w:rsidR="005B246A">
        <w:t>infected</w:t>
      </w:r>
      <w:r>
        <w:t xml:space="preserve"> </w:t>
      </w:r>
      <w:r w:rsidR="00420F6E">
        <w:t xml:space="preserve">Col-0 </w:t>
      </w:r>
      <w:r>
        <w:t>leaves. On the other hand, ICA-</w:t>
      </w:r>
      <w:r w:rsidR="005B246A">
        <w:t xml:space="preserve">accumulation seemed to benefit from the absence of </w:t>
      </w:r>
      <w:r w:rsidR="00333BE4">
        <w:t>SA</w:t>
      </w:r>
      <w:r>
        <w:t>, as ICA-</w:t>
      </w:r>
      <w:r w:rsidR="005B246A">
        <w:t xml:space="preserve">accumulation was enhanced in </w:t>
      </w:r>
      <w:r w:rsidR="005B246A" w:rsidRPr="005B246A">
        <w:rPr>
          <w:i/>
        </w:rPr>
        <w:t>sid2</w:t>
      </w:r>
      <w:r w:rsidR="005B246A">
        <w:t xml:space="preserve"> and </w:t>
      </w:r>
      <w:r w:rsidR="005B246A" w:rsidRPr="005B246A">
        <w:rPr>
          <w:i/>
        </w:rPr>
        <w:t>sid2 ald1</w:t>
      </w:r>
      <w:r w:rsidR="005B246A">
        <w:t xml:space="preserve"> plants.</w:t>
      </w:r>
      <w:r w:rsidR="0007354F" w:rsidRPr="0007354F">
        <w:t xml:space="preserve"> </w:t>
      </w:r>
      <w:r w:rsidR="0007354F">
        <w:t xml:space="preserve">The hypothesis of </w:t>
      </w:r>
      <w:r>
        <w:t>Pip having no role in ICA-</w:t>
      </w:r>
      <w:r w:rsidR="0007354F">
        <w:t>accumulation upon infection with this oomyce</w:t>
      </w:r>
      <w:r>
        <w:t>te was also strengthened by ICA-</w:t>
      </w:r>
      <w:r w:rsidR="0007354F">
        <w:t xml:space="preserve">levels in </w:t>
      </w:r>
      <w:r w:rsidR="0007354F" w:rsidRPr="005B246A">
        <w:rPr>
          <w:i/>
        </w:rPr>
        <w:t>ald1</w:t>
      </w:r>
      <w:r>
        <w:t xml:space="preserve">, which were </w:t>
      </w:r>
      <w:r w:rsidR="0007354F">
        <w:t xml:space="preserve">similar </w:t>
      </w:r>
      <w:r>
        <w:t>to those found in Col-0 and ICA-</w:t>
      </w:r>
      <w:r w:rsidR="0007354F">
        <w:t xml:space="preserve">levels in </w:t>
      </w:r>
      <w:r w:rsidR="0007354F" w:rsidRPr="005B246A">
        <w:rPr>
          <w:i/>
        </w:rPr>
        <w:t>sid2 ald1</w:t>
      </w:r>
      <w:r w:rsidR="0007354F">
        <w:t xml:space="preserve"> </w:t>
      </w:r>
      <w:r>
        <w:t xml:space="preserve">being </w:t>
      </w:r>
      <w:r w:rsidR="0007354F">
        <w:t xml:space="preserve">similar to </w:t>
      </w:r>
      <w:r w:rsidR="0007354F" w:rsidRPr="005B246A">
        <w:rPr>
          <w:i/>
        </w:rPr>
        <w:t>sid2</w:t>
      </w:r>
      <w:r w:rsidR="0007354F">
        <w:t>.</w:t>
      </w:r>
      <w:r>
        <w:t xml:space="preserve"> Further d</w:t>
      </w:r>
      <w:r w:rsidR="00A561C6">
        <w:t xml:space="preserve">ifferences in amino acid accumulation between </w:t>
      </w:r>
      <w:r w:rsidR="00A561C6" w:rsidRPr="00A561C6">
        <w:rPr>
          <w:i/>
        </w:rPr>
        <w:t>ald1, fmo1</w:t>
      </w:r>
      <w:r w:rsidR="00A561C6">
        <w:t xml:space="preserve">, and </w:t>
      </w:r>
      <w:r w:rsidR="00A561C6" w:rsidRPr="00A561C6">
        <w:rPr>
          <w:i/>
        </w:rPr>
        <w:t>sid2</w:t>
      </w:r>
      <w:r w:rsidR="00A561C6">
        <w:t xml:space="preserve"> were also observed, </w:t>
      </w:r>
      <w:r>
        <w:t xml:space="preserve">with the </w:t>
      </w:r>
      <w:r w:rsidR="00A561C6">
        <w:t>most striking</w:t>
      </w:r>
      <w:r w:rsidR="003202AD">
        <w:t xml:space="preserve"> disparities observed</w:t>
      </w:r>
      <w:r w:rsidR="00A561C6">
        <w:t xml:space="preserve"> in </w:t>
      </w:r>
      <w:r w:rsidR="00A561C6" w:rsidRPr="00A561C6">
        <w:rPr>
          <w:i/>
        </w:rPr>
        <w:t>fmo1</w:t>
      </w:r>
      <w:r w:rsidR="00A561C6">
        <w:t xml:space="preserve"> (see table 7 in the appendix). For instance, </w:t>
      </w:r>
      <w:r w:rsidR="00F1658F">
        <w:t>accumulation of isoleucine seemed</w:t>
      </w:r>
      <w:r w:rsidR="00A561C6">
        <w:t xml:space="preserve"> to be Pip-dependent, as it showed only a two-fold accumulation in </w:t>
      </w:r>
      <w:r w:rsidR="00A561C6" w:rsidRPr="00A561C6">
        <w:rPr>
          <w:i/>
        </w:rPr>
        <w:t xml:space="preserve">fmo1 </w:t>
      </w:r>
      <w:r w:rsidR="00A561C6">
        <w:t xml:space="preserve">and </w:t>
      </w:r>
      <w:r w:rsidR="00A561C6" w:rsidRPr="00A561C6">
        <w:rPr>
          <w:i/>
        </w:rPr>
        <w:t>ald1</w:t>
      </w:r>
      <w:r w:rsidR="00A561C6">
        <w:t xml:space="preserve"> in contrast to a four-fold increase in Ile levels in Col-0 (Table 7). Similar results were also observed for leucine, lysine, and phenylalanine, </w:t>
      </w:r>
      <w:r w:rsidR="00F1658F">
        <w:t>all of which</w:t>
      </w:r>
      <w:r w:rsidR="00A561C6">
        <w:t xml:space="preserve"> were found to increase less in </w:t>
      </w:r>
      <w:r w:rsidR="00A561C6" w:rsidRPr="00A561C6">
        <w:rPr>
          <w:i/>
        </w:rPr>
        <w:t>fmo1</w:t>
      </w:r>
      <w:r w:rsidR="00A561C6">
        <w:t xml:space="preserve"> than in Col-0 (Table 7). Interestingly, for tyrosine and the lysine derivative </w:t>
      </w:r>
      <w:r w:rsidR="00A561C6" w:rsidRPr="00A561C6">
        <w:rPr>
          <w:rFonts w:ascii="Calibri" w:hAnsi="Calibri"/>
          <w:i/>
        </w:rPr>
        <w:t>α</w:t>
      </w:r>
      <w:r w:rsidR="00A561C6">
        <w:t>-aminoadipic acid</w:t>
      </w:r>
      <w:r w:rsidR="00F1658F">
        <w:t xml:space="preserve"> (Aad)</w:t>
      </w:r>
      <w:r w:rsidR="00A561C6">
        <w:t>, higher levels</w:t>
      </w:r>
      <w:r w:rsidR="00F1658F">
        <w:t xml:space="preserve"> than in WT</w:t>
      </w:r>
      <w:r w:rsidR="00A561C6">
        <w:t xml:space="preserve"> were found</w:t>
      </w:r>
      <w:r w:rsidR="003202AD">
        <w:t xml:space="preserve"> </w:t>
      </w:r>
      <w:r w:rsidR="00F1658F">
        <w:t>in infected leaves of</w:t>
      </w:r>
      <w:r w:rsidR="00A561C6">
        <w:t xml:space="preserve"> </w:t>
      </w:r>
      <w:r w:rsidR="00A561C6" w:rsidRPr="00A561C6">
        <w:rPr>
          <w:i/>
        </w:rPr>
        <w:t>sid2</w:t>
      </w:r>
      <w:r w:rsidR="00A561C6">
        <w:t xml:space="preserve"> and for </w:t>
      </w:r>
      <w:r w:rsidR="00F1658F" w:rsidRPr="00F1658F">
        <w:rPr>
          <w:rFonts w:cstheme="minorHAnsi"/>
        </w:rPr>
        <w:t>Aad</w:t>
      </w:r>
      <w:r w:rsidR="00A561C6">
        <w:t xml:space="preserve"> in </w:t>
      </w:r>
      <w:r w:rsidR="00A561C6" w:rsidRPr="00A561C6">
        <w:rPr>
          <w:i/>
        </w:rPr>
        <w:t>ald1</w:t>
      </w:r>
      <w:r w:rsidR="00A561C6">
        <w:t>, respectively (Table 7).</w:t>
      </w:r>
      <w:r w:rsidR="0007354F">
        <w:t xml:space="preserve"> </w:t>
      </w:r>
      <w:r w:rsidR="005E4AD0">
        <w:t xml:space="preserve">It is conceivable that the metabolite overaccumulation observed in </w:t>
      </w:r>
      <w:r w:rsidR="005E4AD0" w:rsidRPr="005E4AD0">
        <w:rPr>
          <w:i/>
        </w:rPr>
        <w:t>sid2</w:t>
      </w:r>
      <w:r w:rsidR="005E4AD0">
        <w:t xml:space="preserve"> correlates with enhanced disease symptoms, but in order to answer this hypothesis more studies on the relationship between </w:t>
      </w:r>
      <w:r w:rsidR="005E4AD0" w:rsidRPr="005E4AD0">
        <w:rPr>
          <w:i/>
        </w:rPr>
        <w:t>sid2</w:t>
      </w:r>
      <w:r w:rsidR="005E4AD0">
        <w:t xml:space="preserve"> and </w:t>
      </w:r>
      <w:r w:rsidR="00F1658F">
        <w:rPr>
          <w:i/>
        </w:rPr>
        <w:t>Hpa</w:t>
      </w:r>
      <w:r w:rsidR="005E4AD0">
        <w:t xml:space="preserve"> would be necessary.</w:t>
      </w:r>
    </w:p>
    <w:p w:rsidR="00B517AA" w:rsidRDefault="00B517AA" w:rsidP="00B517AA">
      <w:pPr>
        <w:pStyle w:val="berschrift2"/>
        <w:jc w:val="both"/>
        <w:rPr>
          <w:color w:val="auto"/>
        </w:rPr>
        <w:sectPr w:rsidR="00B517AA" w:rsidSect="00B517AA">
          <w:headerReference w:type="default" r:id="rId72"/>
          <w:type w:val="continuous"/>
          <w:pgSz w:w="11906" w:h="16838"/>
          <w:pgMar w:top="1417" w:right="1417" w:bottom="1134" w:left="1417" w:header="708" w:footer="708" w:gutter="0"/>
          <w:cols w:space="708"/>
          <w:titlePg/>
          <w:docGrid w:linePitch="360"/>
        </w:sectPr>
      </w:pPr>
    </w:p>
    <w:p w:rsidR="0001236A" w:rsidRDefault="00563EC1" w:rsidP="00F477CF">
      <w:pPr>
        <w:pStyle w:val="berschrift2"/>
        <w:spacing w:after="240"/>
        <w:jc w:val="both"/>
        <w:rPr>
          <w:color w:val="auto"/>
        </w:rPr>
      </w:pPr>
      <w:bookmarkStart w:id="89" w:name="_Toc435621244"/>
      <w:r>
        <w:rPr>
          <w:color w:val="auto"/>
        </w:rPr>
        <w:lastRenderedPageBreak/>
        <w:t xml:space="preserve">6.8 </w:t>
      </w:r>
      <w:r w:rsidR="00387575">
        <w:rPr>
          <w:color w:val="auto"/>
        </w:rPr>
        <w:t>Pip-induced</w:t>
      </w:r>
      <w:r w:rsidR="0001236A" w:rsidRPr="0001236A">
        <w:rPr>
          <w:color w:val="auto"/>
        </w:rPr>
        <w:t xml:space="preserve"> resistance against the virulent </w:t>
      </w:r>
      <w:r w:rsidR="0001236A" w:rsidRPr="0001236A">
        <w:rPr>
          <w:i/>
          <w:color w:val="auto"/>
        </w:rPr>
        <w:t>H</w:t>
      </w:r>
      <w:r w:rsidR="00387575">
        <w:rPr>
          <w:i/>
          <w:color w:val="auto"/>
        </w:rPr>
        <w:t>pa</w:t>
      </w:r>
      <w:r w:rsidR="0001236A" w:rsidRPr="0001236A">
        <w:rPr>
          <w:color w:val="auto"/>
        </w:rPr>
        <w:t xml:space="preserve"> isolate Noco2</w:t>
      </w:r>
      <w:bookmarkEnd w:id="89"/>
    </w:p>
    <w:p w:rsidR="009F77D0" w:rsidRDefault="00A846B2" w:rsidP="009F77D0">
      <w:pPr>
        <w:spacing w:after="0" w:line="360" w:lineRule="auto"/>
        <w:jc w:val="both"/>
      </w:pPr>
      <w:r>
        <w:t xml:space="preserve">To analyse the host-pathogen relationship between </w:t>
      </w:r>
      <w:r w:rsidRPr="00194CAD">
        <w:rPr>
          <w:i/>
        </w:rPr>
        <w:t>A.</w:t>
      </w:r>
      <w:r w:rsidR="00387575">
        <w:rPr>
          <w:i/>
        </w:rPr>
        <w:t xml:space="preserve"> </w:t>
      </w:r>
      <w:r w:rsidRPr="00194CAD">
        <w:rPr>
          <w:i/>
        </w:rPr>
        <w:t>thaliana</w:t>
      </w:r>
      <w:r>
        <w:t xml:space="preserve"> and </w:t>
      </w:r>
      <w:r w:rsidR="00387575">
        <w:rPr>
          <w:i/>
        </w:rPr>
        <w:t>Hpa</w:t>
      </w:r>
      <w:r w:rsidR="00B146E7">
        <w:rPr>
          <w:i/>
        </w:rPr>
        <w:t>,</w:t>
      </w:r>
      <w:r>
        <w:t xml:space="preserve"> a set of various </w:t>
      </w:r>
      <w:r w:rsidRPr="00194CAD">
        <w:rPr>
          <w:i/>
        </w:rPr>
        <w:t>Arabidopsis</w:t>
      </w:r>
      <w:r>
        <w:t xml:space="preserve"> lines impaired in </w:t>
      </w:r>
      <w:r w:rsidR="00194CAD">
        <w:t>Pip- and SA-mediated signalling processes or biosynthesis</w:t>
      </w:r>
      <w:r>
        <w:t xml:space="preserve"> were chosen. In addition to </w:t>
      </w:r>
      <w:r w:rsidR="00194CAD" w:rsidRPr="00194CAD">
        <w:rPr>
          <w:i/>
        </w:rPr>
        <w:t>ald1, fmo1, sid2</w:t>
      </w:r>
      <w:r w:rsidR="00194CAD">
        <w:t xml:space="preserve">, and </w:t>
      </w:r>
      <w:r w:rsidR="00194CAD" w:rsidRPr="00194CAD">
        <w:rPr>
          <w:i/>
        </w:rPr>
        <w:t>sid2 ald1</w:t>
      </w:r>
      <w:r w:rsidR="00194CAD">
        <w:t xml:space="preserve"> described before in this work, the MATE transporter mutant </w:t>
      </w:r>
      <w:r w:rsidR="00194CAD" w:rsidRPr="00194CAD">
        <w:rPr>
          <w:i/>
        </w:rPr>
        <w:t>eds5</w:t>
      </w:r>
      <w:r w:rsidR="00194CAD">
        <w:t xml:space="preserve"> (</w:t>
      </w:r>
      <w:r w:rsidR="00194CAD" w:rsidRPr="00194CAD">
        <w:rPr>
          <w:i/>
        </w:rPr>
        <w:t>sid1</w:t>
      </w:r>
      <w:r w:rsidR="00194CAD">
        <w:t xml:space="preserve">), which is an essential component of </w:t>
      </w:r>
      <w:r w:rsidR="00387575">
        <w:t>SA</w:t>
      </w:r>
      <w:r w:rsidR="00194CAD">
        <w:t>-mediated defence signalling, was used. A double knockout line for both isochorismate 1 and 2 (</w:t>
      </w:r>
      <w:r w:rsidR="00194CAD" w:rsidRPr="00194CAD">
        <w:rPr>
          <w:i/>
        </w:rPr>
        <w:t>ics1 ics2</w:t>
      </w:r>
      <w:r w:rsidR="00420F6E">
        <w:t>) and the SA-signalling and -</w:t>
      </w:r>
      <w:r w:rsidR="00194CAD">
        <w:t xml:space="preserve">receptor mutant </w:t>
      </w:r>
      <w:r w:rsidR="00194CAD" w:rsidRPr="00194CAD">
        <w:rPr>
          <w:i/>
        </w:rPr>
        <w:t>npr1</w:t>
      </w:r>
      <w:r w:rsidR="00194CAD">
        <w:t xml:space="preserve"> were utilised as well. </w:t>
      </w:r>
      <w:r w:rsidR="005D4D0E">
        <w:t xml:space="preserve">Disease symptoms of </w:t>
      </w:r>
      <w:r w:rsidR="00000717">
        <w:rPr>
          <w:i/>
        </w:rPr>
        <w:t>Hpa</w:t>
      </w:r>
      <w:r w:rsidR="005D4D0E">
        <w:t xml:space="preserve">-infected plants were analysed on the one hand </w:t>
      </w:r>
      <w:r w:rsidR="005D4D0E" w:rsidRPr="005D4D0E">
        <w:t>by staining hyphae on infected leaves with lactophenol/trypanblue (TB)</w:t>
      </w:r>
      <w:r w:rsidR="00C505F7">
        <w:t>, followed by</w:t>
      </w:r>
      <w:r w:rsidR="005D4D0E" w:rsidRPr="005D4D0E">
        <w:t xml:space="preserve"> surveying the leaves </w:t>
      </w:r>
      <w:r w:rsidR="00C505F7">
        <w:t>via</w:t>
      </w:r>
      <w:r w:rsidR="005D4D0E" w:rsidRPr="005D4D0E">
        <w:t xml:space="preserve"> light microscopy (Figure 39, Figure 40)</w:t>
      </w:r>
      <w:r w:rsidR="00420F6E">
        <w:t>, and on the</w:t>
      </w:r>
      <w:r w:rsidR="005D4D0E">
        <w:t xml:space="preserve"> other hand by counting oomycete spores 7 days after infection (Figure 41)</w:t>
      </w:r>
      <w:r w:rsidR="005D4D0E" w:rsidRPr="005D4D0E">
        <w:t>.</w:t>
      </w:r>
      <w:r w:rsidR="005D4D0E">
        <w:t xml:space="preserve"> For TB-stained leaves a disease rating according to Ton </w:t>
      </w:r>
      <w:r w:rsidR="005D4D0E" w:rsidRPr="008E459B">
        <w:rPr>
          <w:i/>
        </w:rPr>
        <w:t>et al.</w:t>
      </w:r>
      <w:r w:rsidR="005D4D0E">
        <w:t xml:space="preserve"> </w:t>
      </w:r>
      <w:r w:rsidR="00000717">
        <w:t>(</w:t>
      </w:r>
      <w:r w:rsidR="005D4D0E">
        <w:t>2005</w:t>
      </w:r>
      <w:r w:rsidR="00000717">
        <w:t>)</w:t>
      </w:r>
      <w:r w:rsidR="005D4D0E">
        <w:t xml:space="preserve"> was performed to give </w:t>
      </w:r>
      <w:r w:rsidR="008E459B">
        <w:t>an extensive overview of all stained leaves and not only a small selection.</w:t>
      </w:r>
      <w:r w:rsidR="00C505F7">
        <w:t xml:space="preserve"> This rating technique includes four classes of disease severity: </w:t>
      </w:r>
      <w:r w:rsidR="00C505F7">
        <w:rPr>
          <w:lang w:val="en-US"/>
        </w:rPr>
        <w:t>class</w:t>
      </w:r>
      <w:r w:rsidR="00C505F7" w:rsidRPr="0013292C">
        <w:rPr>
          <w:lang w:val="en-US"/>
        </w:rPr>
        <w:t xml:space="preserve"> I (no conidiophores visible on leaf surface)</w:t>
      </w:r>
      <w:r w:rsidR="00C505F7">
        <w:rPr>
          <w:lang w:val="en-US"/>
        </w:rPr>
        <w:t xml:space="preserve">, </w:t>
      </w:r>
      <w:r w:rsidR="00C505F7" w:rsidRPr="0013292C">
        <w:t>class II (</w:t>
      </w:r>
      <w:r w:rsidR="00C505F7" w:rsidRPr="0013292C">
        <w:rPr>
          <w:lang w:val="en-US"/>
        </w:rPr>
        <w:t>less than 50% of the leaf area covered in conidiophores)</w:t>
      </w:r>
      <w:r w:rsidR="00C505F7">
        <w:rPr>
          <w:lang w:val="en-US"/>
        </w:rPr>
        <w:t xml:space="preserve">, class </w:t>
      </w:r>
      <w:r w:rsidR="00C505F7" w:rsidRPr="0013292C">
        <w:rPr>
          <w:lang w:val="en-US"/>
        </w:rPr>
        <w:t>III (more than 50% of leaf surface covered in conidiophores)</w:t>
      </w:r>
      <w:r w:rsidR="00C505F7">
        <w:rPr>
          <w:lang w:val="en-US"/>
        </w:rPr>
        <w:t xml:space="preserve">, and </w:t>
      </w:r>
      <w:r w:rsidR="00C505F7" w:rsidRPr="00C505F7">
        <w:rPr>
          <w:lang w:val="en-US"/>
        </w:rPr>
        <w:t>class IV (densely covered in conidiophores, with additional chlorosis)</w:t>
      </w:r>
      <w:r w:rsidR="00C505F7">
        <w:rPr>
          <w:lang w:val="en-US"/>
        </w:rPr>
        <w:t>.</w:t>
      </w:r>
      <w:r w:rsidR="005D4D0E">
        <w:t xml:space="preserve"> </w:t>
      </w:r>
    </w:p>
    <w:p w:rsidR="0013292C" w:rsidRPr="009F77D0" w:rsidRDefault="00FD4D51" w:rsidP="009F77D0">
      <w:pPr>
        <w:spacing w:after="0" w:line="360" w:lineRule="auto"/>
        <w:ind w:firstLine="708"/>
        <w:jc w:val="both"/>
        <w:rPr>
          <w:lang w:val="en-US"/>
        </w:rPr>
      </w:pPr>
      <w:r w:rsidRPr="0013292C">
        <w:t xml:space="preserve">Figure 39 A shows the disease rating for </w:t>
      </w:r>
      <w:r w:rsidRPr="0013292C">
        <w:rPr>
          <w:i/>
        </w:rPr>
        <w:t>A.</w:t>
      </w:r>
      <w:r w:rsidR="00000717">
        <w:rPr>
          <w:i/>
        </w:rPr>
        <w:t xml:space="preserve"> </w:t>
      </w:r>
      <w:r w:rsidRPr="0013292C">
        <w:rPr>
          <w:i/>
        </w:rPr>
        <w:t>thaliana</w:t>
      </w:r>
      <w:r w:rsidR="00420F6E">
        <w:t xml:space="preserve"> </w:t>
      </w:r>
      <w:r w:rsidRPr="0013292C">
        <w:t xml:space="preserve">leaves infected with </w:t>
      </w:r>
      <w:r w:rsidR="00000717">
        <w:rPr>
          <w:i/>
        </w:rPr>
        <w:t>Hpa</w:t>
      </w:r>
      <w:r w:rsidRPr="0013292C">
        <w:t xml:space="preserve"> Noco2, harvested 7 days after spray-infection and </w:t>
      </w:r>
      <w:r>
        <w:t>stained with lactophenol/trypan</w:t>
      </w:r>
      <w:r w:rsidRPr="0013292C">
        <w:t>blue. It becomes apparent that</w:t>
      </w:r>
      <w:r>
        <w:t xml:space="preserve"> in water-treated Col-0 </w:t>
      </w:r>
      <w:r w:rsidR="00000717">
        <w:t>plants</w:t>
      </w:r>
      <w:r>
        <w:t xml:space="preserve"> the</w:t>
      </w:r>
      <w:r w:rsidRPr="0013292C">
        <w:t xml:space="preserve"> major</w:t>
      </w:r>
      <w:r>
        <w:t xml:space="preserve">ity </w:t>
      </w:r>
      <w:r w:rsidRPr="0013292C">
        <w:t>of</w:t>
      </w:r>
      <w:r>
        <w:t xml:space="preserve"> leaves show</w:t>
      </w:r>
      <w:r w:rsidR="00C505F7">
        <w:t xml:space="preserve"> class II</w:t>
      </w:r>
      <w:r w:rsidRPr="0013292C">
        <w:rPr>
          <w:lang w:val="en-US"/>
        </w:rPr>
        <w:t xml:space="preserve"> </w:t>
      </w:r>
      <w:r>
        <w:rPr>
          <w:lang w:val="en-US"/>
        </w:rPr>
        <w:t>disease symptoms</w:t>
      </w:r>
      <w:r w:rsidR="00D06F97">
        <w:rPr>
          <w:lang w:val="en-US"/>
        </w:rPr>
        <w:t xml:space="preserve"> </w:t>
      </w:r>
      <w:r w:rsidRPr="0013292C">
        <w:rPr>
          <w:lang w:val="en-US"/>
        </w:rPr>
        <w:t xml:space="preserve">and </w:t>
      </w:r>
      <w:r>
        <w:rPr>
          <w:lang w:val="en-US"/>
        </w:rPr>
        <w:t>a smaller percentage of leaves class</w:t>
      </w:r>
      <w:r w:rsidR="00C505F7">
        <w:rPr>
          <w:lang w:val="en-US"/>
        </w:rPr>
        <w:t xml:space="preserve"> I</w:t>
      </w:r>
      <w:r w:rsidR="00D06F97">
        <w:rPr>
          <w:lang w:val="en-US"/>
        </w:rPr>
        <w:t xml:space="preserve"> </w:t>
      </w:r>
      <w:r w:rsidRPr="0013292C">
        <w:rPr>
          <w:lang w:val="en-US"/>
        </w:rPr>
        <w:t>and III</w:t>
      </w:r>
      <w:r w:rsidR="00D06F97">
        <w:rPr>
          <w:lang w:val="en-US"/>
        </w:rPr>
        <w:t xml:space="preserve"> </w:t>
      </w:r>
      <w:r>
        <w:rPr>
          <w:lang w:val="en-US"/>
        </w:rPr>
        <w:t>symptoms</w:t>
      </w:r>
      <w:r w:rsidRPr="0013292C">
        <w:rPr>
          <w:lang w:val="en-US"/>
        </w:rPr>
        <w:t xml:space="preserve">. The disease rating for </w:t>
      </w:r>
      <w:r w:rsidR="00C505F7">
        <w:rPr>
          <w:lang w:val="en-US"/>
        </w:rPr>
        <w:t xml:space="preserve">the </w:t>
      </w:r>
      <w:r w:rsidRPr="0013292C">
        <w:rPr>
          <w:lang w:val="en-US"/>
        </w:rPr>
        <w:t xml:space="preserve">Pip-deficient </w:t>
      </w:r>
      <w:r w:rsidRPr="0013292C">
        <w:rPr>
          <w:i/>
          <w:lang w:val="en-US"/>
        </w:rPr>
        <w:t>ald1</w:t>
      </w:r>
      <w:r w:rsidRPr="0013292C">
        <w:rPr>
          <w:lang w:val="en-US"/>
        </w:rPr>
        <w:t xml:space="preserve"> </w:t>
      </w:r>
      <w:r w:rsidR="00C505F7">
        <w:rPr>
          <w:lang w:val="en-US"/>
        </w:rPr>
        <w:t xml:space="preserve">mutant </w:t>
      </w:r>
      <w:r>
        <w:rPr>
          <w:lang w:val="en-US"/>
        </w:rPr>
        <w:t>also revealed disease symptoms of</w:t>
      </w:r>
      <w:r w:rsidRPr="0013292C">
        <w:rPr>
          <w:lang w:val="en-US"/>
        </w:rPr>
        <w:t xml:space="preserve"> these three classes, with a large percentage of leaves showing predominantly symptoms of class III</w:t>
      </w:r>
      <w:r w:rsidR="00420F6E">
        <w:rPr>
          <w:lang w:val="en-US"/>
        </w:rPr>
        <w:t xml:space="preserve">. </w:t>
      </w:r>
      <w:r w:rsidRPr="00163C73">
        <w:rPr>
          <w:lang w:val="en-US"/>
        </w:rPr>
        <w:t xml:space="preserve">In </w:t>
      </w:r>
      <w:r w:rsidRPr="00163C73">
        <w:rPr>
          <w:i/>
          <w:lang w:val="en-US"/>
        </w:rPr>
        <w:t>fmo1</w:t>
      </w:r>
      <w:r w:rsidR="00000717">
        <w:rPr>
          <w:i/>
          <w:lang w:val="en-US"/>
        </w:rPr>
        <w:t>,</w:t>
      </w:r>
      <w:r>
        <w:rPr>
          <w:lang w:val="en-US"/>
        </w:rPr>
        <w:t xml:space="preserve"> leaves uniformly showed symptoms of</w:t>
      </w:r>
      <w:r w:rsidRPr="00163C73">
        <w:rPr>
          <w:lang w:val="en-US"/>
        </w:rPr>
        <w:t xml:space="preserve"> class II, which was also predominant in </w:t>
      </w:r>
      <w:r w:rsidRPr="00163C73">
        <w:rPr>
          <w:i/>
          <w:lang w:val="en-US"/>
        </w:rPr>
        <w:t>sid2</w:t>
      </w:r>
      <w:r w:rsidRPr="00163C73">
        <w:rPr>
          <w:lang w:val="en-US"/>
        </w:rPr>
        <w:t xml:space="preserve"> with small percentages of leaves showin</w:t>
      </w:r>
      <w:r w:rsidR="00D06F97">
        <w:rPr>
          <w:lang w:val="en-US"/>
        </w:rPr>
        <w:t xml:space="preserve">g disease symptoms of classes </w:t>
      </w:r>
      <w:proofErr w:type="gramStart"/>
      <w:r w:rsidR="00D06F97">
        <w:rPr>
          <w:lang w:val="en-US"/>
        </w:rPr>
        <w:t>I</w:t>
      </w:r>
      <w:proofErr w:type="gramEnd"/>
      <w:r w:rsidR="00D06F97">
        <w:rPr>
          <w:lang w:val="en-US"/>
        </w:rPr>
        <w:t xml:space="preserve"> </w:t>
      </w:r>
      <w:r w:rsidRPr="00163C73">
        <w:rPr>
          <w:lang w:val="en-US"/>
        </w:rPr>
        <w:t>and III.</w:t>
      </w:r>
      <w:r>
        <w:rPr>
          <w:lang w:val="en-US"/>
        </w:rPr>
        <w:t xml:space="preserve"> For </w:t>
      </w:r>
      <w:r w:rsidRPr="00C87A5A">
        <w:rPr>
          <w:i/>
          <w:lang w:val="en-US"/>
        </w:rPr>
        <w:t>sid2 ald1</w:t>
      </w:r>
      <w:r>
        <w:rPr>
          <w:lang w:val="en-US"/>
        </w:rPr>
        <w:t xml:space="preserve">, which accumulates neither </w:t>
      </w:r>
      <w:r w:rsidR="00000717">
        <w:rPr>
          <w:lang w:val="en-US"/>
        </w:rPr>
        <w:t>SA nor Pip</w:t>
      </w:r>
      <w:r>
        <w:rPr>
          <w:lang w:val="en-US"/>
        </w:rPr>
        <w:t xml:space="preserve">, a small percentage of leaves showed class III disease symptoms, the remaining leaves exhibited class I and II disease symptoms. In </w:t>
      </w:r>
      <w:r w:rsidRPr="00EC2AD7">
        <w:rPr>
          <w:i/>
          <w:lang w:val="en-US"/>
        </w:rPr>
        <w:t>eds5, ics1 ics2</w:t>
      </w:r>
      <w:r>
        <w:rPr>
          <w:lang w:val="en-US"/>
        </w:rPr>
        <w:t xml:space="preserve">, and </w:t>
      </w:r>
      <w:r w:rsidRPr="00EC2AD7">
        <w:rPr>
          <w:i/>
          <w:lang w:val="en-US"/>
        </w:rPr>
        <w:t>npr1</w:t>
      </w:r>
      <w:r>
        <w:rPr>
          <w:lang w:val="en-US"/>
        </w:rPr>
        <w:t xml:space="preserve">, approximately half of the analysed leaves showed class II symptoms and the other half symptoms of class III. As </w:t>
      </w:r>
      <w:r w:rsidR="00000717">
        <w:rPr>
          <w:lang w:val="en-US"/>
        </w:rPr>
        <w:t>Pip</w:t>
      </w:r>
      <w:r>
        <w:rPr>
          <w:lang w:val="en-US"/>
        </w:rPr>
        <w:t xml:space="preserve"> was shown to accumulate in plants infected with </w:t>
      </w:r>
      <w:r w:rsidR="00000717">
        <w:rPr>
          <w:i/>
          <w:lang w:val="en-US"/>
        </w:rPr>
        <w:t>Hpa</w:t>
      </w:r>
      <w:r>
        <w:rPr>
          <w:lang w:val="en-US"/>
        </w:rPr>
        <w:t xml:space="preserve"> Noco2 (Figure 38 E), </w:t>
      </w:r>
      <w:r>
        <w:t>Pip-</w:t>
      </w:r>
      <w:r w:rsidR="00C505F7">
        <w:t>IR</w:t>
      </w:r>
      <w:r w:rsidRPr="005D4D0E">
        <w:t xml:space="preserve"> was analysed by treating plant</w:t>
      </w:r>
      <w:r w:rsidR="00420F6E">
        <w:t>s</w:t>
      </w:r>
      <w:r w:rsidRPr="005D4D0E">
        <w:t xml:space="preserve"> with 10 ml 1 mM (=10 µmol) </w:t>
      </w:r>
      <w:r w:rsidR="00000717">
        <w:t>Pip</w:t>
      </w:r>
      <w:r w:rsidRPr="005D4D0E">
        <w:t xml:space="preserve"> 1 day before spray-infection w</w:t>
      </w:r>
      <w:r>
        <w:t>ith the pathogen and scoring disease symptoms</w:t>
      </w:r>
      <w:r w:rsidRPr="005D4D0E">
        <w:t xml:space="preserve"> 7 days</w:t>
      </w:r>
      <w:r>
        <w:t xml:space="preserve"> after infection</w:t>
      </w:r>
      <w:r w:rsidRPr="005D4D0E">
        <w:t>.</w:t>
      </w:r>
      <w:r>
        <w:t xml:space="preserve"> Disease rating of Col-0 TB-stained leaves</w:t>
      </w:r>
      <w:r w:rsidRPr="005D4D0E">
        <w:t xml:space="preserve"> </w:t>
      </w:r>
      <w:r>
        <w:t xml:space="preserve">showed that Pip-treatment of plants significantly reduced </w:t>
      </w:r>
      <w:r w:rsidR="00C505F7">
        <w:t xml:space="preserve">the </w:t>
      </w:r>
      <w:r>
        <w:t xml:space="preserve">severity of </w:t>
      </w:r>
      <w:r w:rsidR="00C505F7">
        <w:t xml:space="preserve">the </w:t>
      </w:r>
      <w:r>
        <w:t xml:space="preserve">infection to approximately 30 per cent of analysed leaves showing growth and sporulation of the oomycete (class II) and 70 per cent of leaves exhibiting no disease symptoms (Figure 39 A). In </w:t>
      </w:r>
      <w:r w:rsidRPr="00EC2AD7">
        <w:rPr>
          <w:i/>
        </w:rPr>
        <w:t>ald1</w:t>
      </w:r>
      <w:r>
        <w:t xml:space="preserve"> exogenous</w:t>
      </w:r>
      <w:r w:rsidR="00C505F7">
        <w:t>ly</w:t>
      </w:r>
      <w:r>
        <w:t xml:space="preserve"> applied </w:t>
      </w:r>
      <w:r w:rsidR="00000717">
        <w:t>Pip</w:t>
      </w:r>
      <w:r>
        <w:t xml:space="preserve"> also induced resistance to the oomycete, albeit not as strong as in Col-0. </w:t>
      </w:r>
    </w:p>
    <w:p w:rsidR="001C04C3" w:rsidRPr="00364566" w:rsidRDefault="00893484" w:rsidP="00364566">
      <w:pPr>
        <w:spacing w:after="0" w:line="360" w:lineRule="auto"/>
        <w:jc w:val="both"/>
        <w:rPr>
          <w:i/>
        </w:rPr>
      </w:pPr>
      <w:r>
        <w:rPr>
          <w:i/>
          <w:noProof/>
          <w:lang w:val="de-DE" w:eastAsia="de-DE"/>
        </w:rPr>
        <w:lastRenderedPageBreak/>
        <w:drawing>
          <wp:anchor distT="0" distB="0" distL="114300" distR="114300" simplePos="0" relativeHeight="251715584" behindDoc="0" locked="0" layoutInCell="1" allowOverlap="1" wp14:anchorId="30B6B8F6" wp14:editId="6CE284DD">
            <wp:simplePos x="895350" y="1990725"/>
            <wp:positionH relativeFrom="page">
              <wp:align>center</wp:align>
            </wp:positionH>
            <wp:positionV relativeFrom="paragraph">
              <wp:posOffset>0</wp:posOffset>
            </wp:positionV>
            <wp:extent cx="3708000" cy="6839200"/>
            <wp:effectExtent l="19050" t="19050" r="26035" b="19050"/>
            <wp:wrapTopAndBottom/>
            <wp:docPr id="49" name="Grafik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p-IR vs Hpa Noco TB disease rating.png"/>
                    <pic:cNvPicPr/>
                  </pic:nvPicPr>
                  <pic:blipFill>
                    <a:blip r:embed="rId73">
                      <a:extLst>
                        <a:ext uri="{28A0092B-C50C-407E-A947-70E740481C1C}">
                          <a14:useLocalDpi xmlns:a14="http://schemas.microsoft.com/office/drawing/2010/main" val="0"/>
                        </a:ext>
                      </a:extLst>
                    </a:blip>
                    <a:stretch>
                      <a:fillRect/>
                    </a:stretch>
                  </pic:blipFill>
                  <pic:spPr>
                    <a:xfrm>
                      <a:off x="0" y="0"/>
                      <a:ext cx="3708000" cy="6839200"/>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p>
    <w:p w:rsidR="00A9262E" w:rsidRPr="006E436D" w:rsidRDefault="001C04C3" w:rsidP="00000717">
      <w:pPr>
        <w:pStyle w:val="Beschriftung"/>
        <w:spacing w:after="0" w:line="360" w:lineRule="auto"/>
        <w:jc w:val="both"/>
        <w:rPr>
          <w:color w:val="auto"/>
        </w:rPr>
      </w:pPr>
      <w:bookmarkStart w:id="90" w:name="_Toc435621157"/>
      <w:proofErr w:type="gramStart"/>
      <w:r w:rsidRPr="006E436D">
        <w:rPr>
          <w:color w:val="auto"/>
        </w:rPr>
        <w:t xml:space="preserve">Figure </w:t>
      </w:r>
      <w:r w:rsidRPr="006E436D">
        <w:rPr>
          <w:color w:val="auto"/>
        </w:rPr>
        <w:fldChar w:fldCharType="begin"/>
      </w:r>
      <w:r w:rsidRPr="006E436D">
        <w:rPr>
          <w:color w:val="auto"/>
        </w:rPr>
        <w:instrText xml:space="preserve"> SEQ Figure \* ARABIC </w:instrText>
      </w:r>
      <w:r w:rsidRPr="006E436D">
        <w:rPr>
          <w:color w:val="auto"/>
        </w:rPr>
        <w:fldChar w:fldCharType="separate"/>
      </w:r>
      <w:r w:rsidR="00CB17FE">
        <w:rPr>
          <w:noProof/>
          <w:color w:val="auto"/>
        </w:rPr>
        <w:t>39</w:t>
      </w:r>
      <w:r w:rsidRPr="006E436D">
        <w:rPr>
          <w:color w:val="auto"/>
        </w:rPr>
        <w:fldChar w:fldCharType="end"/>
      </w:r>
      <w:r w:rsidR="0096402E">
        <w:rPr>
          <w:color w:val="auto"/>
        </w:rPr>
        <w:t>.</w:t>
      </w:r>
      <w:proofErr w:type="gramEnd"/>
      <w:r w:rsidRPr="006E436D">
        <w:rPr>
          <w:color w:val="auto"/>
        </w:rPr>
        <w:t xml:space="preserve"> </w:t>
      </w:r>
      <w:r w:rsidR="00000717">
        <w:rPr>
          <w:color w:val="auto"/>
        </w:rPr>
        <w:t>V</w:t>
      </w:r>
      <w:r w:rsidR="0013292C" w:rsidRPr="006E436D">
        <w:rPr>
          <w:color w:val="auto"/>
        </w:rPr>
        <w:t>isibly reduced</w:t>
      </w:r>
      <w:r w:rsidR="00A9262E" w:rsidRPr="006E436D">
        <w:rPr>
          <w:color w:val="auto"/>
        </w:rPr>
        <w:t xml:space="preserve"> disease symptoms in </w:t>
      </w:r>
      <w:r w:rsidR="00A9262E" w:rsidRPr="006E436D">
        <w:rPr>
          <w:i/>
          <w:color w:val="auto"/>
        </w:rPr>
        <w:t>Arabidopsis</w:t>
      </w:r>
      <w:r w:rsidR="00A9262E" w:rsidRPr="006E436D">
        <w:rPr>
          <w:color w:val="auto"/>
        </w:rPr>
        <w:t xml:space="preserve"> plants infected with </w:t>
      </w:r>
      <w:r w:rsidR="00000717">
        <w:rPr>
          <w:i/>
          <w:color w:val="auto"/>
        </w:rPr>
        <w:t>Hpa</w:t>
      </w:r>
      <w:r w:rsidR="00A9262E" w:rsidRPr="006E436D">
        <w:rPr>
          <w:color w:val="auto"/>
        </w:rPr>
        <w:t xml:space="preserve"> Noco2</w:t>
      </w:r>
      <w:r w:rsidR="00144F0F">
        <w:rPr>
          <w:color w:val="auto"/>
        </w:rPr>
        <w:t xml:space="preserve"> after exogenous Pip-</w:t>
      </w:r>
      <w:r w:rsidR="00000717">
        <w:rPr>
          <w:color w:val="auto"/>
        </w:rPr>
        <w:t>application</w:t>
      </w:r>
      <w:r w:rsidR="00A9262E" w:rsidRPr="006E436D">
        <w:rPr>
          <w:color w:val="auto"/>
        </w:rPr>
        <w:t>.</w:t>
      </w:r>
      <w:bookmarkEnd w:id="90"/>
      <w:r w:rsidR="00A9262E" w:rsidRPr="006E436D">
        <w:rPr>
          <w:color w:val="auto"/>
        </w:rPr>
        <w:t xml:space="preserve"> </w:t>
      </w:r>
    </w:p>
    <w:p w:rsidR="00A9262E" w:rsidRPr="006E436D" w:rsidRDefault="00A9262E" w:rsidP="00A9262E">
      <w:pPr>
        <w:pStyle w:val="Beschriftung"/>
        <w:jc w:val="both"/>
        <w:rPr>
          <w:b w:val="0"/>
          <w:color w:val="auto"/>
          <w:lang w:val="en-US"/>
        </w:rPr>
      </w:pPr>
      <w:r w:rsidRPr="006E436D">
        <w:rPr>
          <w:b w:val="0"/>
          <w:color w:val="auto"/>
          <w:lang w:val="en-US"/>
        </w:rPr>
        <w:t xml:space="preserve">Two week old </w:t>
      </w:r>
      <w:r w:rsidRPr="006E436D">
        <w:rPr>
          <w:b w:val="0"/>
          <w:i/>
          <w:color w:val="auto"/>
          <w:lang w:val="en-US"/>
        </w:rPr>
        <w:t>Arabidopsis</w:t>
      </w:r>
      <w:r w:rsidRPr="006E436D">
        <w:rPr>
          <w:b w:val="0"/>
          <w:color w:val="auto"/>
          <w:lang w:val="en-US"/>
        </w:rPr>
        <w:t xml:space="preserve"> seedlings were supplied with water or </w:t>
      </w:r>
      <w:r w:rsidR="00F919B4" w:rsidRPr="006E436D">
        <w:rPr>
          <w:b w:val="0"/>
          <w:color w:val="auto"/>
          <w:lang w:val="en-US"/>
        </w:rPr>
        <w:t xml:space="preserve">10 µmol </w:t>
      </w:r>
      <w:r w:rsidRPr="006E436D">
        <w:rPr>
          <w:b w:val="0"/>
          <w:color w:val="auto"/>
          <w:lang w:val="en-US"/>
        </w:rPr>
        <w:t xml:space="preserve">Pip 1 </w:t>
      </w:r>
      <w:proofErr w:type="gramStart"/>
      <w:r w:rsidRPr="006E436D">
        <w:rPr>
          <w:b w:val="0"/>
          <w:color w:val="auto"/>
          <w:lang w:val="en-US"/>
        </w:rPr>
        <w:t>day</w:t>
      </w:r>
      <w:proofErr w:type="gramEnd"/>
      <w:r w:rsidRPr="006E436D">
        <w:rPr>
          <w:b w:val="0"/>
          <w:color w:val="auto"/>
          <w:lang w:val="en-US"/>
        </w:rPr>
        <w:t xml:space="preserve"> before spray-infection with a spore solution of 5x10</w:t>
      </w:r>
      <w:r w:rsidRPr="006E436D">
        <w:rPr>
          <w:b w:val="0"/>
          <w:color w:val="auto"/>
          <w:vertAlign w:val="superscript"/>
          <w:lang w:val="en-US"/>
        </w:rPr>
        <w:t>4</w:t>
      </w:r>
      <w:r w:rsidRPr="006E436D">
        <w:rPr>
          <w:b w:val="0"/>
          <w:color w:val="auto"/>
          <w:lang w:val="en-US"/>
        </w:rPr>
        <w:t xml:space="preserve"> spores ml</w:t>
      </w:r>
      <w:r w:rsidRPr="006E436D">
        <w:rPr>
          <w:b w:val="0"/>
          <w:color w:val="auto"/>
          <w:vertAlign w:val="superscript"/>
          <w:lang w:val="en-US"/>
        </w:rPr>
        <w:t>-1</w:t>
      </w:r>
      <w:r w:rsidRPr="006E436D">
        <w:rPr>
          <w:b w:val="0"/>
          <w:color w:val="auto"/>
          <w:lang w:val="en-US"/>
        </w:rPr>
        <w:t xml:space="preserve"> and kept in high air humdity for 7 days. </w:t>
      </w:r>
      <w:r w:rsidR="003A7C4A" w:rsidRPr="006E436D">
        <w:rPr>
          <w:b w:val="0"/>
          <w:color w:val="auto"/>
          <w:lang w:val="en-US"/>
        </w:rPr>
        <w:t xml:space="preserve">(A) </w:t>
      </w:r>
      <w:r w:rsidRPr="006E436D">
        <w:rPr>
          <w:b w:val="0"/>
          <w:color w:val="auto"/>
          <w:lang w:val="en-US"/>
        </w:rPr>
        <w:t xml:space="preserve">Leaves were </w:t>
      </w:r>
      <w:r w:rsidR="00420F6E">
        <w:rPr>
          <w:b w:val="0"/>
          <w:color w:val="auto"/>
          <w:lang w:val="en-US"/>
        </w:rPr>
        <w:t>stained with lactophenol/trypan</w:t>
      </w:r>
      <w:r w:rsidRPr="006E436D">
        <w:rPr>
          <w:b w:val="0"/>
          <w:color w:val="auto"/>
          <w:lang w:val="en-US"/>
        </w:rPr>
        <w:t>blue solution and disease severity</w:t>
      </w:r>
      <w:r w:rsidR="0013292C" w:rsidRPr="006E436D">
        <w:rPr>
          <w:b w:val="0"/>
          <w:color w:val="auto"/>
          <w:lang w:val="en-US"/>
        </w:rPr>
        <w:t xml:space="preserve"> was</w:t>
      </w:r>
      <w:r w:rsidRPr="006E436D">
        <w:rPr>
          <w:b w:val="0"/>
          <w:color w:val="auto"/>
          <w:lang w:val="en-US"/>
        </w:rPr>
        <w:t xml:space="preserve"> assessed via microscopy analysis. </w:t>
      </w:r>
      <w:r w:rsidR="003A7C4A" w:rsidRPr="006E436D">
        <w:rPr>
          <w:b w:val="0"/>
          <w:color w:val="auto"/>
          <w:lang w:val="en-US"/>
        </w:rPr>
        <w:t xml:space="preserve">(B) </w:t>
      </w:r>
      <w:r w:rsidRPr="006E436D">
        <w:rPr>
          <w:b w:val="0"/>
          <w:color w:val="auto"/>
          <w:lang w:val="en-US"/>
        </w:rPr>
        <w:t xml:space="preserve">Disease rating is expressed according to Ton </w:t>
      </w:r>
      <w:r w:rsidRPr="006E436D">
        <w:rPr>
          <w:b w:val="0"/>
          <w:i/>
          <w:color w:val="auto"/>
          <w:lang w:val="en-US"/>
        </w:rPr>
        <w:t>et al</w:t>
      </w:r>
      <w:r w:rsidR="00000717">
        <w:rPr>
          <w:b w:val="0"/>
          <w:color w:val="auto"/>
          <w:lang w:val="en-US"/>
        </w:rPr>
        <w:t>.</w:t>
      </w:r>
      <w:r w:rsidRPr="006E436D">
        <w:rPr>
          <w:b w:val="0"/>
          <w:color w:val="auto"/>
          <w:lang w:val="en-US"/>
        </w:rPr>
        <w:t xml:space="preserve"> </w:t>
      </w:r>
      <w:r w:rsidR="00000717">
        <w:rPr>
          <w:b w:val="0"/>
          <w:color w:val="auto"/>
          <w:lang w:val="en-US"/>
        </w:rPr>
        <w:t>(</w:t>
      </w:r>
      <w:r w:rsidRPr="006E436D">
        <w:rPr>
          <w:b w:val="0"/>
          <w:color w:val="auto"/>
          <w:lang w:val="en-US"/>
        </w:rPr>
        <w:t>2005</w:t>
      </w:r>
      <w:r w:rsidR="00000717">
        <w:rPr>
          <w:b w:val="0"/>
          <w:color w:val="auto"/>
          <w:lang w:val="en-US"/>
        </w:rPr>
        <w:t>)</w:t>
      </w:r>
      <w:r w:rsidRPr="006E436D">
        <w:rPr>
          <w:b w:val="0"/>
          <w:color w:val="auto"/>
          <w:lang w:val="en-US"/>
        </w:rPr>
        <w:t xml:space="preserve"> as percentages of leaves in disease classes I (no conidiophores visible on leaf surface), II (less than 50% of the leaf area covered in conidiophores), class III (more than 50% of leaf surface covered in conidiophores), and class IV (densely covered in conidiophores, with additional chlorosis). With the exception of </w:t>
      </w:r>
      <w:r w:rsidRPr="006E436D">
        <w:rPr>
          <w:b w:val="0"/>
          <w:i/>
          <w:color w:val="auto"/>
          <w:lang w:val="en-US"/>
        </w:rPr>
        <w:t>eds5, ics1</w:t>
      </w:r>
      <w:r w:rsidR="00F919B4" w:rsidRPr="006E436D">
        <w:rPr>
          <w:b w:val="0"/>
          <w:i/>
          <w:color w:val="auto"/>
          <w:lang w:val="en-US"/>
        </w:rPr>
        <w:t xml:space="preserve"> </w:t>
      </w:r>
      <w:r w:rsidRPr="006E436D">
        <w:rPr>
          <w:b w:val="0"/>
          <w:i/>
          <w:color w:val="auto"/>
          <w:lang w:val="en-US"/>
        </w:rPr>
        <w:t>ics2</w:t>
      </w:r>
      <w:r w:rsidRPr="006E436D">
        <w:rPr>
          <w:b w:val="0"/>
          <w:color w:val="auto"/>
          <w:lang w:val="en-US"/>
        </w:rPr>
        <w:t xml:space="preserve">, and </w:t>
      </w:r>
      <w:r w:rsidRPr="006E436D">
        <w:rPr>
          <w:b w:val="0"/>
          <w:i/>
          <w:color w:val="auto"/>
          <w:lang w:val="en-US"/>
        </w:rPr>
        <w:t>npr1</w:t>
      </w:r>
      <w:r w:rsidRPr="006E436D">
        <w:rPr>
          <w:b w:val="0"/>
          <w:color w:val="auto"/>
          <w:lang w:val="en-US"/>
        </w:rPr>
        <w:t xml:space="preserve">, the mutant lines were used in at least two independent biological experiments with similar results. The </w:t>
      </w:r>
      <w:r w:rsidRPr="006E436D">
        <w:rPr>
          <w:b w:val="0"/>
          <w:i/>
          <w:color w:val="auto"/>
          <w:lang w:val="en-US"/>
        </w:rPr>
        <w:t>sid2 ald1</w:t>
      </w:r>
      <w:r w:rsidRPr="006E436D">
        <w:rPr>
          <w:b w:val="0"/>
          <w:color w:val="auto"/>
          <w:lang w:val="en-US"/>
        </w:rPr>
        <w:t xml:space="preserve"> double mutant </w:t>
      </w:r>
      <w:r w:rsidR="00420F6E">
        <w:rPr>
          <w:b w:val="0"/>
          <w:color w:val="auto"/>
          <w:lang w:val="en-US"/>
        </w:rPr>
        <w:t xml:space="preserve">line </w:t>
      </w:r>
      <w:r w:rsidRPr="006E436D">
        <w:rPr>
          <w:b w:val="0"/>
          <w:color w:val="auto"/>
          <w:lang w:val="en-US"/>
        </w:rPr>
        <w:t>was generated by Dr Friederike Bernsdorff.</w:t>
      </w:r>
    </w:p>
    <w:p w:rsidR="0001236A" w:rsidRDefault="0001236A" w:rsidP="00A9262E">
      <w:pPr>
        <w:pStyle w:val="Beschriftung"/>
        <w:spacing w:after="0"/>
        <w:jc w:val="both"/>
        <w:rPr>
          <w:color w:val="auto"/>
          <w:sz w:val="16"/>
          <w:szCs w:val="16"/>
          <w:lang w:val="en-US"/>
        </w:rPr>
      </w:pPr>
    </w:p>
    <w:p w:rsidR="00FD4D51" w:rsidRDefault="00FD4D51" w:rsidP="00FD4D51">
      <w:pPr>
        <w:spacing w:after="0" w:line="360" w:lineRule="auto"/>
        <w:jc w:val="both"/>
      </w:pPr>
      <w:r>
        <w:lastRenderedPageBreak/>
        <w:t xml:space="preserve">Analysis of </w:t>
      </w:r>
      <w:r w:rsidRPr="00F561A2">
        <w:rPr>
          <w:i/>
        </w:rPr>
        <w:t>fmo1, sid2, sid2 ald1</w:t>
      </w:r>
      <w:r>
        <w:t xml:space="preserve">, and </w:t>
      </w:r>
      <w:r w:rsidRPr="00F561A2">
        <w:rPr>
          <w:i/>
        </w:rPr>
        <w:t>eds5</w:t>
      </w:r>
      <w:r w:rsidR="009F77D0">
        <w:t xml:space="preserve"> showed that</w:t>
      </w:r>
      <w:r w:rsidR="00A942B9">
        <w:t xml:space="preserve"> Pip-</w:t>
      </w:r>
      <w:r>
        <w:t>tr</w:t>
      </w:r>
      <w:r w:rsidR="00DC65C0">
        <w:t>eatment seemed to have impaired</w:t>
      </w:r>
      <w:r w:rsidR="00C2089E">
        <w:t xml:space="preserve"> resistance</w:t>
      </w:r>
      <w:r w:rsidR="00DC65C0">
        <w:t xml:space="preserve"> against the oomycete in these lines</w:t>
      </w:r>
      <w:r>
        <w:t xml:space="preserve">. In </w:t>
      </w:r>
      <w:r w:rsidRPr="00F561A2">
        <w:rPr>
          <w:i/>
        </w:rPr>
        <w:t>fmo1</w:t>
      </w:r>
      <w:r>
        <w:t xml:space="preserve"> and </w:t>
      </w:r>
      <w:r w:rsidRPr="00F561A2">
        <w:rPr>
          <w:i/>
        </w:rPr>
        <w:t>sid2</w:t>
      </w:r>
      <w:r>
        <w:t xml:space="preserve">, the majority of </w:t>
      </w:r>
      <w:r w:rsidR="00DC65C0">
        <w:t xml:space="preserve">Pip-treated </w:t>
      </w:r>
      <w:r>
        <w:t xml:space="preserve">leaves showed </w:t>
      </w:r>
      <w:r w:rsidR="00DC65C0">
        <w:t xml:space="preserve">symptoms of class II and </w:t>
      </w:r>
      <w:r w:rsidR="00D06F97">
        <w:t>a smaller number of leaves symptoms</w:t>
      </w:r>
      <w:r w:rsidR="00DC65C0">
        <w:t xml:space="preserve"> of class III</w:t>
      </w:r>
      <w:r>
        <w:t>. In</w:t>
      </w:r>
      <w:r w:rsidR="00DC65C0">
        <w:t xml:space="preserve"> Pip-treated</w:t>
      </w:r>
      <w:r>
        <w:t xml:space="preserve"> </w:t>
      </w:r>
      <w:r w:rsidRPr="00F561A2">
        <w:rPr>
          <w:i/>
        </w:rPr>
        <w:t>sid2 ald1</w:t>
      </w:r>
      <w:r>
        <w:t xml:space="preserve"> </w:t>
      </w:r>
      <w:r w:rsidR="00DC65C0">
        <w:t xml:space="preserve">plants, </w:t>
      </w:r>
      <w:r w:rsidR="00D06F97">
        <w:t xml:space="preserve">disease </w:t>
      </w:r>
      <w:r>
        <w:t xml:space="preserve">symptoms of </w:t>
      </w:r>
      <w:proofErr w:type="gramStart"/>
      <w:r>
        <w:t>classes</w:t>
      </w:r>
      <w:proofErr w:type="gramEnd"/>
      <w:r>
        <w:t xml:space="preserve"> I-III were observed, with a small percentage of leaves showing dense coverage in conidiophores and even beginning chlorosis (class IV). The SA-transporter mutant </w:t>
      </w:r>
      <w:r w:rsidRPr="00F561A2">
        <w:rPr>
          <w:i/>
        </w:rPr>
        <w:t>eds5</w:t>
      </w:r>
      <w:r>
        <w:t>, which showed disease symptoms of classes II and III in water-treated leaves, exhibited class IV symptoms in</w:t>
      </w:r>
      <w:r w:rsidR="00D06F97">
        <w:t xml:space="preserve"> a small percentage of</w:t>
      </w:r>
      <w:r>
        <w:t xml:space="preserve"> Pip-treated plants as well. In </w:t>
      </w:r>
      <w:r w:rsidRPr="00077FF2">
        <w:rPr>
          <w:i/>
        </w:rPr>
        <w:t>ics1 ics2</w:t>
      </w:r>
      <w:r>
        <w:t xml:space="preserve"> and </w:t>
      </w:r>
      <w:r w:rsidRPr="00077FF2">
        <w:rPr>
          <w:i/>
        </w:rPr>
        <w:t>npr1</w:t>
      </w:r>
      <w:r w:rsidR="00D06F97">
        <w:rPr>
          <w:i/>
        </w:rPr>
        <w:t>,</w:t>
      </w:r>
      <w:r>
        <w:t xml:space="preserve"> no significant difference of resistance to </w:t>
      </w:r>
      <w:r w:rsidR="00C2089E">
        <w:rPr>
          <w:i/>
        </w:rPr>
        <w:t>Hpa</w:t>
      </w:r>
      <w:r>
        <w:t xml:space="preserve"> was observed between water- and Pip-treated plants. </w:t>
      </w:r>
    </w:p>
    <w:p w:rsidR="00A942B9" w:rsidRDefault="00A942B9" w:rsidP="00DE39FC">
      <w:pPr>
        <w:keepNext/>
        <w:spacing w:after="0"/>
        <w:jc w:val="both"/>
        <w:rPr>
          <w:lang w:val="en-US"/>
        </w:rPr>
      </w:pPr>
    </w:p>
    <w:p w:rsidR="001C04C3" w:rsidRDefault="00240ED7" w:rsidP="00DE39FC">
      <w:pPr>
        <w:keepNext/>
        <w:spacing w:after="0"/>
        <w:jc w:val="both"/>
      </w:pPr>
      <w:r>
        <w:rPr>
          <w:noProof/>
          <w:lang w:val="de-DE" w:eastAsia="de-DE"/>
        </w:rPr>
        <w:drawing>
          <wp:anchor distT="0" distB="0" distL="114300" distR="114300" simplePos="0" relativeHeight="251700224" behindDoc="0" locked="0" layoutInCell="1" allowOverlap="1" wp14:anchorId="491007C6" wp14:editId="07070994">
            <wp:simplePos x="895350" y="895350"/>
            <wp:positionH relativeFrom="page">
              <wp:align>center</wp:align>
            </wp:positionH>
            <wp:positionV relativeFrom="paragraph">
              <wp:posOffset>-3810</wp:posOffset>
            </wp:positionV>
            <wp:extent cx="5760000" cy="4072537"/>
            <wp:effectExtent l="19050" t="19050" r="12700" b="23495"/>
            <wp:wrapTopAndBottom/>
            <wp:docPr id="17"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p-IR vs Hpa noco TB.png"/>
                    <pic:cNvPicPr/>
                  </pic:nvPicPr>
                  <pic:blipFill rotWithShape="1">
                    <a:blip r:embed="rId74">
                      <a:extLst>
                        <a:ext uri="{28A0092B-C50C-407E-A947-70E740481C1C}">
                          <a14:useLocalDpi xmlns:a14="http://schemas.microsoft.com/office/drawing/2010/main" val="0"/>
                        </a:ext>
                      </a:extLst>
                    </a:blip>
                    <a:srcRect l="-1" r="-1084" b="-1647"/>
                    <a:stretch/>
                  </pic:blipFill>
                  <pic:spPr bwMode="auto">
                    <a:xfrm>
                      <a:off x="0" y="0"/>
                      <a:ext cx="5760000" cy="4072537"/>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8D5528" w:rsidRPr="006E436D" w:rsidRDefault="001C04C3" w:rsidP="00AC2A63">
      <w:pPr>
        <w:pStyle w:val="Beschriftung"/>
        <w:spacing w:after="0" w:line="360" w:lineRule="auto"/>
        <w:jc w:val="both"/>
        <w:rPr>
          <w:color w:val="auto"/>
          <w:lang w:val="en-US"/>
        </w:rPr>
      </w:pPr>
      <w:bookmarkStart w:id="91" w:name="_Toc435621158"/>
      <w:proofErr w:type="gramStart"/>
      <w:r w:rsidRPr="006E436D">
        <w:rPr>
          <w:color w:val="auto"/>
        </w:rPr>
        <w:t xml:space="preserve">Figure </w:t>
      </w:r>
      <w:r w:rsidRPr="006E436D">
        <w:rPr>
          <w:color w:val="auto"/>
        </w:rPr>
        <w:fldChar w:fldCharType="begin"/>
      </w:r>
      <w:r w:rsidRPr="006E436D">
        <w:rPr>
          <w:color w:val="auto"/>
        </w:rPr>
        <w:instrText xml:space="preserve"> SEQ Figure \* ARABIC </w:instrText>
      </w:r>
      <w:r w:rsidRPr="006E436D">
        <w:rPr>
          <w:color w:val="auto"/>
        </w:rPr>
        <w:fldChar w:fldCharType="separate"/>
      </w:r>
      <w:r w:rsidR="00CB17FE">
        <w:rPr>
          <w:noProof/>
          <w:color w:val="auto"/>
        </w:rPr>
        <w:t>40</w:t>
      </w:r>
      <w:r w:rsidRPr="006E436D">
        <w:rPr>
          <w:color w:val="auto"/>
        </w:rPr>
        <w:fldChar w:fldCharType="end"/>
      </w:r>
      <w:r w:rsidR="0096402E">
        <w:rPr>
          <w:color w:val="auto"/>
        </w:rPr>
        <w:t>.</w:t>
      </w:r>
      <w:proofErr w:type="gramEnd"/>
      <w:r w:rsidRPr="006E436D">
        <w:rPr>
          <w:color w:val="auto"/>
        </w:rPr>
        <w:t xml:space="preserve"> </w:t>
      </w:r>
      <w:proofErr w:type="gramStart"/>
      <w:r w:rsidR="00AC2A63">
        <w:rPr>
          <w:color w:val="auto"/>
          <w:lang w:val="en-US"/>
        </w:rPr>
        <w:t>Pip-induced</w:t>
      </w:r>
      <w:r w:rsidR="008D5528" w:rsidRPr="006E436D">
        <w:rPr>
          <w:color w:val="auto"/>
          <w:lang w:val="en-US"/>
        </w:rPr>
        <w:t xml:space="preserve"> resistance against </w:t>
      </w:r>
      <w:r w:rsidR="00AC2A63">
        <w:rPr>
          <w:i/>
          <w:color w:val="auto"/>
          <w:lang w:val="en-US"/>
        </w:rPr>
        <w:t>Hpa</w:t>
      </w:r>
      <w:r w:rsidR="008D5528" w:rsidRPr="006E436D">
        <w:rPr>
          <w:color w:val="auto"/>
          <w:lang w:val="en-US"/>
        </w:rPr>
        <w:t xml:space="preserve"> Noco2 in </w:t>
      </w:r>
      <w:r w:rsidR="008D5528" w:rsidRPr="006E436D">
        <w:rPr>
          <w:i/>
          <w:color w:val="auto"/>
          <w:lang w:val="en-US"/>
        </w:rPr>
        <w:t>A.</w:t>
      </w:r>
      <w:r w:rsidR="00AC2A63">
        <w:rPr>
          <w:i/>
          <w:color w:val="auto"/>
          <w:lang w:val="en-US"/>
        </w:rPr>
        <w:t xml:space="preserve"> </w:t>
      </w:r>
      <w:r w:rsidR="008D5528" w:rsidRPr="006E436D">
        <w:rPr>
          <w:i/>
          <w:color w:val="auto"/>
          <w:lang w:val="en-US"/>
        </w:rPr>
        <w:t>thaliana</w:t>
      </w:r>
      <w:r w:rsidR="008D5528" w:rsidRPr="006E436D">
        <w:rPr>
          <w:color w:val="auto"/>
          <w:lang w:val="en-US"/>
        </w:rPr>
        <w:t xml:space="preserve"> Col-0.</w:t>
      </w:r>
      <w:bookmarkEnd w:id="91"/>
      <w:proofErr w:type="gramEnd"/>
    </w:p>
    <w:p w:rsidR="008D5528" w:rsidRPr="006E436D" w:rsidRDefault="002219D8" w:rsidP="008D5528">
      <w:pPr>
        <w:pStyle w:val="Beschriftung"/>
        <w:jc w:val="both"/>
        <w:rPr>
          <w:b w:val="0"/>
          <w:color w:val="auto"/>
          <w:lang w:val="en-US"/>
        </w:rPr>
      </w:pPr>
      <w:r w:rsidRPr="006E436D">
        <w:rPr>
          <w:b w:val="0"/>
          <w:color w:val="auto"/>
          <w:lang w:val="en-US"/>
        </w:rPr>
        <w:t>Plants were treated and analysed as described in figure 39.</w:t>
      </w:r>
      <w:r w:rsidR="008D5528" w:rsidRPr="006E436D">
        <w:rPr>
          <w:b w:val="0"/>
          <w:color w:val="auto"/>
          <w:lang w:val="en-US"/>
        </w:rPr>
        <w:t xml:space="preserve"> Shown are representative detail views of </w:t>
      </w:r>
      <w:r w:rsidR="008D5528" w:rsidRPr="006E436D">
        <w:rPr>
          <w:b w:val="0"/>
          <w:i/>
          <w:color w:val="auto"/>
          <w:lang w:val="en-US"/>
        </w:rPr>
        <w:t>A.</w:t>
      </w:r>
      <w:r w:rsidR="00AC2A63">
        <w:rPr>
          <w:b w:val="0"/>
          <w:i/>
          <w:color w:val="auto"/>
          <w:lang w:val="en-US"/>
        </w:rPr>
        <w:t xml:space="preserve"> </w:t>
      </w:r>
      <w:r w:rsidR="008D5528" w:rsidRPr="006E436D">
        <w:rPr>
          <w:b w:val="0"/>
          <w:i/>
          <w:color w:val="auto"/>
          <w:lang w:val="en-US"/>
        </w:rPr>
        <w:t>thaliana</w:t>
      </w:r>
      <w:r w:rsidR="008D5528" w:rsidRPr="006E436D">
        <w:rPr>
          <w:b w:val="0"/>
          <w:color w:val="auto"/>
          <w:lang w:val="en-US"/>
        </w:rPr>
        <w:t xml:space="preserve"> Col-0 (A) and the mutant lines </w:t>
      </w:r>
      <w:r w:rsidR="008D5528" w:rsidRPr="006E436D">
        <w:rPr>
          <w:b w:val="0"/>
          <w:i/>
          <w:color w:val="auto"/>
          <w:lang w:val="en-US"/>
        </w:rPr>
        <w:t>ald1</w:t>
      </w:r>
      <w:r w:rsidR="008D5528" w:rsidRPr="006E436D">
        <w:rPr>
          <w:b w:val="0"/>
          <w:color w:val="auto"/>
          <w:lang w:val="en-US"/>
        </w:rPr>
        <w:t xml:space="preserve"> (B), </w:t>
      </w:r>
      <w:r w:rsidR="008D5528" w:rsidRPr="006E436D">
        <w:rPr>
          <w:b w:val="0"/>
          <w:i/>
          <w:color w:val="auto"/>
          <w:lang w:val="en-US"/>
        </w:rPr>
        <w:t>fmo1</w:t>
      </w:r>
      <w:r w:rsidR="008D5528" w:rsidRPr="006E436D">
        <w:rPr>
          <w:b w:val="0"/>
          <w:color w:val="auto"/>
          <w:lang w:val="en-US"/>
        </w:rPr>
        <w:t xml:space="preserve"> (C), </w:t>
      </w:r>
      <w:r w:rsidR="00F919B4" w:rsidRPr="006E436D">
        <w:rPr>
          <w:b w:val="0"/>
          <w:i/>
          <w:color w:val="auto"/>
          <w:lang w:val="en-US"/>
        </w:rPr>
        <w:t>sid2</w:t>
      </w:r>
      <w:r w:rsidR="008D5528" w:rsidRPr="006E436D">
        <w:rPr>
          <w:b w:val="0"/>
          <w:color w:val="auto"/>
          <w:lang w:val="en-US"/>
        </w:rPr>
        <w:t xml:space="preserve"> (D), the double mutants </w:t>
      </w:r>
      <w:r w:rsidR="00F919B4" w:rsidRPr="006E436D">
        <w:rPr>
          <w:b w:val="0"/>
          <w:i/>
          <w:color w:val="auto"/>
          <w:lang w:val="en-US"/>
        </w:rPr>
        <w:t>sid2 ald1</w:t>
      </w:r>
      <w:r w:rsidR="008D5528" w:rsidRPr="006E436D">
        <w:rPr>
          <w:b w:val="0"/>
          <w:color w:val="auto"/>
          <w:lang w:val="en-US"/>
        </w:rPr>
        <w:t xml:space="preserve"> (E) and </w:t>
      </w:r>
      <w:r w:rsidR="008D5528" w:rsidRPr="006E436D">
        <w:rPr>
          <w:b w:val="0"/>
          <w:i/>
          <w:color w:val="auto"/>
          <w:lang w:val="en-US"/>
        </w:rPr>
        <w:t>ics1 ics2</w:t>
      </w:r>
      <w:r w:rsidR="008D5528" w:rsidRPr="006E436D">
        <w:rPr>
          <w:b w:val="0"/>
          <w:color w:val="auto"/>
          <w:lang w:val="en-US"/>
        </w:rPr>
        <w:t xml:space="preserve"> (F), as well as </w:t>
      </w:r>
      <w:r w:rsidR="008D5528" w:rsidRPr="006E436D">
        <w:rPr>
          <w:b w:val="0"/>
          <w:i/>
          <w:color w:val="auto"/>
          <w:lang w:val="en-US"/>
        </w:rPr>
        <w:t>eds5</w:t>
      </w:r>
      <w:r w:rsidR="008D5528" w:rsidRPr="006E436D">
        <w:rPr>
          <w:b w:val="0"/>
          <w:color w:val="auto"/>
          <w:lang w:val="en-US"/>
        </w:rPr>
        <w:t xml:space="preserve"> (G) and </w:t>
      </w:r>
      <w:r w:rsidR="008D5528" w:rsidRPr="006E436D">
        <w:rPr>
          <w:b w:val="0"/>
          <w:i/>
          <w:color w:val="auto"/>
          <w:lang w:val="en-US"/>
        </w:rPr>
        <w:t>npr1</w:t>
      </w:r>
      <w:r w:rsidR="008D5528" w:rsidRPr="006E436D">
        <w:rPr>
          <w:b w:val="0"/>
          <w:color w:val="auto"/>
          <w:lang w:val="en-US"/>
        </w:rPr>
        <w:t xml:space="preserve"> (H). For mutant lines with no detail picture available, a representative overview shot is shown. </w:t>
      </w:r>
      <w:r w:rsidR="00E5408B" w:rsidRPr="006E436D">
        <w:rPr>
          <w:b w:val="0"/>
          <w:color w:val="auto"/>
          <w:lang w:val="en-US"/>
        </w:rPr>
        <w:t>The</w:t>
      </w:r>
      <w:r w:rsidR="008D5528" w:rsidRPr="006E436D">
        <w:rPr>
          <w:b w:val="0"/>
          <w:color w:val="auto"/>
          <w:lang w:val="en-US"/>
        </w:rPr>
        <w:t xml:space="preserve"> </w:t>
      </w:r>
      <w:r w:rsidR="008D5528" w:rsidRPr="006E436D">
        <w:rPr>
          <w:b w:val="0"/>
          <w:i/>
          <w:color w:val="auto"/>
          <w:lang w:val="en-US"/>
        </w:rPr>
        <w:t>sid2 ald1</w:t>
      </w:r>
      <w:r w:rsidR="00E5408B" w:rsidRPr="006E436D">
        <w:rPr>
          <w:b w:val="0"/>
          <w:i/>
          <w:color w:val="auto"/>
          <w:lang w:val="en-US"/>
        </w:rPr>
        <w:t xml:space="preserve"> </w:t>
      </w:r>
      <w:r w:rsidR="00E5408B" w:rsidRPr="006E436D">
        <w:rPr>
          <w:b w:val="0"/>
          <w:color w:val="auto"/>
          <w:lang w:val="en-US"/>
        </w:rPr>
        <w:t xml:space="preserve">mutant was generated </w:t>
      </w:r>
      <w:r w:rsidR="008D5528" w:rsidRPr="006E436D">
        <w:rPr>
          <w:b w:val="0"/>
          <w:color w:val="auto"/>
          <w:lang w:val="en-US"/>
        </w:rPr>
        <w:t xml:space="preserve">by </w:t>
      </w:r>
      <w:r w:rsidR="00E5408B" w:rsidRPr="006E436D">
        <w:rPr>
          <w:b w:val="0"/>
          <w:color w:val="auto"/>
          <w:lang w:val="en-US"/>
        </w:rPr>
        <w:t xml:space="preserve">Dr </w:t>
      </w:r>
      <w:r w:rsidR="008D5528" w:rsidRPr="006E436D">
        <w:rPr>
          <w:b w:val="0"/>
          <w:color w:val="auto"/>
          <w:lang w:val="en-US"/>
        </w:rPr>
        <w:t xml:space="preserve">Friederike Bernsdorff. </w:t>
      </w:r>
      <w:proofErr w:type="gramStart"/>
      <w:r w:rsidR="008D5528" w:rsidRPr="006E436D">
        <w:rPr>
          <w:b w:val="0"/>
          <w:color w:val="auto"/>
          <w:lang w:val="en-US"/>
        </w:rPr>
        <w:t>Cp, conidiophore; HR, hypersensitive response; hy, hyphae; oo, oospore.</w:t>
      </w:r>
      <w:proofErr w:type="gramEnd"/>
    </w:p>
    <w:p w:rsidR="001B4CF7" w:rsidRDefault="00D87808" w:rsidP="001B4CF7">
      <w:pPr>
        <w:spacing w:after="0" w:line="360" w:lineRule="auto"/>
        <w:ind w:firstLine="708"/>
        <w:jc w:val="both"/>
        <w:rPr>
          <w:lang w:val="en-US"/>
        </w:rPr>
      </w:pPr>
      <w:r>
        <w:t>Closer inspection</w:t>
      </w:r>
      <w:r w:rsidR="001B4CF7" w:rsidRPr="00964E1C">
        <w:t xml:space="preserve"> of </w:t>
      </w:r>
      <w:r w:rsidR="001B4CF7">
        <w:t xml:space="preserve">individual representative </w:t>
      </w:r>
      <w:r w:rsidR="001B4CF7" w:rsidRPr="00964E1C">
        <w:t xml:space="preserve">TB-stained water-treated leaves infected with </w:t>
      </w:r>
      <w:r w:rsidR="001B4CF7">
        <w:rPr>
          <w:i/>
        </w:rPr>
        <w:t>Hpa</w:t>
      </w:r>
      <w:r w:rsidR="001B4CF7">
        <w:t xml:space="preserve"> Noco2</w:t>
      </w:r>
      <w:r w:rsidR="001B4CF7" w:rsidRPr="00964E1C">
        <w:t xml:space="preserve"> showed</w:t>
      </w:r>
      <w:r w:rsidR="001B4CF7">
        <w:t xml:space="preserve"> that</w:t>
      </w:r>
      <w:r w:rsidR="001B4CF7" w:rsidRPr="00964E1C">
        <w:t xml:space="preserve"> </w:t>
      </w:r>
      <w:r w:rsidR="001B4CF7">
        <w:t>in Col-0 the oomycete hyphae pervaded</w:t>
      </w:r>
      <w:r w:rsidR="001B4CF7" w:rsidRPr="00964E1C">
        <w:t xml:space="preserve"> the whole leaf accompanied by trailing necroses</w:t>
      </w:r>
      <w:r w:rsidR="001B4CF7">
        <w:t xml:space="preserve"> (TN)</w:t>
      </w:r>
      <w:r w:rsidR="001B4CF7" w:rsidRPr="00964E1C">
        <w:t xml:space="preserve"> and a moderate amount of conidio</w:t>
      </w:r>
      <w:r w:rsidR="001B4CF7">
        <w:t>phores and oospores (Figure 40 A</w:t>
      </w:r>
      <w:r w:rsidR="001B4CF7" w:rsidRPr="00964E1C">
        <w:t xml:space="preserve">, left side). </w:t>
      </w:r>
      <w:r w:rsidR="001B4CF7">
        <w:t xml:space="preserve">In stark contrast to this, </w:t>
      </w:r>
      <w:r w:rsidR="001B4CF7" w:rsidRPr="00964E1C">
        <w:t>Pip-treated Col-0 leaves did not</w:t>
      </w:r>
      <w:r w:rsidR="001B4CF7">
        <w:t xml:space="preserve"> carry hyphae or conidiophores and</w:t>
      </w:r>
      <w:r w:rsidR="001B4CF7" w:rsidRPr="00964E1C">
        <w:t xml:space="preserve"> only a few dead cells (HR) </w:t>
      </w:r>
      <w:r w:rsidR="001B4CF7">
        <w:t>were visible (Figure 40</w:t>
      </w:r>
      <w:r w:rsidR="001B4CF7" w:rsidRPr="00964E1C">
        <w:t xml:space="preserve"> A, right </w:t>
      </w:r>
      <w:r w:rsidR="001B4CF7" w:rsidRPr="00964E1C">
        <w:lastRenderedPageBreak/>
        <w:t xml:space="preserve">side). The Pip-biosynthesis mutant </w:t>
      </w:r>
      <w:r w:rsidR="001B4CF7" w:rsidRPr="00964E1C">
        <w:rPr>
          <w:i/>
        </w:rPr>
        <w:t>ald1</w:t>
      </w:r>
      <w:r w:rsidR="001B4CF7">
        <w:t xml:space="preserve"> </w:t>
      </w:r>
      <w:r w:rsidR="001B4CF7" w:rsidRPr="00964E1C">
        <w:t>showed more severe symptoms in TB-stained leaves with most of the leaf area covered in hyphae and conid</w:t>
      </w:r>
      <w:r w:rsidR="001B4CF7">
        <w:t>iophores (Figure 40 B, left side). Even a</w:t>
      </w:r>
      <w:r w:rsidR="001B4CF7" w:rsidRPr="00964E1C">
        <w:t>fter Pip-treatment</w:t>
      </w:r>
      <w:r w:rsidR="001B4CF7">
        <w:t>,</w:t>
      </w:r>
      <w:r w:rsidR="001B4CF7" w:rsidRPr="00964E1C">
        <w:t xml:space="preserve"> TB-stained leaves showed a large area covered by oomycete hyp</w:t>
      </w:r>
      <w:r w:rsidR="001B4CF7">
        <w:t>hae and conidiophores (Figure 40</w:t>
      </w:r>
      <w:r w:rsidR="001B4CF7" w:rsidRPr="00964E1C">
        <w:t xml:space="preserve"> B, right side). </w:t>
      </w:r>
      <w:r w:rsidR="001B4CF7">
        <w:t xml:space="preserve">Mutant lines for </w:t>
      </w:r>
      <w:r w:rsidR="001B4CF7" w:rsidRPr="001B4CF7">
        <w:rPr>
          <w:i/>
        </w:rPr>
        <w:t>fmo1, sid2, sid2 ald1, ics1 ics2, npr1</w:t>
      </w:r>
      <w:r w:rsidR="001B4CF7">
        <w:t xml:space="preserve">, and </w:t>
      </w:r>
      <w:r w:rsidR="001B4CF7" w:rsidRPr="001B4CF7">
        <w:rPr>
          <w:i/>
        </w:rPr>
        <w:t>eds5</w:t>
      </w:r>
      <w:r w:rsidR="001B4CF7">
        <w:t xml:space="preserve"> all exhibited enhanced susceptibility towards </w:t>
      </w:r>
      <w:r w:rsidR="001B4CF7" w:rsidRPr="001B4CF7">
        <w:rPr>
          <w:i/>
        </w:rPr>
        <w:t>Hpa</w:t>
      </w:r>
      <w:r w:rsidR="001B4CF7">
        <w:t xml:space="preserve"> Noco2 compared to Col-0, with leaf areas pervaded by hyphae and covered with conidiophores and sexual oospores (Figure 40). Except for </w:t>
      </w:r>
      <w:r w:rsidR="001B4CF7" w:rsidRPr="001B4CF7">
        <w:rPr>
          <w:i/>
        </w:rPr>
        <w:t xml:space="preserve">sid2 ald1 </w:t>
      </w:r>
      <w:r w:rsidR="001B4CF7">
        <w:t xml:space="preserve">and </w:t>
      </w:r>
      <w:r w:rsidR="001B4CF7" w:rsidRPr="001B4CF7">
        <w:rPr>
          <w:i/>
        </w:rPr>
        <w:t>npr1</w:t>
      </w:r>
      <w:r w:rsidR="001B4CF7">
        <w:t xml:space="preserve">, no significant reduction of disease symptoms by Pip-treatment was apparent. </w:t>
      </w:r>
    </w:p>
    <w:p w:rsidR="00B517AA" w:rsidRDefault="00B517AA" w:rsidP="00DE39FC">
      <w:pPr>
        <w:keepNext/>
        <w:spacing w:after="0"/>
      </w:pPr>
    </w:p>
    <w:p w:rsidR="00402826" w:rsidRDefault="009150D0" w:rsidP="00DE39FC">
      <w:pPr>
        <w:keepNext/>
        <w:spacing w:after="0"/>
      </w:pPr>
      <w:r>
        <w:rPr>
          <w:noProof/>
          <w:lang w:val="de-DE" w:eastAsia="de-DE"/>
        </w:rPr>
        <w:drawing>
          <wp:anchor distT="0" distB="0" distL="114300" distR="114300" simplePos="0" relativeHeight="251701248" behindDoc="0" locked="0" layoutInCell="1" allowOverlap="1" wp14:anchorId="340733A8" wp14:editId="1355730D">
            <wp:simplePos x="895350" y="6429375"/>
            <wp:positionH relativeFrom="page">
              <wp:align>center</wp:align>
            </wp:positionH>
            <wp:positionV relativeFrom="paragraph">
              <wp:posOffset>0</wp:posOffset>
            </wp:positionV>
            <wp:extent cx="4320000" cy="2520000"/>
            <wp:effectExtent l="19050" t="19050" r="23495" b="13970"/>
            <wp:wrapTopAndBottom/>
            <wp:docPr id="34" name="Grafik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p-IR vs Hpa Noco.png"/>
                    <pic:cNvPicPr/>
                  </pic:nvPicPr>
                  <pic:blipFill>
                    <a:blip r:embed="rId75" cstate="print">
                      <a:extLst>
                        <a:ext uri="{28A0092B-C50C-407E-A947-70E740481C1C}">
                          <a14:useLocalDpi xmlns:a14="http://schemas.microsoft.com/office/drawing/2010/main" val="0"/>
                        </a:ext>
                      </a:extLst>
                    </a:blip>
                    <a:stretch>
                      <a:fillRect/>
                    </a:stretch>
                  </pic:blipFill>
                  <pic:spPr>
                    <a:xfrm>
                      <a:off x="0" y="0"/>
                      <a:ext cx="4320000" cy="2520000"/>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p>
    <w:p w:rsidR="00E5408B" w:rsidRPr="006E436D" w:rsidRDefault="00402826" w:rsidP="00AC2A63">
      <w:pPr>
        <w:pStyle w:val="Beschriftung"/>
        <w:spacing w:after="0" w:line="360" w:lineRule="auto"/>
        <w:rPr>
          <w:color w:val="auto"/>
          <w:lang w:val="en-US"/>
        </w:rPr>
      </w:pPr>
      <w:bookmarkStart w:id="92" w:name="_Toc435621159"/>
      <w:proofErr w:type="gramStart"/>
      <w:r w:rsidRPr="006E436D">
        <w:rPr>
          <w:color w:val="auto"/>
        </w:rPr>
        <w:t xml:space="preserve">Figure </w:t>
      </w:r>
      <w:r w:rsidRPr="006E436D">
        <w:rPr>
          <w:color w:val="auto"/>
        </w:rPr>
        <w:fldChar w:fldCharType="begin"/>
      </w:r>
      <w:r w:rsidRPr="006E436D">
        <w:rPr>
          <w:color w:val="auto"/>
        </w:rPr>
        <w:instrText xml:space="preserve"> SEQ Figure \* ARABIC </w:instrText>
      </w:r>
      <w:r w:rsidRPr="006E436D">
        <w:rPr>
          <w:color w:val="auto"/>
        </w:rPr>
        <w:fldChar w:fldCharType="separate"/>
      </w:r>
      <w:r w:rsidR="00CB17FE">
        <w:rPr>
          <w:noProof/>
          <w:color w:val="auto"/>
        </w:rPr>
        <w:t>41</w:t>
      </w:r>
      <w:r w:rsidRPr="006E436D">
        <w:rPr>
          <w:color w:val="auto"/>
        </w:rPr>
        <w:fldChar w:fldCharType="end"/>
      </w:r>
      <w:r w:rsidR="0096402E">
        <w:rPr>
          <w:color w:val="auto"/>
        </w:rPr>
        <w:t>.</w:t>
      </w:r>
      <w:proofErr w:type="gramEnd"/>
      <w:r w:rsidRPr="006E436D">
        <w:rPr>
          <w:color w:val="auto"/>
        </w:rPr>
        <w:t xml:space="preserve"> </w:t>
      </w:r>
      <w:r w:rsidR="003108D6">
        <w:rPr>
          <w:color w:val="auto"/>
          <w:lang w:val="en-US"/>
        </w:rPr>
        <w:t>Pip-i</w:t>
      </w:r>
      <w:r w:rsidR="00AC2A63">
        <w:rPr>
          <w:color w:val="auto"/>
          <w:lang w:val="en-US"/>
        </w:rPr>
        <w:t>nduced</w:t>
      </w:r>
      <w:r w:rsidR="00E5408B" w:rsidRPr="006E436D">
        <w:rPr>
          <w:color w:val="auto"/>
          <w:lang w:val="en-US"/>
        </w:rPr>
        <w:t xml:space="preserve"> </w:t>
      </w:r>
      <w:proofErr w:type="gramStart"/>
      <w:r w:rsidR="00E5408B" w:rsidRPr="006E436D">
        <w:rPr>
          <w:color w:val="auto"/>
          <w:lang w:val="en-US"/>
        </w:rPr>
        <w:t xml:space="preserve">resistance against the virulent </w:t>
      </w:r>
      <w:r w:rsidR="00AC2A63">
        <w:rPr>
          <w:i/>
          <w:color w:val="auto"/>
          <w:lang w:val="en-US"/>
        </w:rPr>
        <w:t>Hpa</w:t>
      </w:r>
      <w:r w:rsidR="00E5408B" w:rsidRPr="006E436D">
        <w:rPr>
          <w:color w:val="auto"/>
          <w:lang w:val="en-US"/>
        </w:rPr>
        <w:t xml:space="preserve"> isolate</w:t>
      </w:r>
      <w:proofErr w:type="gramEnd"/>
      <w:r w:rsidR="00E5408B" w:rsidRPr="006E436D">
        <w:rPr>
          <w:color w:val="auto"/>
          <w:lang w:val="en-US"/>
        </w:rPr>
        <w:t xml:space="preserve"> Noco2.</w:t>
      </w:r>
      <w:bookmarkEnd w:id="92"/>
    </w:p>
    <w:p w:rsidR="00E5408B" w:rsidRPr="006E436D" w:rsidRDefault="00AC2A63" w:rsidP="000B7C64">
      <w:pPr>
        <w:pStyle w:val="Beschriftung"/>
        <w:jc w:val="both"/>
        <w:rPr>
          <w:b w:val="0"/>
          <w:color w:val="auto"/>
          <w:lang w:val="en-US"/>
        </w:rPr>
      </w:pPr>
      <w:r>
        <w:rPr>
          <w:b w:val="0"/>
          <w:color w:val="auto"/>
          <w:lang w:val="en-US"/>
        </w:rPr>
        <w:t>Pip</w:t>
      </w:r>
      <w:r w:rsidR="00420F6E">
        <w:rPr>
          <w:b w:val="0"/>
          <w:color w:val="auto"/>
          <w:lang w:val="en-US"/>
        </w:rPr>
        <w:t xml:space="preserve"> (10 ml, 1 mM</w:t>
      </w:r>
      <w:r w:rsidR="00F919B4" w:rsidRPr="006E436D">
        <w:rPr>
          <w:b w:val="0"/>
          <w:color w:val="auto"/>
          <w:lang w:val="en-US"/>
        </w:rPr>
        <w:t>)</w:t>
      </w:r>
      <w:r w:rsidR="00E5408B" w:rsidRPr="006E436D">
        <w:rPr>
          <w:b w:val="0"/>
          <w:color w:val="auto"/>
          <w:lang w:val="en-US"/>
        </w:rPr>
        <w:t xml:space="preserve"> was applied to 2 week old plants via soil drench 1 day prior to spray-infecting the plants with a solution of 5</w:t>
      </w:r>
      <w:r>
        <w:rPr>
          <w:b w:val="0"/>
          <w:color w:val="auto"/>
          <w:lang w:val="en-US"/>
        </w:rPr>
        <w:t xml:space="preserve"> </w:t>
      </w:r>
      <w:r w:rsidR="00E5408B" w:rsidRPr="006E436D">
        <w:rPr>
          <w:b w:val="0"/>
          <w:color w:val="auto"/>
          <w:lang w:val="en-US"/>
        </w:rPr>
        <w:t>x</w:t>
      </w:r>
      <w:r>
        <w:rPr>
          <w:b w:val="0"/>
          <w:color w:val="auto"/>
          <w:lang w:val="en-US"/>
        </w:rPr>
        <w:t xml:space="preserve"> </w:t>
      </w:r>
      <w:r w:rsidR="00E5408B" w:rsidRPr="006E436D">
        <w:rPr>
          <w:b w:val="0"/>
          <w:color w:val="auto"/>
          <w:lang w:val="en-US"/>
        </w:rPr>
        <w:t>10</w:t>
      </w:r>
      <w:r w:rsidR="00E5408B" w:rsidRPr="006E436D">
        <w:rPr>
          <w:b w:val="0"/>
          <w:color w:val="auto"/>
          <w:vertAlign w:val="superscript"/>
          <w:lang w:val="en-US"/>
        </w:rPr>
        <w:t xml:space="preserve">4 </w:t>
      </w:r>
      <w:r w:rsidR="00E5408B" w:rsidRPr="006E436D">
        <w:rPr>
          <w:b w:val="0"/>
          <w:color w:val="auto"/>
          <w:lang w:val="en-US"/>
        </w:rPr>
        <w:t>spores ml</w:t>
      </w:r>
      <w:r w:rsidR="00E5408B" w:rsidRPr="006E436D">
        <w:rPr>
          <w:b w:val="0"/>
          <w:color w:val="auto"/>
          <w:vertAlign w:val="superscript"/>
          <w:lang w:val="en-US"/>
        </w:rPr>
        <w:t>-1</w:t>
      </w:r>
      <w:r w:rsidR="00E5408B" w:rsidRPr="006E436D">
        <w:rPr>
          <w:b w:val="0"/>
          <w:color w:val="auto"/>
          <w:lang w:val="en-US"/>
        </w:rPr>
        <w:t xml:space="preserve">. Plants were kept in high air humidity for 7 days and growth of the oomycete was determined by counting spores. </w:t>
      </w:r>
      <w:r w:rsidR="00E5408B" w:rsidRPr="006E436D">
        <w:rPr>
          <w:b w:val="0"/>
          <w:i/>
          <w:color w:val="auto"/>
          <w:lang w:val="en-US"/>
        </w:rPr>
        <w:t>Arabidopsis</w:t>
      </w:r>
      <w:r w:rsidR="00E5408B" w:rsidRPr="006E436D">
        <w:rPr>
          <w:b w:val="0"/>
          <w:color w:val="auto"/>
          <w:lang w:val="en-US"/>
        </w:rPr>
        <w:t xml:space="preserve"> mutant lines </w:t>
      </w:r>
      <w:r w:rsidR="00E5408B" w:rsidRPr="006E436D">
        <w:rPr>
          <w:b w:val="0"/>
          <w:i/>
          <w:color w:val="auto"/>
          <w:lang w:val="en-US"/>
        </w:rPr>
        <w:t>npr1, eds5</w:t>
      </w:r>
      <w:r w:rsidR="00E5408B" w:rsidRPr="006E436D">
        <w:rPr>
          <w:b w:val="0"/>
          <w:color w:val="auto"/>
          <w:lang w:val="en-US"/>
        </w:rPr>
        <w:t xml:space="preserve">, and </w:t>
      </w:r>
      <w:r w:rsidR="00E5408B" w:rsidRPr="006E436D">
        <w:rPr>
          <w:b w:val="0"/>
          <w:i/>
          <w:color w:val="auto"/>
          <w:lang w:val="en-US"/>
        </w:rPr>
        <w:t>ics1</w:t>
      </w:r>
      <w:r w:rsidR="00F919B4" w:rsidRPr="006E436D">
        <w:rPr>
          <w:b w:val="0"/>
          <w:i/>
          <w:color w:val="auto"/>
          <w:lang w:val="en-US"/>
        </w:rPr>
        <w:t xml:space="preserve"> </w:t>
      </w:r>
      <w:r w:rsidR="00E5408B" w:rsidRPr="006E436D">
        <w:rPr>
          <w:b w:val="0"/>
          <w:i/>
          <w:color w:val="auto"/>
          <w:lang w:val="en-US"/>
        </w:rPr>
        <w:t>ics2</w:t>
      </w:r>
      <w:r w:rsidR="00E5408B" w:rsidRPr="006E436D">
        <w:rPr>
          <w:b w:val="0"/>
          <w:color w:val="auto"/>
          <w:lang w:val="en-US"/>
        </w:rPr>
        <w:t xml:space="preserve"> were used once in this kind of experiment, all other lines were used in at least three independent biological experiments with similar results. The double mutant </w:t>
      </w:r>
      <w:r w:rsidR="00E5408B" w:rsidRPr="006E436D">
        <w:rPr>
          <w:b w:val="0"/>
          <w:i/>
          <w:color w:val="auto"/>
          <w:lang w:val="en-US"/>
        </w:rPr>
        <w:t>sid2 ald1</w:t>
      </w:r>
      <w:r w:rsidR="00E5408B" w:rsidRPr="006E436D">
        <w:rPr>
          <w:b w:val="0"/>
          <w:color w:val="auto"/>
          <w:lang w:val="en-US"/>
        </w:rPr>
        <w:t xml:space="preserve"> was generated by Dr Friederike Bernsdorff.</w:t>
      </w:r>
      <w:r w:rsidR="00587A8C" w:rsidRPr="006E436D">
        <w:rPr>
          <w:b w:val="0"/>
          <w:color w:val="auto"/>
          <w:lang w:val="en-US"/>
        </w:rPr>
        <w:t xml:space="preserve"> Statistical significant differences between water- and Pip-treated plants (asterisks above the bars), as well as Col-0 wild type and mutant plants (letters above the bars), were assessed using a two-tailed </w:t>
      </w:r>
      <w:r w:rsidR="00587A8C" w:rsidRPr="006E436D">
        <w:rPr>
          <w:b w:val="0"/>
          <w:i/>
          <w:color w:val="auto"/>
          <w:lang w:val="en-US"/>
        </w:rPr>
        <w:t>t</w:t>
      </w:r>
      <w:r w:rsidR="00587A8C" w:rsidRPr="006E436D">
        <w:rPr>
          <w:b w:val="0"/>
          <w:color w:val="auto"/>
          <w:lang w:val="en-US"/>
        </w:rPr>
        <w:t xml:space="preserve"> test (*a, P&lt; 0.05; **b, P&lt; 0.01; ***c, P&lt;0.001). </w:t>
      </w:r>
      <w:proofErr w:type="gramStart"/>
      <w:r w:rsidR="00587A8C" w:rsidRPr="006E436D">
        <w:rPr>
          <w:b w:val="0"/>
          <w:color w:val="auto"/>
          <w:lang w:val="en-US"/>
        </w:rPr>
        <w:t>FW, fresh weight.</w:t>
      </w:r>
      <w:proofErr w:type="gramEnd"/>
    </w:p>
    <w:p w:rsidR="00A67861" w:rsidRPr="004F263E" w:rsidRDefault="001A54A2" w:rsidP="00A67861">
      <w:pPr>
        <w:spacing w:after="0" w:line="360" w:lineRule="auto"/>
        <w:ind w:firstLine="708"/>
        <w:jc w:val="both"/>
      </w:pPr>
      <w:r>
        <w:rPr>
          <w:lang w:val="en-US"/>
        </w:rPr>
        <w:t>As</w:t>
      </w:r>
      <w:r w:rsidR="00A67861">
        <w:t xml:space="preserve"> microscopy analysis of TB-stained leaves is a quite limited and qualitative method to assess Pip-induced reduction of </w:t>
      </w:r>
      <w:r w:rsidR="00A67861">
        <w:rPr>
          <w:i/>
        </w:rPr>
        <w:t>Hpa</w:t>
      </w:r>
      <w:r w:rsidR="00A67861">
        <w:t>-induced disease, the quantitative method of counting conidiospores 7 days after infection was employed. In water-treated Col-0 plants, a conidiospore number of approximately 170 x 10</w:t>
      </w:r>
      <w:r w:rsidR="00A67861" w:rsidRPr="00D25DC7">
        <w:rPr>
          <w:vertAlign w:val="superscript"/>
        </w:rPr>
        <w:t xml:space="preserve">4 </w:t>
      </w:r>
      <w:r w:rsidR="00A67861">
        <w:t>spores g</w:t>
      </w:r>
      <w:r w:rsidR="00A67861" w:rsidRPr="00D25DC7">
        <w:rPr>
          <w:vertAlign w:val="superscript"/>
        </w:rPr>
        <w:t>-1</w:t>
      </w:r>
      <w:r w:rsidR="00A67861">
        <w:t xml:space="preserve"> FW were counted (Figure 41). Pretreatment of plants with Pip significantly reduced spore numbers to less than 50 x 10</w:t>
      </w:r>
      <w:r w:rsidR="00A67861" w:rsidRPr="00D25DC7">
        <w:rPr>
          <w:vertAlign w:val="superscript"/>
        </w:rPr>
        <w:t>4</w:t>
      </w:r>
      <w:r w:rsidR="00A67861">
        <w:t xml:space="preserve"> spores g</w:t>
      </w:r>
      <w:r w:rsidR="00A67861" w:rsidRPr="00D25DC7">
        <w:rPr>
          <w:vertAlign w:val="superscript"/>
        </w:rPr>
        <w:t>-1</w:t>
      </w:r>
      <w:r w:rsidR="00A67861">
        <w:t xml:space="preserve"> FW, demonstrating the effectiveness of Pip to induce resistance against the oomycete </w:t>
      </w:r>
      <w:r w:rsidR="00A67861">
        <w:rPr>
          <w:i/>
        </w:rPr>
        <w:t>Hpa</w:t>
      </w:r>
      <w:r w:rsidR="00A67861">
        <w:t xml:space="preserve"> in Col-0.</w:t>
      </w:r>
      <w:r w:rsidR="00A67861" w:rsidRPr="00FD4D51">
        <w:t xml:space="preserve"> </w:t>
      </w:r>
      <w:r w:rsidR="00A67861" w:rsidRPr="00014252">
        <w:t xml:space="preserve">The Pip-biosynthesis mutant </w:t>
      </w:r>
      <w:r w:rsidR="00A67861" w:rsidRPr="00014252">
        <w:rPr>
          <w:i/>
        </w:rPr>
        <w:t>ald1</w:t>
      </w:r>
      <w:r w:rsidR="00A67861" w:rsidRPr="00014252">
        <w:t xml:space="preserve"> hosted </w:t>
      </w:r>
      <w:r w:rsidR="00A67861">
        <w:t>more than 250 x 10</w:t>
      </w:r>
      <w:r w:rsidR="00A67861" w:rsidRPr="0001108A">
        <w:rPr>
          <w:vertAlign w:val="superscript"/>
        </w:rPr>
        <w:t>4</w:t>
      </w:r>
      <w:r w:rsidR="00A67861">
        <w:t xml:space="preserve"> spores g</w:t>
      </w:r>
      <w:r w:rsidR="00A67861" w:rsidRPr="0001108A">
        <w:rPr>
          <w:vertAlign w:val="superscript"/>
        </w:rPr>
        <w:t>-1</w:t>
      </w:r>
      <w:r w:rsidR="00A67861">
        <w:t xml:space="preserve"> FW</w:t>
      </w:r>
      <w:r w:rsidR="00A67861" w:rsidRPr="00014252">
        <w:t xml:space="preserve"> on </w:t>
      </w:r>
      <w:r w:rsidR="00A67861">
        <w:t xml:space="preserve">water-treated </w:t>
      </w:r>
      <w:r w:rsidR="00A67861" w:rsidRPr="00014252">
        <w:t>leaves,</w:t>
      </w:r>
      <w:r w:rsidR="00A67861">
        <w:t xml:space="preserve"> showing enhanced susceptibility to </w:t>
      </w:r>
      <w:r w:rsidR="00A67861">
        <w:rPr>
          <w:i/>
        </w:rPr>
        <w:t>Hpa</w:t>
      </w:r>
      <w:r w:rsidR="00A67861">
        <w:t xml:space="preserve"> Noco2 compared to Col-0 (Figure 41</w:t>
      </w:r>
      <w:r w:rsidR="00A67861" w:rsidRPr="00014252">
        <w:t>)</w:t>
      </w:r>
      <w:r w:rsidR="00A67861">
        <w:t>.</w:t>
      </w:r>
      <w:r w:rsidR="00A67861" w:rsidRPr="00014252">
        <w:t xml:space="preserve"> </w:t>
      </w:r>
      <w:r w:rsidR="00A67861">
        <w:t>Pip-treatment prior to infection partly reduced the conidiospore number to approximately 100 x 10</w:t>
      </w:r>
      <w:r w:rsidR="00A67861" w:rsidRPr="0001108A">
        <w:rPr>
          <w:vertAlign w:val="superscript"/>
        </w:rPr>
        <w:t>4</w:t>
      </w:r>
      <w:r w:rsidR="00A67861">
        <w:t xml:space="preserve"> spores g</w:t>
      </w:r>
      <w:r w:rsidR="00A67861" w:rsidRPr="0001108A">
        <w:rPr>
          <w:vertAlign w:val="superscript"/>
        </w:rPr>
        <w:t>-1</w:t>
      </w:r>
      <w:r w:rsidR="00A67861">
        <w:t xml:space="preserve"> FW, showing that resistance against </w:t>
      </w:r>
      <w:r w:rsidR="00A67861">
        <w:rPr>
          <w:i/>
        </w:rPr>
        <w:t>Hpa</w:t>
      </w:r>
      <w:r w:rsidR="00A67861">
        <w:t xml:space="preserve"> can be restored to some extent by exogenous application of Pip in </w:t>
      </w:r>
      <w:r w:rsidR="00A67861" w:rsidRPr="0001108A">
        <w:rPr>
          <w:i/>
        </w:rPr>
        <w:t>ald1</w:t>
      </w:r>
      <w:r w:rsidR="00A67861">
        <w:t xml:space="preserve">. </w:t>
      </w:r>
      <w:r w:rsidR="00A67861">
        <w:lastRenderedPageBreak/>
        <w:t xml:space="preserve">Surprisingly, in </w:t>
      </w:r>
      <w:r w:rsidR="00A67861" w:rsidRPr="00DE39FC">
        <w:rPr>
          <w:i/>
        </w:rPr>
        <w:t>ics1 ics2</w:t>
      </w:r>
      <w:r w:rsidR="00A67861">
        <w:t xml:space="preserve"> exogenous Pip-application reduced conidiospore numbers </w:t>
      </w:r>
      <w:r w:rsidR="00D87808">
        <w:t xml:space="preserve">also </w:t>
      </w:r>
      <w:r w:rsidR="00A67861">
        <w:t>by half from over 200 x 10</w:t>
      </w:r>
      <w:r w:rsidR="00A67861" w:rsidRPr="00DE39FC">
        <w:rPr>
          <w:vertAlign w:val="superscript"/>
        </w:rPr>
        <w:t>4</w:t>
      </w:r>
      <w:r w:rsidR="00A67861">
        <w:t xml:space="preserve"> spores g</w:t>
      </w:r>
      <w:r w:rsidR="00A67861" w:rsidRPr="00DE39FC">
        <w:rPr>
          <w:vertAlign w:val="superscript"/>
        </w:rPr>
        <w:t>-1</w:t>
      </w:r>
      <w:r w:rsidR="00A67861">
        <w:t xml:space="preserve"> FW in water-treated to 90 x 10</w:t>
      </w:r>
      <w:r w:rsidR="00A67861" w:rsidRPr="00DE39FC">
        <w:rPr>
          <w:vertAlign w:val="superscript"/>
        </w:rPr>
        <w:t>4</w:t>
      </w:r>
      <w:r w:rsidR="00A67861">
        <w:t xml:space="preserve"> spores g</w:t>
      </w:r>
      <w:r w:rsidR="00A67861" w:rsidRPr="00DE39FC">
        <w:rPr>
          <w:vertAlign w:val="superscript"/>
        </w:rPr>
        <w:t>-1</w:t>
      </w:r>
      <w:r w:rsidR="00A67861">
        <w:t xml:space="preserve"> FW in Pip-treated plants (Figure 41).</w:t>
      </w:r>
      <w:r w:rsidR="008F782D">
        <w:t xml:space="preserve"> The SA-signalling mutant </w:t>
      </w:r>
      <w:r w:rsidR="008F782D" w:rsidRPr="008F782D">
        <w:rPr>
          <w:i/>
        </w:rPr>
        <w:t>npr1</w:t>
      </w:r>
      <w:r w:rsidR="008F782D">
        <w:t xml:space="preserve"> hosted approximately the same amount of spores as Col-0 on water-treated leaves, but Pip-treatment induced only a very slight reduction of disease symptoms (Figure 41).</w:t>
      </w:r>
      <w:r w:rsidR="00A67861">
        <w:t xml:space="preserve"> In </w:t>
      </w:r>
      <w:r w:rsidR="008F782D">
        <w:rPr>
          <w:i/>
        </w:rPr>
        <w:t>fmo1, sid2, sid2 ald1,</w:t>
      </w:r>
      <w:r w:rsidR="00A67861">
        <w:t xml:space="preserve"> and </w:t>
      </w:r>
      <w:r w:rsidR="00A67861" w:rsidRPr="00A67861">
        <w:rPr>
          <w:i/>
        </w:rPr>
        <w:t>eds5</w:t>
      </w:r>
      <w:r w:rsidR="00A67861">
        <w:t xml:space="preserve"> the increased susceptibility towards </w:t>
      </w:r>
      <w:r w:rsidR="00A67861" w:rsidRPr="00A67861">
        <w:rPr>
          <w:i/>
        </w:rPr>
        <w:t>Hpa</w:t>
      </w:r>
      <w:r w:rsidR="00A67861">
        <w:t xml:space="preserve"> Noco2 became apparent with very high spore numbers quantified in water-treated leaves (Figure 41). Pip-treatment prior to infection reduced symptoms only slightly or not at all (Figure 41). </w:t>
      </w:r>
    </w:p>
    <w:p w:rsidR="004F263E" w:rsidRPr="000D2EF7" w:rsidRDefault="00B149B5" w:rsidP="00A67861">
      <w:pPr>
        <w:spacing w:line="360" w:lineRule="auto"/>
        <w:ind w:firstLine="708"/>
        <w:jc w:val="both"/>
      </w:pPr>
      <w:r>
        <w:t>Results from this set of experi</w:t>
      </w:r>
      <w:r w:rsidR="00E00A8A">
        <w:t>ments suggest that resistance against</w:t>
      </w:r>
      <w:r>
        <w:t xml:space="preserve"> the virulent oomycete </w:t>
      </w:r>
      <w:r w:rsidR="00E00A8A">
        <w:rPr>
          <w:i/>
        </w:rPr>
        <w:t>Hpa</w:t>
      </w:r>
      <w:r>
        <w:t xml:space="preserve"> </w:t>
      </w:r>
      <w:r w:rsidR="00E00A8A">
        <w:t xml:space="preserve">Noco2 </w:t>
      </w:r>
      <w:r>
        <w:t xml:space="preserve">depends on the </w:t>
      </w:r>
      <w:r w:rsidR="00975763">
        <w:t>combined results of SA- and Pip-mediated signalling in plants.</w:t>
      </w:r>
      <w:r>
        <w:t xml:space="preserve"> </w:t>
      </w:r>
      <w:r w:rsidR="00975763">
        <w:t>Analysis</w:t>
      </w:r>
      <w:r w:rsidR="00E00A8A">
        <w:t xml:space="preserve"> of basal resistance</w:t>
      </w:r>
      <w:r w:rsidR="00975763">
        <w:t>, either qualitatively by microscopy or quantitatively by count</w:t>
      </w:r>
      <w:r w:rsidR="00E00A8A">
        <w:t xml:space="preserve">ing spores, </w:t>
      </w:r>
      <w:r w:rsidR="00975763">
        <w:t xml:space="preserve">showed that plant lines impaired in </w:t>
      </w:r>
      <w:r w:rsidR="00E00A8A">
        <w:t>Pip-</w:t>
      </w:r>
      <w:r w:rsidR="00975763">
        <w:t>biosynthesis (</w:t>
      </w:r>
      <w:r w:rsidR="00975763" w:rsidRPr="00975763">
        <w:rPr>
          <w:i/>
        </w:rPr>
        <w:t>ald1</w:t>
      </w:r>
      <w:r w:rsidR="00975763">
        <w:t xml:space="preserve">) and </w:t>
      </w:r>
      <w:r w:rsidR="00E00A8A">
        <w:t>-</w:t>
      </w:r>
      <w:r w:rsidR="00975763">
        <w:t>signalling (</w:t>
      </w:r>
      <w:r w:rsidR="00975763" w:rsidRPr="00975763">
        <w:rPr>
          <w:i/>
        </w:rPr>
        <w:t>fmo1</w:t>
      </w:r>
      <w:r w:rsidR="00975763">
        <w:t xml:space="preserve">) were much more susceptible to </w:t>
      </w:r>
      <w:r w:rsidR="00E00A8A">
        <w:rPr>
          <w:i/>
        </w:rPr>
        <w:t>Hpa</w:t>
      </w:r>
      <w:r w:rsidR="00975763">
        <w:t xml:space="preserve"> than Col-0. The same was true for lines impaired in SA biosynthesis (</w:t>
      </w:r>
      <w:r w:rsidR="00975763" w:rsidRPr="00975763">
        <w:rPr>
          <w:i/>
        </w:rPr>
        <w:t>sid2, eds5, ics1 ics2</w:t>
      </w:r>
      <w:r w:rsidR="00975763">
        <w:t>) and signalling (</w:t>
      </w:r>
      <w:r w:rsidR="00975763" w:rsidRPr="00975763">
        <w:rPr>
          <w:i/>
        </w:rPr>
        <w:t>npr1</w:t>
      </w:r>
      <w:r w:rsidR="00975763">
        <w:t xml:space="preserve">), but no additive effects of Pip- and SA-deficiency was observed, as the </w:t>
      </w:r>
      <w:r w:rsidR="00975763" w:rsidRPr="00975763">
        <w:rPr>
          <w:i/>
        </w:rPr>
        <w:t>sid2 ald1</w:t>
      </w:r>
      <w:r w:rsidR="00975763">
        <w:t xml:space="preserve"> double mutant exhibited a disease pattern similar to the parental lines. </w:t>
      </w:r>
      <w:r w:rsidR="00511026">
        <w:t xml:space="preserve">As observed for interactions with </w:t>
      </w:r>
      <w:r w:rsidR="00E00A8A">
        <w:rPr>
          <w:i/>
        </w:rPr>
        <w:t>Psm</w:t>
      </w:r>
      <w:r w:rsidR="00511026">
        <w:t xml:space="preserve"> and </w:t>
      </w:r>
      <w:r w:rsidR="00511026" w:rsidRPr="00511026">
        <w:rPr>
          <w:i/>
        </w:rPr>
        <w:t>B.</w:t>
      </w:r>
      <w:r w:rsidR="00E00A8A">
        <w:rPr>
          <w:i/>
        </w:rPr>
        <w:t xml:space="preserve"> </w:t>
      </w:r>
      <w:r w:rsidR="00511026" w:rsidRPr="00511026">
        <w:rPr>
          <w:i/>
        </w:rPr>
        <w:t>cinerea</w:t>
      </w:r>
      <w:r w:rsidR="00511026">
        <w:t>, exogenous</w:t>
      </w:r>
      <w:r w:rsidR="0076266D">
        <w:t>ly</w:t>
      </w:r>
      <w:r w:rsidR="00511026">
        <w:t xml:space="preserve"> applied </w:t>
      </w:r>
      <w:r w:rsidR="00E00A8A">
        <w:t>Pip</w:t>
      </w:r>
      <w:r w:rsidR="00511026">
        <w:t xml:space="preserve"> induced resistance against </w:t>
      </w:r>
      <w:r w:rsidR="00E00A8A">
        <w:rPr>
          <w:i/>
        </w:rPr>
        <w:t>Hpa</w:t>
      </w:r>
      <w:r w:rsidR="00511026">
        <w:t xml:space="preserve"> in Col-0 and partly in </w:t>
      </w:r>
      <w:r w:rsidR="00511026" w:rsidRPr="00511026">
        <w:rPr>
          <w:i/>
        </w:rPr>
        <w:t>ald1</w:t>
      </w:r>
      <w:r w:rsidR="00511026">
        <w:t xml:space="preserve">, but not in </w:t>
      </w:r>
      <w:r w:rsidR="00511026" w:rsidRPr="00511026">
        <w:rPr>
          <w:i/>
        </w:rPr>
        <w:t>fmo1</w:t>
      </w:r>
      <w:r w:rsidR="00511026">
        <w:t xml:space="preserve">, which shows again that processing of the Pip-mediated signal by </w:t>
      </w:r>
      <w:r w:rsidR="00511026" w:rsidRPr="00511026">
        <w:rPr>
          <w:i/>
        </w:rPr>
        <w:t>FMO1</w:t>
      </w:r>
      <w:r w:rsidR="00511026">
        <w:t xml:space="preserve"> is </w:t>
      </w:r>
      <w:r w:rsidR="0050775E">
        <w:t>crucial</w:t>
      </w:r>
      <w:r w:rsidR="00511026">
        <w:t xml:space="preserve"> for induction of defence responses. Priming of </w:t>
      </w:r>
      <w:r w:rsidR="00E00A8A">
        <w:t>SA-</w:t>
      </w:r>
      <w:r w:rsidR="00511026">
        <w:t xml:space="preserve">accumulation </w:t>
      </w:r>
      <w:r w:rsidR="0076565A">
        <w:t>appears to be an</w:t>
      </w:r>
      <w:r w:rsidR="00511026">
        <w:t xml:space="preserve"> essential factor of Pip-induced resistance against this oomycete, which explains why Pip</w:t>
      </w:r>
      <w:r w:rsidR="0076266D">
        <w:t>-treatment</w:t>
      </w:r>
      <w:r w:rsidR="00511026">
        <w:t xml:space="preserve"> did not induce resistance in </w:t>
      </w:r>
      <w:r w:rsidR="00511026" w:rsidRPr="0076565A">
        <w:rPr>
          <w:i/>
        </w:rPr>
        <w:t>sid2</w:t>
      </w:r>
      <w:r w:rsidR="00511026">
        <w:t xml:space="preserve"> and </w:t>
      </w:r>
      <w:r w:rsidR="00511026" w:rsidRPr="0076565A">
        <w:rPr>
          <w:i/>
        </w:rPr>
        <w:t>eds5</w:t>
      </w:r>
      <w:r w:rsidR="00511026">
        <w:t xml:space="preserve"> plants. In </w:t>
      </w:r>
      <w:r w:rsidR="00511026" w:rsidRPr="0076565A">
        <w:rPr>
          <w:i/>
        </w:rPr>
        <w:t>npr1</w:t>
      </w:r>
      <w:r w:rsidR="00511026">
        <w:t xml:space="preserve">, </w:t>
      </w:r>
      <w:r w:rsidR="00E00A8A">
        <w:t xml:space="preserve">SA-accumulation </w:t>
      </w:r>
      <w:r w:rsidR="0076565A">
        <w:t>is not disturbed, which se</w:t>
      </w:r>
      <w:r w:rsidR="0076266D">
        <w:t>emed</w:t>
      </w:r>
      <w:r w:rsidR="0076565A">
        <w:t xml:space="preserve"> to enable a partial defence induction by </w:t>
      </w:r>
      <w:r w:rsidR="00E00A8A">
        <w:t>Pip</w:t>
      </w:r>
      <w:r w:rsidR="0076565A">
        <w:t>.</w:t>
      </w:r>
      <w:r w:rsidR="00511026">
        <w:t xml:space="preserve"> </w:t>
      </w:r>
      <w:r w:rsidR="0078181F">
        <w:t xml:space="preserve">Conflicting results were obtained for </w:t>
      </w:r>
      <w:r w:rsidR="0078181F" w:rsidRPr="0078181F">
        <w:rPr>
          <w:i/>
        </w:rPr>
        <w:t>ics1 ics2</w:t>
      </w:r>
      <w:r w:rsidR="0078181F">
        <w:t>, which did not exhibit a reduction of disease sy</w:t>
      </w:r>
      <w:r w:rsidR="00E00A8A">
        <w:t>mptoms by treatment with Pip via microscopic</w:t>
      </w:r>
      <w:r w:rsidR="0078181F">
        <w:t xml:space="preserve"> analysis, but showed a partial Pip-induced defence response after counting of spores. It </w:t>
      </w:r>
      <w:r w:rsidR="00E00A8A">
        <w:t>could be assumed</w:t>
      </w:r>
      <w:r w:rsidR="0078181F">
        <w:t xml:space="preserve"> for this plant line that exogenous </w:t>
      </w:r>
      <w:r w:rsidR="00E00A8A">
        <w:t>Pip</w:t>
      </w:r>
      <w:r w:rsidR="0076266D">
        <w:t>-application</w:t>
      </w:r>
      <w:r w:rsidR="0078181F">
        <w:t xml:space="preserve"> would not be able to induce resistance comparable to </w:t>
      </w:r>
      <w:r w:rsidR="0078181F" w:rsidRPr="0078181F">
        <w:rPr>
          <w:i/>
        </w:rPr>
        <w:t>sid2</w:t>
      </w:r>
      <w:r w:rsidR="0078181F">
        <w:t xml:space="preserve">, because </w:t>
      </w:r>
      <w:r w:rsidR="0078181F" w:rsidRPr="0078181F">
        <w:rPr>
          <w:i/>
        </w:rPr>
        <w:t>ics1 ics2</w:t>
      </w:r>
      <w:r w:rsidR="0078181F">
        <w:t xml:space="preserve"> is not only impaired in</w:t>
      </w:r>
      <w:r w:rsidR="00E00A8A">
        <w:t xml:space="preserve"> the</w:t>
      </w:r>
      <w:r w:rsidR="0078181F">
        <w:t xml:space="preserve"> ex</w:t>
      </w:r>
      <w:r w:rsidR="00E00A8A">
        <w:t xml:space="preserve">pression of the pathogen-inducible gene, </w:t>
      </w:r>
      <w:r w:rsidR="00E00A8A">
        <w:rPr>
          <w:i/>
        </w:rPr>
        <w:t>ICS1</w:t>
      </w:r>
      <w:r w:rsidR="00E00A8A">
        <w:t xml:space="preserve">, </w:t>
      </w:r>
      <w:r w:rsidR="0078181F">
        <w:t xml:space="preserve">but also the second </w:t>
      </w:r>
      <w:r w:rsidR="0078181F" w:rsidRPr="0078181F">
        <w:rPr>
          <w:i/>
        </w:rPr>
        <w:t>Arabidopsis</w:t>
      </w:r>
      <w:r w:rsidR="0078181F">
        <w:t xml:space="preserve"> </w:t>
      </w:r>
      <w:r w:rsidR="00E00A8A">
        <w:rPr>
          <w:i/>
        </w:rPr>
        <w:t>ICS2</w:t>
      </w:r>
      <w:r w:rsidR="0078181F">
        <w:t xml:space="preserve"> gene. As this mutant line was used only one time so far, future experiments will have to be conducted to </w:t>
      </w:r>
      <w:r w:rsidR="00E00A8A">
        <w:t>allow for more solid conclusions</w:t>
      </w:r>
      <w:r w:rsidR="0078181F">
        <w:t>.</w:t>
      </w:r>
    </w:p>
    <w:p w:rsidR="00B517AA" w:rsidRDefault="00B517AA" w:rsidP="009D006D">
      <w:pPr>
        <w:pStyle w:val="berschrift2"/>
        <w:spacing w:after="240"/>
        <w:jc w:val="both"/>
        <w:rPr>
          <w:color w:val="auto"/>
        </w:rPr>
        <w:sectPr w:rsidR="00B517AA" w:rsidSect="00B517AA">
          <w:headerReference w:type="default" r:id="rId76"/>
          <w:headerReference w:type="first" r:id="rId77"/>
          <w:type w:val="continuous"/>
          <w:pgSz w:w="11906" w:h="16838"/>
          <w:pgMar w:top="1417" w:right="1417" w:bottom="1134" w:left="1417" w:header="708" w:footer="708" w:gutter="0"/>
          <w:cols w:space="708"/>
          <w:titlePg/>
          <w:docGrid w:linePitch="360"/>
        </w:sectPr>
      </w:pPr>
    </w:p>
    <w:p w:rsidR="009D006D" w:rsidRPr="000D6F0C" w:rsidRDefault="00563EC1" w:rsidP="009D006D">
      <w:pPr>
        <w:pStyle w:val="berschrift2"/>
        <w:spacing w:after="240"/>
        <w:jc w:val="both"/>
        <w:rPr>
          <w:color w:val="auto"/>
        </w:rPr>
      </w:pPr>
      <w:bookmarkStart w:id="93" w:name="_Toc435621245"/>
      <w:r>
        <w:rPr>
          <w:color w:val="auto"/>
        </w:rPr>
        <w:lastRenderedPageBreak/>
        <w:t xml:space="preserve">6.9 </w:t>
      </w:r>
      <w:r w:rsidR="00720642">
        <w:rPr>
          <w:color w:val="auto"/>
        </w:rPr>
        <w:t>R</w:t>
      </w:r>
      <w:r w:rsidR="009D006D" w:rsidRPr="000D6F0C">
        <w:rPr>
          <w:color w:val="auto"/>
        </w:rPr>
        <w:t xml:space="preserve">esistance to </w:t>
      </w:r>
      <w:r w:rsidR="00720642">
        <w:rPr>
          <w:i/>
          <w:color w:val="auto"/>
        </w:rPr>
        <w:t>Hpa</w:t>
      </w:r>
      <w:r w:rsidR="009D006D" w:rsidRPr="000D6F0C">
        <w:rPr>
          <w:color w:val="auto"/>
        </w:rPr>
        <w:t xml:space="preserve"> Noco2</w:t>
      </w:r>
      <w:r w:rsidR="00720642">
        <w:rPr>
          <w:color w:val="auto"/>
        </w:rPr>
        <w:t xml:space="preserve"> mediated by </w:t>
      </w:r>
      <w:r w:rsidR="00720642" w:rsidRPr="00720642">
        <w:rPr>
          <w:i/>
          <w:color w:val="auto"/>
        </w:rPr>
        <w:t>Psm</w:t>
      </w:r>
      <w:r w:rsidR="00720642">
        <w:rPr>
          <w:color w:val="auto"/>
        </w:rPr>
        <w:t>-induced SAR</w:t>
      </w:r>
      <w:bookmarkEnd w:id="93"/>
    </w:p>
    <w:p w:rsidR="0050775E" w:rsidRDefault="009D006D" w:rsidP="0050775E">
      <w:pPr>
        <w:spacing w:after="0" w:line="360" w:lineRule="auto"/>
        <w:jc w:val="both"/>
      </w:pPr>
      <w:r w:rsidRPr="00FD65FA">
        <w:t xml:space="preserve">It is often discussed that induction of the SAR response in </w:t>
      </w:r>
      <w:r w:rsidRPr="00FD65FA">
        <w:rPr>
          <w:i/>
        </w:rPr>
        <w:t>Arabidopsis</w:t>
      </w:r>
      <w:r w:rsidRPr="00FD65FA">
        <w:t xml:space="preserve"> by one pathogen </w:t>
      </w:r>
      <w:r w:rsidR="008E7B61" w:rsidRPr="008E7B61">
        <w:t xml:space="preserve">(e.g. </w:t>
      </w:r>
      <w:r w:rsidR="00720642">
        <w:rPr>
          <w:i/>
        </w:rPr>
        <w:t>Psm</w:t>
      </w:r>
      <w:r w:rsidR="008E7B61" w:rsidRPr="008E7B61">
        <w:t>) confers resistance to a broad spectrum of pathogens (Durrant &amp; Dong, 2004). To verify this statement, a SAR experiment was carried out by</w:t>
      </w:r>
      <w:r w:rsidR="00BA1598">
        <w:t xml:space="preserve"> using </w:t>
      </w:r>
      <w:r w:rsidR="00BA1598" w:rsidRPr="00BA1598">
        <w:rPr>
          <w:i/>
        </w:rPr>
        <w:t>Psm</w:t>
      </w:r>
      <w:r w:rsidR="00BA1598">
        <w:t xml:space="preserve"> as SAR-inducing pathogen and </w:t>
      </w:r>
      <w:r w:rsidR="00BA1598" w:rsidRPr="00BA1598">
        <w:rPr>
          <w:i/>
        </w:rPr>
        <w:t>Hpa</w:t>
      </w:r>
      <w:r w:rsidR="00BA1598">
        <w:t xml:space="preserve"> for the challenge infection. L</w:t>
      </w:r>
      <w:r w:rsidR="008E7B61" w:rsidRPr="008E7B61">
        <w:t>ower leaves of 5 week old naive plants</w:t>
      </w:r>
      <w:r w:rsidR="00BA1598">
        <w:t xml:space="preserve"> were infiltrated </w:t>
      </w:r>
      <w:r w:rsidR="008E7B61" w:rsidRPr="008E7B61">
        <w:t>with either 10 mM MgCl</w:t>
      </w:r>
      <w:r w:rsidR="008E7B61" w:rsidRPr="008E7B61">
        <w:rPr>
          <w:vertAlign w:val="subscript"/>
        </w:rPr>
        <w:t>2</w:t>
      </w:r>
      <w:r w:rsidR="008E7B61" w:rsidRPr="008E7B61">
        <w:t xml:space="preserve"> (mock) or </w:t>
      </w:r>
      <w:r w:rsidR="00720642">
        <w:rPr>
          <w:i/>
        </w:rPr>
        <w:t>Psm</w:t>
      </w:r>
      <w:r w:rsidR="008E7B61" w:rsidRPr="008E7B61">
        <w:rPr>
          <w:i/>
        </w:rPr>
        <w:t xml:space="preserve"> </w:t>
      </w:r>
      <w:r w:rsidR="008E7B61" w:rsidRPr="008E7B61">
        <w:t>(OD</w:t>
      </w:r>
      <w:r w:rsidR="008E7B61" w:rsidRPr="008E7B61">
        <w:rPr>
          <w:vertAlign w:val="subscript"/>
        </w:rPr>
        <w:t>600</w:t>
      </w:r>
      <w:r w:rsidR="008E7B61" w:rsidRPr="008E7B61">
        <w:t xml:space="preserve">=0.005). </w:t>
      </w:r>
    </w:p>
    <w:p w:rsidR="009D006D" w:rsidRDefault="009D006D" w:rsidP="00F56F3D">
      <w:pPr>
        <w:keepNext/>
        <w:spacing w:after="0" w:line="360" w:lineRule="auto"/>
        <w:jc w:val="both"/>
      </w:pPr>
      <w:r w:rsidRPr="00FD65FA">
        <w:rPr>
          <w:noProof/>
          <w:lang w:val="de-DE" w:eastAsia="de-DE"/>
        </w:rPr>
        <w:lastRenderedPageBreak/>
        <w:drawing>
          <wp:anchor distT="0" distB="0" distL="114300" distR="114300" simplePos="0" relativeHeight="251702272" behindDoc="0" locked="0" layoutInCell="1" allowOverlap="1" wp14:anchorId="502B63FB" wp14:editId="2BA77F1C">
            <wp:simplePos x="895350" y="895350"/>
            <wp:positionH relativeFrom="page">
              <wp:align>center</wp:align>
            </wp:positionH>
            <wp:positionV relativeFrom="paragraph">
              <wp:posOffset>-3810</wp:posOffset>
            </wp:positionV>
            <wp:extent cx="5400000" cy="7642179"/>
            <wp:effectExtent l="19050" t="19050" r="10795" b="16510"/>
            <wp:wrapTopAndBottom/>
            <wp:docPr id="77" name="Grafik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R Psm and Hpa TB.png"/>
                    <pic:cNvPicPr/>
                  </pic:nvPicPr>
                  <pic:blipFill rotWithShape="1">
                    <a:blip r:embed="rId78" cstate="print">
                      <a:extLst>
                        <a:ext uri="{28A0092B-C50C-407E-A947-70E740481C1C}">
                          <a14:useLocalDpi xmlns:a14="http://schemas.microsoft.com/office/drawing/2010/main" val="0"/>
                        </a:ext>
                      </a:extLst>
                    </a:blip>
                    <a:srcRect l="-1" r="-1449" b="-931"/>
                    <a:stretch/>
                  </pic:blipFill>
                  <pic:spPr bwMode="auto">
                    <a:xfrm>
                      <a:off x="0" y="0"/>
                      <a:ext cx="5400000" cy="7642179"/>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B4720C" w:rsidRPr="006E436D" w:rsidRDefault="009D006D" w:rsidP="00720642">
      <w:pPr>
        <w:pStyle w:val="Beschriftung"/>
        <w:spacing w:after="0" w:line="360" w:lineRule="auto"/>
        <w:jc w:val="both"/>
        <w:rPr>
          <w:color w:val="auto"/>
          <w:lang w:val="en-US"/>
        </w:rPr>
      </w:pPr>
      <w:bookmarkStart w:id="94" w:name="_Toc435621160"/>
      <w:proofErr w:type="gramStart"/>
      <w:r w:rsidRPr="006E436D">
        <w:rPr>
          <w:color w:val="auto"/>
        </w:rPr>
        <w:t xml:space="preserve">Figure </w:t>
      </w:r>
      <w:r w:rsidRPr="006E436D">
        <w:rPr>
          <w:color w:val="auto"/>
        </w:rPr>
        <w:fldChar w:fldCharType="begin"/>
      </w:r>
      <w:r w:rsidRPr="006E436D">
        <w:rPr>
          <w:color w:val="auto"/>
        </w:rPr>
        <w:instrText xml:space="preserve"> SEQ Figure \* ARABIC </w:instrText>
      </w:r>
      <w:r w:rsidRPr="006E436D">
        <w:rPr>
          <w:color w:val="auto"/>
        </w:rPr>
        <w:fldChar w:fldCharType="separate"/>
      </w:r>
      <w:r w:rsidR="00CB17FE">
        <w:rPr>
          <w:noProof/>
          <w:color w:val="auto"/>
        </w:rPr>
        <w:t>42</w:t>
      </w:r>
      <w:r w:rsidRPr="006E436D">
        <w:rPr>
          <w:color w:val="auto"/>
        </w:rPr>
        <w:fldChar w:fldCharType="end"/>
      </w:r>
      <w:r w:rsidR="0096402E">
        <w:rPr>
          <w:color w:val="auto"/>
        </w:rPr>
        <w:t>.</w:t>
      </w:r>
      <w:proofErr w:type="gramEnd"/>
      <w:r w:rsidRPr="006E436D">
        <w:rPr>
          <w:color w:val="auto"/>
        </w:rPr>
        <w:t xml:space="preserve"> </w:t>
      </w:r>
      <w:proofErr w:type="gramStart"/>
      <w:r w:rsidR="00720642">
        <w:rPr>
          <w:color w:val="auto"/>
          <w:lang w:val="en-US"/>
        </w:rPr>
        <w:t>Protection of</w:t>
      </w:r>
      <w:r w:rsidR="00BA1598">
        <w:rPr>
          <w:color w:val="auto"/>
          <w:lang w:val="en-US"/>
        </w:rPr>
        <w:t xml:space="preserve"> Col-0,</w:t>
      </w:r>
      <w:r w:rsidRPr="006E436D">
        <w:rPr>
          <w:color w:val="auto"/>
          <w:lang w:val="en-US"/>
        </w:rPr>
        <w:t xml:space="preserve"> but not </w:t>
      </w:r>
      <w:r w:rsidRPr="006E436D">
        <w:rPr>
          <w:i/>
          <w:color w:val="auto"/>
          <w:lang w:val="en-US"/>
        </w:rPr>
        <w:t>ald1, fmo1</w:t>
      </w:r>
      <w:r w:rsidRPr="006E436D">
        <w:rPr>
          <w:color w:val="auto"/>
          <w:lang w:val="en-US"/>
        </w:rPr>
        <w:t xml:space="preserve">, or </w:t>
      </w:r>
      <w:r w:rsidR="002219D8" w:rsidRPr="006E436D">
        <w:rPr>
          <w:i/>
          <w:color w:val="auto"/>
          <w:lang w:val="en-US"/>
        </w:rPr>
        <w:t>sid2</w:t>
      </w:r>
      <w:r w:rsidRPr="006E436D">
        <w:rPr>
          <w:color w:val="auto"/>
          <w:lang w:val="en-US"/>
        </w:rPr>
        <w:t xml:space="preserve"> against subsequent infection by </w:t>
      </w:r>
      <w:r w:rsidR="00720642">
        <w:rPr>
          <w:i/>
          <w:color w:val="auto"/>
          <w:lang w:val="en-US"/>
        </w:rPr>
        <w:t>Hpa</w:t>
      </w:r>
      <w:r w:rsidRPr="006E436D">
        <w:rPr>
          <w:color w:val="auto"/>
          <w:lang w:val="en-US"/>
        </w:rPr>
        <w:t xml:space="preserve"> Noco2</w:t>
      </w:r>
      <w:r w:rsidR="00720642">
        <w:rPr>
          <w:color w:val="auto"/>
          <w:lang w:val="en-US"/>
        </w:rPr>
        <w:t xml:space="preserve"> by </w:t>
      </w:r>
      <w:r w:rsidR="00720642" w:rsidRPr="00720642">
        <w:rPr>
          <w:i/>
          <w:color w:val="auto"/>
          <w:lang w:val="en-US"/>
        </w:rPr>
        <w:t>Psm</w:t>
      </w:r>
      <w:r w:rsidR="00720642">
        <w:rPr>
          <w:color w:val="auto"/>
          <w:lang w:val="en-US"/>
        </w:rPr>
        <w:t>-induced SAR</w:t>
      </w:r>
      <w:r w:rsidRPr="006E436D">
        <w:rPr>
          <w:color w:val="auto"/>
          <w:lang w:val="en-US"/>
        </w:rPr>
        <w:t>.</w:t>
      </w:r>
      <w:bookmarkEnd w:id="94"/>
      <w:proofErr w:type="gramEnd"/>
    </w:p>
    <w:p w:rsidR="006F01B3" w:rsidRDefault="009D006D" w:rsidP="00720642">
      <w:pPr>
        <w:pStyle w:val="Beschriftung"/>
        <w:jc w:val="both"/>
        <w:rPr>
          <w:b w:val="0"/>
          <w:color w:val="auto"/>
          <w:lang w:val="en-US"/>
        </w:rPr>
      </w:pPr>
      <w:r w:rsidRPr="006E436D">
        <w:rPr>
          <w:b w:val="0"/>
          <w:color w:val="auto"/>
          <w:lang w:val="en-US"/>
        </w:rPr>
        <w:t>Plants were infiltrated in three lower leaves with either 10 mM MgCl</w:t>
      </w:r>
      <w:r w:rsidRPr="006E436D">
        <w:rPr>
          <w:b w:val="0"/>
          <w:color w:val="auto"/>
          <w:vertAlign w:val="subscript"/>
          <w:lang w:val="en-US"/>
        </w:rPr>
        <w:t>2</w:t>
      </w:r>
      <w:r w:rsidRPr="006E436D">
        <w:rPr>
          <w:b w:val="0"/>
          <w:color w:val="auto"/>
          <w:lang w:val="en-US"/>
        </w:rPr>
        <w:t xml:space="preserve"> or </w:t>
      </w:r>
      <w:r w:rsidR="00720642">
        <w:rPr>
          <w:b w:val="0"/>
          <w:i/>
          <w:color w:val="auto"/>
          <w:lang w:val="en-US"/>
        </w:rPr>
        <w:t>Psm</w:t>
      </w:r>
      <w:r w:rsidRPr="006E436D">
        <w:rPr>
          <w:b w:val="0"/>
          <w:i/>
          <w:color w:val="auto"/>
          <w:lang w:val="en-US"/>
        </w:rPr>
        <w:t xml:space="preserve"> </w:t>
      </w:r>
      <w:r w:rsidRPr="006E436D">
        <w:rPr>
          <w:b w:val="0"/>
          <w:color w:val="auto"/>
          <w:lang w:val="en-US"/>
        </w:rPr>
        <w:t>(OD</w:t>
      </w:r>
      <w:r w:rsidRPr="006E436D">
        <w:rPr>
          <w:b w:val="0"/>
          <w:color w:val="auto"/>
          <w:vertAlign w:val="subscript"/>
          <w:lang w:val="en-US"/>
        </w:rPr>
        <w:t>600</w:t>
      </w:r>
      <w:r w:rsidRPr="006E436D">
        <w:rPr>
          <w:b w:val="0"/>
          <w:color w:val="auto"/>
          <w:lang w:val="en-US"/>
        </w:rPr>
        <w:t xml:space="preserve">=0.005) and challenge infected 2 days later by spray-infection with a spore solution of </w:t>
      </w:r>
      <w:r w:rsidRPr="006E436D">
        <w:rPr>
          <w:b w:val="0"/>
          <w:i/>
          <w:color w:val="auto"/>
          <w:lang w:val="en-US"/>
        </w:rPr>
        <w:t>Hpa</w:t>
      </w:r>
      <w:r w:rsidRPr="006E436D">
        <w:rPr>
          <w:b w:val="0"/>
          <w:color w:val="auto"/>
          <w:lang w:val="en-US"/>
        </w:rPr>
        <w:t xml:space="preserve"> Noco2 (5x10</w:t>
      </w:r>
      <w:r w:rsidRPr="006E436D">
        <w:rPr>
          <w:b w:val="0"/>
          <w:color w:val="auto"/>
          <w:vertAlign w:val="superscript"/>
          <w:lang w:val="en-US"/>
        </w:rPr>
        <w:t>4</w:t>
      </w:r>
      <w:r w:rsidRPr="006E436D">
        <w:rPr>
          <w:b w:val="0"/>
          <w:color w:val="auto"/>
          <w:lang w:val="en-US"/>
        </w:rPr>
        <w:t xml:space="preserve"> spores ml</w:t>
      </w:r>
      <w:r w:rsidRPr="006E436D">
        <w:rPr>
          <w:b w:val="0"/>
          <w:color w:val="auto"/>
          <w:vertAlign w:val="superscript"/>
          <w:lang w:val="en-US"/>
        </w:rPr>
        <w:t>-1</w:t>
      </w:r>
      <w:r w:rsidRPr="006E436D">
        <w:rPr>
          <w:b w:val="0"/>
          <w:color w:val="auto"/>
          <w:lang w:val="en-US"/>
        </w:rPr>
        <w:t>)</w:t>
      </w:r>
      <w:r w:rsidR="002219D8" w:rsidRPr="006E436D">
        <w:rPr>
          <w:b w:val="0"/>
          <w:color w:val="auto"/>
          <w:lang w:val="en-US"/>
        </w:rPr>
        <w:t>. Oomycete hyphae and dead plant cells</w:t>
      </w:r>
      <w:r w:rsidRPr="006E436D">
        <w:rPr>
          <w:b w:val="0"/>
          <w:color w:val="auto"/>
          <w:lang w:val="en-US"/>
        </w:rPr>
        <w:t xml:space="preserve"> were </w:t>
      </w:r>
      <w:r w:rsidR="00720642">
        <w:rPr>
          <w:b w:val="0"/>
          <w:color w:val="auto"/>
          <w:lang w:val="en-US"/>
        </w:rPr>
        <w:t>TB-</w:t>
      </w:r>
      <w:r w:rsidRPr="006E436D">
        <w:rPr>
          <w:b w:val="0"/>
          <w:color w:val="auto"/>
          <w:lang w:val="en-US"/>
        </w:rPr>
        <w:t xml:space="preserve">stained and disease severity analysed by light microscopy. Representative detailed pictures of Col-0 (A), </w:t>
      </w:r>
      <w:r w:rsidRPr="006E436D">
        <w:rPr>
          <w:b w:val="0"/>
          <w:i/>
          <w:color w:val="auto"/>
          <w:lang w:val="en-US"/>
        </w:rPr>
        <w:t>ald1</w:t>
      </w:r>
      <w:r w:rsidRPr="006E436D">
        <w:rPr>
          <w:b w:val="0"/>
          <w:color w:val="auto"/>
          <w:lang w:val="en-US"/>
        </w:rPr>
        <w:t xml:space="preserve"> (B), </w:t>
      </w:r>
      <w:r w:rsidRPr="006E436D">
        <w:rPr>
          <w:b w:val="0"/>
          <w:i/>
          <w:color w:val="auto"/>
          <w:lang w:val="en-US"/>
        </w:rPr>
        <w:t>fmo1</w:t>
      </w:r>
      <w:r w:rsidRPr="006E436D">
        <w:rPr>
          <w:b w:val="0"/>
          <w:color w:val="auto"/>
          <w:lang w:val="en-US"/>
        </w:rPr>
        <w:t xml:space="preserve"> (C), and </w:t>
      </w:r>
      <w:r w:rsidR="002219D8" w:rsidRPr="006E436D">
        <w:rPr>
          <w:b w:val="0"/>
          <w:i/>
          <w:color w:val="auto"/>
          <w:lang w:val="en-US"/>
        </w:rPr>
        <w:t>sid2</w:t>
      </w:r>
      <w:r w:rsidRPr="006E436D">
        <w:rPr>
          <w:b w:val="0"/>
          <w:color w:val="auto"/>
          <w:lang w:val="en-US"/>
        </w:rPr>
        <w:t xml:space="preserve"> (D) are shown. </w:t>
      </w:r>
      <w:proofErr w:type="gramStart"/>
      <w:r w:rsidRPr="006E436D">
        <w:rPr>
          <w:b w:val="0"/>
          <w:color w:val="auto"/>
          <w:lang w:val="en-US"/>
        </w:rPr>
        <w:t>Cp, conidiophore; HR, hypersensitive response; hy, hyphae; oo, oospore.</w:t>
      </w:r>
      <w:proofErr w:type="gramEnd"/>
    </w:p>
    <w:p w:rsidR="006F01B3" w:rsidRDefault="007E206E" w:rsidP="007E206E">
      <w:pPr>
        <w:spacing w:after="0" w:line="360" w:lineRule="auto"/>
        <w:jc w:val="both"/>
      </w:pPr>
      <w:r w:rsidRPr="008E7B61">
        <w:lastRenderedPageBreak/>
        <w:t xml:space="preserve">Two days after 1° infiltration, plants were spray-infected with a spore solution of </w:t>
      </w:r>
      <w:r>
        <w:rPr>
          <w:i/>
        </w:rPr>
        <w:t>Hpa</w:t>
      </w:r>
      <w:r w:rsidRPr="008E7B61">
        <w:t xml:space="preserve"> Noco2 (5</w:t>
      </w:r>
      <w:r>
        <w:t xml:space="preserve"> </w:t>
      </w:r>
      <w:r w:rsidRPr="008E7B61">
        <w:t>x</w:t>
      </w:r>
      <w:r>
        <w:t xml:space="preserve"> </w:t>
      </w:r>
      <w:r w:rsidRPr="008E7B61">
        <w:t>10</w:t>
      </w:r>
      <w:r w:rsidRPr="008E7B61">
        <w:rPr>
          <w:vertAlign w:val="superscript"/>
        </w:rPr>
        <w:t>4</w:t>
      </w:r>
      <w:r w:rsidRPr="008E7B61">
        <w:t xml:space="preserve"> spores ml</w:t>
      </w:r>
      <w:r w:rsidRPr="008E7B61">
        <w:rPr>
          <w:vertAlign w:val="superscript"/>
        </w:rPr>
        <w:t>-1</w:t>
      </w:r>
      <w:r w:rsidRPr="008E7B61">
        <w:t>) and kept in high humidity for one week. To assess the SAR response, spore production on the plant</w:t>
      </w:r>
      <w:r>
        <w:t>s was quantified (Figure 43),</w:t>
      </w:r>
      <w:r w:rsidRPr="008E7B61">
        <w:t xml:space="preserve"> </w:t>
      </w:r>
      <w:r>
        <w:t xml:space="preserve">and TB-stained </w:t>
      </w:r>
      <w:r w:rsidRPr="008E7B61">
        <w:t xml:space="preserve">leaves were studied under the microscope (Figure 42). </w:t>
      </w:r>
    </w:p>
    <w:p w:rsidR="007E206E" w:rsidRDefault="007E206E" w:rsidP="00F56F3D">
      <w:pPr>
        <w:keepNext/>
        <w:spacing w:after="0" w:line="360" w:lineRule="auto"/>
        <w:jc w:val="both"/>
      </w:pPr>
    </w:p>
    <w:p w:rsidR="009D006D" w:rsidRDefault="009D006D" w:rsidP="00F56F3D">
      <w:pPr>
        <w:keepNext/>
        <w:spacing w:after="0" w:line="360" w:lineRule="auto"/>
        <w:jc w:val="both"/>
      </w:pPr>
      <w:r w:rsidRPr="00FD65FA">
        <w:rPr>
          <w:noProof/>
          <w:lang w:val="de-DE" w:eastAsia="de-DE"/>
        </w:rPr>
        <w:drawing>
          <wp:anchor distT="0" distB="0" distL="114300" distR="114300" simplePos="0" relativeHeight="251703296" behindDoc="0" locked="0" layoutInCell="1" allowOverlap="1" wp14:anchorId="53C4105D" wp14:editId="23B4ACA8">
            <wp:simplePos x="895350" y="895350"/>
            <wp:positionH relativeFrom="page">
              <wp:align>center</wp:align>
            </wp:positionH>
            <wp:positionV relativeFrom="paragraph">
              <wp:posOffset>-3810</wp:posOffset>
            </wp:positionV>
            <wp:extent cx="3960000" cy="6325725"/>
            <wp:effectExtent l="19050" t="19050" r="21590" b="18415"/>
            <wp:wrapTopAndBottom/>
            <wp:docPr id="78" name="Grafik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R experiment with Psm and hpa.png"/>
                    <pic:cNvPicPr/>
                  </pic:nvPicPr>
                  <pic:blipFill rotWithShape="1">
                    <a:blip r:embed="rId79" cstate="print">
                      <a:extLst>
                        <a:ext uri="{28A0092B-C50C-407E-A947-70E740481C1C}">
                          <a14:useLocalDpi xmlns:a14="http://schemas.microsoft.com/office/drawing/2010/main" val="0"/>
                        </a:ext>
                      </a:extLst>
                    </a:blip>
                    <a:srcRect t="1" r="-1852" b="-1370"/>
                    <a:stretch/>
                  </pic:blipFill>
                  <pic:spPr bwMode="auto">
                    <a:xfrm>
                      <a:off x="0" y="0"/>
                      <a:ext cx="3960000" cy="6325725"/>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9D006D" w:rsidRPr="006E436D" w:rsidRDefault="009D006D" w:rsidP="00720642">
      <w:pPr>
        <w:pStyle w:val="Beschriftung"/>
        <w:spacing w:after="0" w:line="360" w:lineRule="auto"/>
        <w:jc w:val="both"/>
        <w:rPr>
          <w:color w:val="auto"/>
          <w:lang w:val="en-US"/>
        </w:rPr>
      </w:pPr>
      <w:bookmarkStart w:id="95" w:name="_Toc435621161"/>
      <w:proofErr w:type="gramStart"/>
      <w:r w:rsidRPr="006E436D">
        <w:rPr>
          <w:color w:val="auto"/>
        </w:rPr>
        <w:t xml:space="preserve">Figure </w:t>
      </w:r>
      <w:r w:rsidRPr="006E436D">
        <w:rPr>
          <w:color w:val="auto"/>
        </w:rPr>
        <w:fldChar w:fldCharType="begin"/>
      </w:r>
      <w:r w:rsidRPr="006E436D">
        <w:rPr>
          <w:color w:val="auto"/>
        </w:rPr>
        <w:instrText xml:space="preserve"> SEQ Figure \* ARABIC </w:instrText>
      </w:r>
      <w:r w:rsidRPr="006E436D">
        <w:rPr>
          <w:color w:val="auto"/>
        </w:rPr>
        <w:fldChar w:fldCharType="separate"/>
      </w:r>
      <w:r w:rsidR="00CB17FE">
        <w:rPr>
          <w:noProof/>
          <w:color w:val="auto"/>
        </w:rPr>
        <w:t>43</w:t>
      </w:r>
      <w:r w:rsidRPr="006E436D">
        <w:rPr>
          <w:color w:val="auto"/>
        </w:rPr>
        <w:fldChar w:fldCharType="end"/>
      </w:r>
      <w:r w:rsidR="006C6340">
        <w:rPr>
          <w:color w:val="auto"/>
        </w:rPr>
        <w:t>.</w:t>
      </w:r>
      <w:proofErr w:type="gramEnd"/>
      <w:r w:rsidRPr="006E436D">
        <w:rPr>
          <w:color w:val="auto"/>
        </w:rPr>
        <w:t xml:space="preserve"> </w:t>
      </w:r>
      <w:r w:rsidR="00720642">
        <w:rPr>
          <w:i/>
          <w:color w:val="auto"/>
          <w:lang w:val="en-US"/>
        </w:rPr>
        <w:t>Psm</w:t>
      </w:r>
      <w:r w:rsidRPr="006E436D">
        <w:rPr>
          <w:color w:val="auto"/>
          <w:lang w:val="en-US"/>
        </w:rPr>
        <w:t xml:space="preserve"> infection induces </w:t>
      </w:r>
      <w:r w:rsidR="00720642">
        <w:rPr>
          <w:color w:val="auto"/>
          <w:lang w:val="en-US"/>
        </w:rPr>
        <w:t>SAR</w:t>
      </w:r>
      <w:r w:rsidRPr="006E436D">
        <w:rPr>
          <w:color w:val="auto"/>
          <w:lang w:val="en-US"/>
        </w:rPr>
        <w:t xml:space="preserve"> against </w:t>
      </w:r>
      <w:r w:rsidR="00720642">
        <w:rPr>
          <w:i/>
          <w:color w:val="auto"/>
          <w:lang w:val="en-US"/>
        </w:rPr>
        <w:t>Hpa</w:t>
      </w:r>
      <w:r w:rsidRPr="006E436D">
        <w:rPr>
          <w:color w:val="auto"/>
          <w:lang w:val="en-US"/>
        </w:rPr>
        <w:t xml:space="preserve"> Noco2.</w:t>
      </w:r>
      <w:bookmarkEnd w:id="95"/>
    </w:p>
    <w:p w:rsidR="006F01B3" w:rsidRPr="006E436D" w:rsidRDefault="002219D8" w:rsidP="006F01B3">
      <w:pPr>
        <w:pStyle w:val="Beschriftung"/>
        <w:jc w:val="both"/>
        <w:rPr>
          <w:b w:val="0"/>
          <w:color w:val="auto"/>
          <w:lang w:val="en-US"/>
        </w:rPr>
      </w:pPr>
      <w:r w:rsidRPr="006E436D">
        <w:rPr>
          <w:b w:val="0"/>
          <w:color w:val="auto"/>
          <w:lang w:val="en-US"/>
        </w:rPr>
        <w:t>Plants were treated as described in figure 42 and disease severity</w:t>
      </w:r>
      <w:r w:rsidR="009D006D" w:rsidRPr="006E436D">
        <w:rPr>
          <w:b w:val="0"/>
          <w:color w:val="auto"/>
          <w:lang w:val="en-US"/>
        </w:rPr>
        <w:t xml:space="preserve"> assessed by counting spores </w:t>
      </w:r>
      <w:r w:rsidRPr="006E436D">
        <w:rPr>
          <w:b w:val="0"/>
          <w:color w:val="auto"/>
          <w:lang w:val="en-US"/>
        </w:rPr>
        <w:t xml:space="preserve">(A) </w:t>
      </w:r>
      <w:r w:rsidR="009D006D" w:rsidRPr="006E436D">
        <w:rPr>
          <w:b w:val="0"/>
          <w:color w:val="auto"/>
          <w:lang w:val="en-US"/>
        </w:rPr>
        <w:t>as w</w:t>
      </w:r>
      <w:r w:rsidRPr="006E436D">
        <w:rPr>
          <w:b w:val="0"/>
          <w:color w:val="auto"/>
          <w:lang w:val="en-US"/>
        </w:rPr>
        <w:t xml:space="preserve">ell as microscopy analysis (B). </w:t>
      </w:r>
      <w:r w:rsidR="009D006D" w:rsidRPr="006E436D">
        <w:rPr>
          <w:b w:val="0"/>
          <w:color w:val="auto"/>
          <w:lang w:val="en-US"/>
        </w:rPr>
        <w:t xml:space="preserve">Asterisks above the bars denote significant statistical differences between SAR-noninduced and SAR-induced plants (two-tailed </w:t>
      </w:r>
      <w:r w:rsidR="009D006D" w:rsidRPr="006E436D">
        <w:rPr>
          <w:b w:val="0"/>
          <w:i/>
          <w:color w:val="auto"/>
          <w:lang w:val="en-US"/>
        </w:rPr>
        <w:t>t</w:t>
      </w:r>
      <w:r w:rsidR="009D006D" w:rsidRPr="006E436D">
        <w:rPr>
          <w:b w:val="0"/>
          <w:color w:val="auto"/>
          <w:lang w:val="en-US"/>
        </w:rPr>
        <w:t xml:space="preserve"> test; *, P&lt; 0.05; **, P&lt; 0.01; ***, P&lt; 0.001). (C)  Disease rating </w:t>
      </w:r>
      <w:r w:rsidRPr="006E436D">
        <w:rPr>
          <w:b w:val="0"/>
          <w:color w:val="auto"/>
          <w:lang w:val="en-US"/>
        </w:rPr>
        <w:t xml:space="preserve">as delineated in figure 39. </w:t>
      </w:r>
      <w:r w:rsidR="00A851F6" w:rsidRPr="006E436D">
        <w:rPr>
          <w:b w:val="0"/>
          <w:color w:val="auto"/>
          <w:lang w:val="en-US"/>
        </w:rPr>
        <w:t>The</w:t>
      </w:r>
      <w:r w:rsidRPr="006E436D">
        <w:rPr>
          <w:b w:val="0"/>
          <w:color w:val="auto"/>
          <w:lang w:val="en-US"/>
        </w:rPr>
        <w:t xml:space="preserve"> </w:t>
      </w:r>
      <w:r w:rsidRPr="006E436D">
        <w:rPr>
          <w:b w:val="0"/>
          <w:i/>
          <w:color w:val="auto"/>
          <w:lang w:val="en-US"/>
        </w:rPr>
        <w:t>sid2 ald1</w:t>
      </w:r>
      <w:r w:rsidRPr="006E436D">
        <w:rPr>
          <w:b w:val="0"/>
          <w:color w:val="auto"/>
          <w:lang w:val="en-US"/>
        </w:rPr>
        <w:t xml:space="preserve"> plants used in this experiment were generated </w:t>
      </w:r>
      <w:r w:rsidR="009D006D" w:rsidRPr="006E436D">
        <w:rPr>
          <w:b w:val="0"/>
          <w:color w:val="auto"/>
          <w:lang w:val="en-US"/>
        </w:rPr>
        <w:t xml:space="preserve">by </w:t>
      </w:r>
      <w:r w:rsidRPr="006E436D">
        <w:rPr>
          <w:b w:val="0"/>
          <w:color w:val="auto"/>
          <w:lang w:val="en-US"/>
        </w:rPr>
        <w:t xml:space="preserve">Dr </w:t>
      </w:r>
      <w:r w:rsidR="009D006D" w:rsidRPr="006E436D">
        <w:rPr>
          <w:b w:val="0"/>
          <w:color w:val="auto"/>
          <w:lang w:val="en-US"/>
        </w:rPr>
        <w:t>Friederike Bernsdorff.</w:t>
      </w:r>
    </w:p>
    <w:p w:rsidR="006F01B3" w:rsidRPr="008E7B61" w:rsidRDefault="007E206E" w:rsidP="007E206E">
      <w:pPr>
        <w:spacing w:after="0" w:line="360" w:lineRule="auto"/>
        <w:jc w:val="both"/>
      </w:pPr>
      <w:r w:rsidRPr="008E7B61">
        <w:lastRenderedPageBreak/>
        <w:t xml:space="preserve">Mock-treated Col-0 leaves supported strong hyphal growth of the oomycete with conidiophores covering a large part of the leaf surface (Figure 42 A, left side). In </w:t>
      </w:r>
      <w:r w:rsidRPr="008E7B61">
        <w:rPr>
          <w:i/>
        </w:rPr>
        <w:t>Psm</w:t>
      </w:r>
      <w:r w:rsidRPr="008E7B61">
        <w:t xml:space="preserve">-treated leaves, more incidents of HR and less </w:t>
      </w:r>
      <w:proofErr w:type="gramStart"/>
      <w:r w:rsidRPr="008E7B61">
        <w:t>conidiophores</w:t>
      </w:r>
      <w:proofErr w:type="gramEnd"/>
      <w:r w:rsidRPr="008E7B61">
        <w:t xml:space="preserve"> were visible (Figure 42 A, right side). Quantification of spores resulted in approximately 100 x 10</w:t>
      </w:r>
      <w:r w:rsidRPr="008E7B61">
        <w:rPr>
          <w:vertAlign w:val="superscript"/>
        </w:rPr>
        <w:t>4</w:t>
      </w:r>
      <w:r w:rsidRPr="008E7B61">
        <w:t xml:space="preserve"> spores g</w:t>
      </w:r>
      <w:r w:rsidRPr="008E7B61">
        <w:rPr>
          <w:vertAlign w:val="superscript"/>
        </w:rPr>
        <w:t>-1</w:t>
      </w:r>
      <w:r w:rsidRPr="008E7B61">
        <w:t xml:space="preserve"> FW in 1°</w:t>
      </w:r>
      <w:r>
        <w:t xml:space="preserve"> mock-</w:t>
      </w:r>
      <w:r w:rsidRPr="008E7B61">
        <w:t>treated plants and a huge reduction of spore number</w:t>
      </w:r>
      <w:r w:rsidR="00BA1598">
        <w:t>s</w:t>
      </w:r>
      <w:r w:rsidRPr="008E7B61">
        <w:t xml:space="preserve"> to 3 x 10</w:t>
      </w:r>
      <w:r w:rsidRPr="008E7B61">
        <w:rPr>
          <w:vertAlign w:val="superscript"/>
        </w:rPr>
        <w:t>4</w:t>
      </w:r>
      <w:r w:rsidRPr="008E7B61">
        <w:t xml:space="preserve"> spores g</w:t>
      </w:r>
      <w:r w:rsidRPr="008E7B61">
        <w:rPr>
          <w:vertAlign w:val="superscript"/>
        </w:rPr>
        <w:t>-1</w:t>
      </w:r>
      <w:r w:rsidRPr="008E7B61">
        <w:t xml:space="preserve"> FW in 1° </w:t>
      </w:r>
      <w:r w:rsidRPr="008E7B61">
        <w:rPr>
          <w:i/>
        </w:rPr>
        <w:t>Psm</w:t>
      </w:r>
      <w:r>
        <w:t xml:space="preserve"> treated plants (Figure 43 A). </w:t>
      </w:r>
      <w:r w:rsidR="00720642" w:rsidRPr="008E7B61">
        <w:t xml:space="preserve">The SAR-impaired mutant lines </w:t>
      </w:r>
      <w:r w:rsidR="00720642" w:rsidRPr="008E7B61">
        <w:rPr>
          <w:i/>
        </w:rPr>
        <w:t>ald1</w:t>
      </w:r>
      <w:r w:rsidR="00720642" w:rsidRPr="008E7B61">
        <w:t xml:space="preserve"> and </w:t>
      </w:r>
      <w:r w:rsidR="00720642" w:rsidRPr="008E7B61">
        <w:rPr>
          <w:i/>
        </w:rPr>
        <w:t>fmo1</w:t>
      </w:r>
      <w:r w:rsidR="00720642" w:rsidRPr="008E7B61">
        <w:t xml:space="preserve"> showed more severe disease symptoms in 1° mock- and </w:t>
      </w:r>
      <w:r w:rsidR="00720642" w:rsidRPr="008E7B61">
        <w:rPr>
          <w:i/>
        </w:rPr>
        <w:t>Psm</w:t>
      </w:r>
      <w:r w:rsidR="00720642" w:rsidRPr="008E7B61">
        <w:t>-treated leaves than Col-0</w:t>
      </w:r>
      <w:r w:rsidRPr="007E206E">
        <w:t xml:space="preserve"> </w:t>
      </w:r>
      <w:r w:rsidRPr="008E7B61">
        <w:t>after analysis of TB-stained leaves</w:t>
      </w:r>
      <w:r w:rsidR="00720642" w:rsidRPr="008E7B61">
        <w:t xml:space="preserve">, with most of the leaf area pervaded by hyphae and conidiophores, as well as a lot of sexual oospores, covering most of the </w:t>
      </w:r>
      <w:r>
        <w:t>leaf surfaces</w:t>
      </w:r>
      <w:r w:rsidR="00720642" w:rsidRPr="008E7B61">
        <w:t xml:space="preserve"> (Figure 42 B; Figure 42 C). Quantification of conidiospores demonstrated that the Pip-biosynthesis mutant </w:t>
      </w:r>
      <w:r w:rsidR="00720642" w:rsidRPr="008E7B61">
        <w:rPr>
          <w:i/>
        </w:rPr>
        <w:t>ald1</w:t>
      </w:r>
      <w:r w:rsidR="00720642" w:rsidRPr="008E7B61">
        <w:t xml:space="preserve"> allowed much stronger proliferation of the oomycete</w:t>
      </w:r>
      <w:r w:rsidR="00D87808">
        <w:t>, compared to Col-0,</w:t>
      </w:r>
      <w:r w:rsidR="00720642" w:rsidRPr="008E7B61">
        <w:t xml:space="preserve"> with about </w:t>
      </w:r>
      <w:r w:rsidR="00720642">
        <w:t>four</w:t>
      </w:r>
      <w:r w:rsidR="00720642" w:rsidRPr="008E7B61">
        <w:t xml:space="preserve"> times more spores in 1° </w:t>
      </w:r>
      <w:r w:rsidR="00720642" w:rsidRPr="007E206E">
        <w:t>MgCl</w:t>
      </w:r>
      <w:r w:rsidRPr="007E206E">
        <w:rPr>
          <w:vertAlign w:val="subscript"/>
        </w:rPr>
        <w:t>2</w:t>
      </w:r>
      <w:r>
        <w:t>-</w:t>
      </w:r>
      <w:r w:rsidR="00720642" w:rsidRPr="007E206E">
        <w:t>treated</w:t>
      </w:r>
      <w:r w:rsidR="00720642" w:rsidRPr="008E7B61">
        <w:t xml:space="preserve"> leaves and no significant reduction in spore numbers in 1° </w:t>
      </w:r>
      <w:r w:rsidR="00720642" w:rsidRPr="008E7B61">
        <w:rPr>
          <w:i/>
        </w:rPr>
        <w:t>Psm</w:t>
      </w:r>
      <w:r w:rsidR="00720642" w:rsidRPr="008E7B61">
        <w:t xml:space="preserve"> treated leaves (Figure 43 A). In </w:t>
      </w:r>
      <w:r w:rsidR="00720642" w:rsidRPr="008E7B61">
        <w:rPr>
          <w:i/>
        </w:rPr>
        <w:t>fmo1,</w:t>
      </w:r>
      <w:r w:rsidR="00720642" w:rsidRPr="008E7B61">
        <w:t xml:space="preserve"> quantification of oomycete spores yielded about 2 times more spores than in Col-0 in 1° mock infiltrated leaves and no reduction in spore number in 1° </w:t>
      </w:r>
      <w:r w:rsidR="00720642" w:rsidRPr="008E7B61">
        <w:rPr>
          <w:i/>
        </w:rPr>
        <w:t>Psm</w:t>
      </w:r>
      <w:r w:rsidR="00720642" w:rsidRPr="008E7B61">
        <w:t xml:space="preserve"> inoculated leaves (Figure 43 A). Microscopy analysis of </w:t>
      </w:r>
      <w:r w:rsidR="00720642">
        <w:rPr>
          <w:i/>
        </w:rPr>
        <w:t>Hpa</w:t>
      </w:r>
      <w:r w:rsidR="00720642" w:rsidRPr="008E7B61">
        <w:t xml:space="preserve">-infected </w:t>
      </w:r>
      <w:r w:rsidR="00720642" w:rsidRPr="008E7B61">
        <w:rPr>
          <w:i/>
        </w:rPr>
        <w:t>sid2</w:t>
      </w:r>
      <w:r w:rsidR="00720642" w:rsidRPr="008E7B61">
        <w:t xml:space="preserve"> 1° mock- and </w:t>
      </w:r>
      <w:r w:rsidR="00720642" w:rsidRPr="008E7B61">
        <w:rPr>
          <w:i/>
        </w:rPr>
        <w:t>Psm</w:t>
      </w:r>
      <w:r w:rsidR="00720642" w:rsidRPr="008E7B61">
        <w:t xml:space="preserve">-treated plants showed leaves covered densely in conidiophores and a large area </w:t>
      </w:r>
      <w:r w:rsidR="00720642">
        <w:t>traversed by hyphae (Figure 42 D). Q</w:t>
      </w:r>
      <w:r w:rsidR="00720642" w:rsidRPr="008E7B61">
        <w:t xml:space="preserve">uantification of spores </w:t>
      </w:r>
      <w:r w:rsidR="00720642">
        <w:t>gave similar results as for</w:t>
      </w:r>
      <w:r w:rsidR="00720642" w:rsidRPr="008E7B61">
        <w:t xml:space="preserve"> </w:t>
      </w:r>
      <w:r w:rsidR="00720642" w:rsidRPr="008E7B61">
        <w:rPr>
          <w:i/>
        </w:rPr>
        <w:t>fmo1</w:t>
      </w:r>
      <w:r w:rsidR="00720642" w:rsidRPr="008E7B61">
        <w:t xml:space="preserve"> (Figure 43 A).</w:t>
      </w:r>
      <w:r w:rsidR="00720642">
        <w:t xml:space="preserve"> </w:t>
      </w:r>
      <w:r w:rsidR="006F01B3" w:rsidRPr="008E7B61">
        <w:t xml:space="preserve">The </w:t>
      </w:r>
      <w:r w:rsidR="006F01B3" w:rsidRPr="008E7B61">
        <w:rPr>
          <w:i/>
        </w:rPr>
        <w:t>sid2 ald1</w:t>
      </w:r>
      <w:r w:rsidR="006F01B3" w:rsidRPr="008E7B61">
        <w:t xml:space="preserve"> double mutant also showed </w:t>
      </w:r>
      <w:r w:rsidR="00720642">
        <w:t>a high amount of spores in mock-</w:t>
      </w:r>
      <w:r w:rsidR="006F01B3" w:rsidRPr="008E7B61">
        <w:t>infiltrated leaves (ca 300 x 10</w:t>
      </w:r>
      <w:r w:rsidR="006F01B3" w:rsidRPr="008E7B61">
        <w:rPr>
          <w:vertAlign w:val="superscript"/>
        </w:rPr>
        <w:t>4</w:t>
      </w:r>
      <w:r w:rsidR="006F01B3" w:rsidRPr="008E7B61">
        <w:t xml:space="preserve"> spores g</w:t>
      </w:r>
      <w:r w:rsidR="006F01B3" w:rsidRPr="008E7B61">
        <w:rPr>
          <w:vertAlign w:val="superscript"/>
        </w:rPr>
        <w:t>-1</w:t>
      </w:r>
      <w:r w:rsidR="006F01B3" w:rsidRPr="008E7B61">
        <w:t xml:space="preserve"> FW) and no SAR response in 1° </w:t>
      </w:r>
      <w:r w:rsidR="006F01B3" w:rsidRPr="008E7B61">
        <w:rPr>
          <w:i/>
        </w:rPr>
        <w:t>Psm</w:t>
      </w:r>
      <w:r w:rsidR="006F01B3" w:rsidRPr="008E7B61">
        <w:t xml:space="preserve">-treated plants (Figure 43 A). In addition to representative microscopy images shown in Figure 42, a disease rating was performed. Figure 43 B shows a reduction of disease severity in 1° </w:t>
      </w:r>
      <w:r w:rsidR="006F01B3" w:rsidRPr="008E7B61">
        <w:rPr>
          <w:i/>
        </w:rPr>
        <w:t>Psm</w:t>
      </w:r>
      <w:r w:rsidR="006F01B3" w:rsidRPr="008E7B61">
        <w:t xml:space="preserve">-treated Col-0 plants compared to 1° mock-treated plants, which shows the SAR response of Col-0. There was no SAR effect discernable for </w:t>
      </w:r>
      <w:r w:rsidR="006F01B3" w:rsidRPr="008E7B61">
        <w:rPr>
          <w:i/>
        </w:rPr>
        <w:t>ald1</w:t>
      </w:r>
      <w:r w:rsidR="006F01B3" w:rsidRPr="008E7B61">
        <w:t xml:space="preserve">, but </w:t>
      </w:r>
      <w:r w:rsidR="006F01B3" w:rsidRPr="008E7B61">
        <w:rPr>
          <w:i/>
        </w:rPr>
        <w:t>fmo1</w:t>
      </w:r>
      <w:r w:rsidR="006F01B3" w:rsidRPr="008E7B61">
        <w:t xml:space="preserve"> and </w:t>
      </w:r>
      <w:r w:rsidR="006F01B3" w:rsidRPr="008E7B61">
        <w:rPr>
          <w:i/>
        </w:rPr>
        <w:t>sid2</w:t>
      </w:r>
      <w:r w:rsidR="006F01B3" w:rsidRPr="008E7B61">
        <w:t xml:space="preserve"> showed a slight induction of SAR in this experiment. These results show that </w:t>
      </w:r>
      <w:r>
        <w:t>Pip-</w:t>
      </w:r>
      <w:r w:rsidR="006F01B3" w:rsidRPr="008E7B61">
        <w:t xml:space="preserve">accumulation and its processing by </w:t>
      </w:r>
      <w:r w:rsidR="006F01B3" w:rsidRPr="008E7B61">
        <w:rPr>
          <w:i/>
        </w:rPr>
        <w:t>FMO1</w:t>
      </w:r>
      <w:r w:rsidR="00BA1598">
        <w:t>, as well as an increase in</w:t>
      </w:r>
      <w:r w:rsidR="006F01B3" w:rsidRPr="008E7B61">
        <w:t xml:space="preserve"> </w:t>
      </w:r>
      <w:r w:rsidR="00720642">
        <w:t>SA</w:t>
      </w:r>
      <w:r w:rsidR="00BA1598">
        <w:t xml:space="preserve"> levels</w:t>
      </w:r>
      <w:r w:rsidR="006F01B3" w:rsidRPr="008E7B61">
        <w:t xml:space="preserve"> in systemic leaves upon infection with the bacterium </w:t>
      </w:r>
      <w:r w:rsidR="00DE08FD">
        <w:rPr>
          <w:i/>
        </w:rPr>
        <w:t>Psm</w:t>
      </w:r>
      <w:r w:rsidR="006F01B3" w:rsidRPr="008E7B61">
        <w:t xml:space="preserve"> is crucial for </w:t>
      </w:r>
      <w:r w:rsidR="00DE08FD">
        <w:t>SAR</w:t>
      </w:r>
      <w:r w:rsidR="006F01B3" w:rsidRPr="008E7B61">
        <w:t xml:space="preserve"> against </w:t>
      </w:r>
      <w:r w:rsidR="00DE08FD">
        <w:rPr>
          <w:i/>
        </w:rPr>
        <w:t xml:space="preserve">Hpa </w:t>
      </w:r>
      <w:r w:rsidR="00DE08FD">
        <w:t>Noco2</w:t>
      </w:r>
      <w:r w:rsidR="006F01B3" w:rsidRPr="008E7B61">
        <w:t>.</w:t>
      </w:r>
    </w:p>
    <w:p w:rsidR="006F01B3" w:rsidRDefault="006F01B3" w:rsidP="006F01B3">
      <w:pPr>
        <w:keepNext/>
        <w:spacing w:after="0" w:line="360" w:lineRule="auto"/>
        <w:jc w:val="both"/>
      </w:pPr>
    </w:p>
    <w:p w:rsidR="006F01B3" w:rsidRPr="006F01B3" w:rsidRDefault="006F01B3" w:rsidP="006F01B3">
      <w:pPr>
        <w:sectPr w:rsidR="006F01B3" w:rsidRPr="006F01B3" w:rsidSect="00B517AA">
          <w:headerReference w:type="default" r:id="rId80"/>
          <w:type w:val="continuous"/>
          <w:pgSz w:w="11906" w:h="16838"/>
          <w:pgMar w:top="1417" w:right="1417" w:bottom="1134" w:left="1417" w:header="708" w:footer="708" w:gutter="0"/>
          <w:cols w:space="708"/>
          <w:titlePg/>
          <w:docGrid w:linePitch="360"/>
        </w:sectPr>
      </w:pPr>
    </w:p>
    <w:p w:rsidR="004A1292" w:rsidRDefault="00563EC1" w:rsidP="0060657C">
      <w:pPr>
        <w:pStyle w:val="berschrift2"/>
        <w:spacing w:after="240"/>
        <w:jc w:val="both"/>
        <w:rPr>
          <w:color w:val="000000" w:themeColor="text1"/>
        </w:rPr>
      </w:pPr>
      <w:bookmarkStart w:id="96" w:name="_Toc435621246"/>
      <w:r w:rsidRPr="00F01D56">
        <w:rPr>
          <w:color w:val="000000" w:themeColor="text1"/>
        </w:rPr>
        <w:lastRenderedPageBreak/>
        <w:t xml:space="preserve">6.10 </w:t>
      </w:r>
      <w:r w:rsidR="004A1292" w:rsidRPr="00F01D56">
        <w:rPr>
          <w:color w:val="000000" w:themeColor="text1"/>
        </w:rPr>
        <w:t xml:space="preserve">The metabolic profile of </w:t>
      </w:r>
      <w:r w:rsidR="004A1292" w:rsidRPr="00691F34">
        <w:rPr>
          <w:i/>
          <w:color w:val="000000" w:themeColor="text1"/>
        </w:rPr>
        <w:t>Arabidopsis</w:t>
      </w:r>
      <w:r w:rsidR="004A1292" w:rsidRPr="00F01D56">
        <w:rPr>
          <w:color w:val="000000" w:themeColor="text1"/>
        </w:rPr>
        <w:t xml:space="preserve"> plants infected with the</w:t>
      </w:r>
      <w:r w:rsidR="004A1292" w:rsidRPr="004A1292">
        <w:rPr>
          <w:color w:val="000000" w:themeColor="text1"/>
        </w:rPr>
        <w:t xml:space="preserve"> avirulent </w:t>
      </w:r>
      <w:r w:rsidR="002D7710">
        <w:rPr>
          <w:i/>
          <w:color w:val="000000" w:themeColor="text1"/>
        </w:rPr>
        <w:t>Hpa</w:t>
      </w:r>
      <w:r w:rsidR="004A1292" w:rsidRPr="004A1292">
        <w:rPr>
          <w:color w:val="000000" w:themeColor="text1"/>
        </w:rPr>
        <w:t xml:space="preserve"> isolate Cala2 differs from plants infected with the virulent </w:t>
      </w:r>
      <w:r w:rsidR="002D7710">
        <w:rPr>
          <w:i/>
          <w:color w:val="000000" w:themeColor="text1"/>
        </w:rPr>
        <w:t>Hpa</w:t>
      </w:r>
      <w:r w:rsidR="004A1292" w:rsidRPr="004A1292">
        <w:rPr>
          <w:color w:val="000000" w:themeColor="text1"/>
        </w:rPr>
        <w:t xml:space="preserve"> isolate Noco2</w:t>
      </w:r>
      <w:bookmarkEnd w:id="96"/>
    </w:p>
    <w:p w:rsidR="00793B53" w:rsidRDefault="002772C5" w:rsidP="00793B53">
      <w:pPr>
        <w:spacing w:after="0" w:line="360" w:lineRule="auto"/>
        <w:jc w:val="both"/>
      </w:pPr>
      <w:r>
        <w:t xml:space="preserve">In addition to the interaction of </w:t>
      </w:r>
      <w:r w:rsidRPr="002772C5">
        <w:rPr>
          <w:i/>
        </w:rPr>
        <w:t>A</w:t>
      </w:r>
      <w:r w:rsidR="002D7710">
        <w:rPr>
          <w:i/>
        </w:rPr>
        <w:t>.</w:t>
      </w:r>
      <w:r w:rsidRPr="002772C5">
        <w:rPr>
          <w:i/>
        </w:rPr>
        <w:t xml:space="preserve"> thaliana</w:t>
      </w:r>
      <w:r>
        <w:t xml:space="preserve"> w</w:t>
      </w:r>
      <w:r w:rsidR="002D7710">
        <w:t xml:space="preserve">ith the virulent </w:t>
      </w:r>
      <w:r w:rsidR="002D7710" w:rsidRPr="002D7710">
        <w:rPr>
          <w:i/>
        </w:rPr>
        <w:t>Hpa</w:t>
      </w:r>
      <w:r w:rsidR="002D7710">
        <w:t xml:space="preserve"> Noco2 strain</w:t>
      </w:r>
      <w:r>
        <w:t xml:space="preserve">, the </w:t>
      </w:r>
      <w:r w:rsidR="002D7710" w:rsidRPr="002D7710">
        <w:rPr>
          <w:i/>
        </w:rPr>
        <w:t>Hpa</w:t>
      </w:r>
      <w:r w:rsidR="002D7710">
        <w:t xml:space="preserve"> isolate</w:t>
      </w:r>
      <w:r>
        <w:t xml:space="preserve"> Cala2 was used, which is avirulent to Col-0 and virulent to Ler-0 that served as a positive control. </w:t>
      </w:r>
      <w:r w:rsidR="004A1292" w:rsidRPr="00FD65FA">
        <w:t xml:space="preserve">Infection of Col-0 with the avirulent </w:t>
      </w:r>
      <w:r w:rsidR="002D7710">
        <w:rPr>
          <w:i/>
        </w:rPr>
        <w:t>Hpa</w:t>
      </w:r>
      <w:r w:rsidR="004A1292" w:rsidRPr="00FD65FA">
        <w:t xml:space="preserve"> Cala2 led to accumulation of slightly less free SA</w:t>
      </w:r>
      <w:r w:rsidR="004A1292">
        <w:t xml:space="preserve"> than with the virulent isolate,</w:t>
      </w:r>
      <w:r w:rsidR="004A1292" w:rsidRPr="00FD65FA">
        <w:t xml:space="preserve"> </w:t>
      </w:r>
      <w:r w:rsidR="00366607">
        <w:t>from basal levels of 0.05 µg g</w:t>
      </w:r>
      <w:r w:rsidR="00366607" w:rsidRPr="00366607">
        <w:rPr>
          <w:vertAlign w:val="superscript"/>
        </w:rPr>
        <w:t>-1</w:t>
      </w:r>
      <w:r w:rsidR="00366607">
        <w:t xml:space="preserve"> FW to</w:t>
      </w:r>
      <w:r w:rsidR="004A1292" w:rsidRPr="00FD65FA">
        <w:t xml:space="preserve"> approximately 0.3 µg g</w:t>
      </w:r>
      <w:r w:rsidR="004A1292" w:rsidRPr="00FD65FA">
        <w:rPr>
          <w:vertAlign w:val="superscript"/>
        </w:rPr>
        <w:t>-1</w:t>
      </w:r>
      <w:r w:rsidR="004A1292" w:rsidRPr="00FD65FA">
        <w:t xml:space="preserve"> FW</w:t>
      </w:r>
      <w:r w:rsidR="00192B77">
        <w:t xml:space="preserve"> in infected leaves</w:t>
      </w:r>
      <w:r>
        <w:t xml:space="preserve"> (Figure 38 A)</w:t>
      </w:r>
      <w:r w:rsidR="004A1292" w:rsidRPr="00FD65FA">
        <w:t>.</w:t>
      </w:r>
      <w:r w:rsidR="004A1292" w:rsidRPr="004A1292">
        <w:t xml:space="preserve"> </w:t>
      </w:r>
      <w:r>
        <w:t>T</w:t>
      </w:r>
      <w:r w:rsidR="004A1292" w:rsidRPr="00FD65FA">
        <w:t xml:space="preserve">he mutant lines </w:t>
      </w:r>
      <w:r w:rsidR="004A1292" w:rsidRPr="00FD65FA">
        <w:rPr>
          <w:i/>
        </w:rPr>
        <w:t>ald1</w:t>
      </w:r>
      <w:r w:rsidR="004A1292" w:rsidRPr="00FD65FA">
        <w:t xml:space="preserve"> and </w:t>
      </w:r>
      <w:r w:rsidR="004A1292" w:rsidRPr="00FD65FA">
        <w:rPr>
          <w:i/>
        </w:rPr>
        <w:t>fmo1</w:t>
      </w:r>
      <w:r>
        <w:t xml:space="preserve"> </w:t>
      </w:r>
      <w:r w:rsidR="00366607">
        <w:t xml:space="preserve">exhibited basal </w:t>
      </w:r>
      <w:r w:rsidR="00192B77">
        <w:t>free SA-</w:t>
      </w:r>
      <w:r w:rsidR="00366607">
        <w:t>levels</w:t>
      </w:r>
      <w:r w:rsidR="00192B77">
        <w:t xml:space="preserve"> similar to</w:t>
      </w:r>
      <w:r w:rsidR="002B02FB">
        <w:t xml:space="preserve"> Col-0</w:t>
      </w:r>
      <w:r w:rsidR="00366607">
        <w:t xml:space="preserve">, but </w:t>
      </w:r>
      <w:r>
        <w:t xml:space="preserve">accumulated lower </w:t>
      </w:r>
      <w:r w:rsidR="00192B77">
        <w:t xml:space="preserve">amounts of free SA in </w:t>
      </w:r>
      <w:r w:rsidR="00192B77" w:rsidRPr="00192B77">
        <w:rPr>
          <w:i/>
        </w:rPr>
        <w:t>Hpa</w:t>
      </w:r>
      <w:r w:rsidR="00192B77">
        <w:t>-infected leaves</w:t>
      </w:r>
      <w:r>
        <w:t>, with 0.15 µg g</w:t>
      </w:r>
      <w:r w:rsidRPr="002772C5">
        <w:rPr>
          <w:vertAlign w:val="superscript"/>
        </w:rPr>
        <w:t>-1</w:t>
      </w:r>
      <w:r>
        <w:t xml:space="preserve"> FW in </w:t>
      </w:r>
      <w:r w:rsidRPr="002772C5">
        <w:rPr>
          <w:i/>
        </w:rPr>
        <w:t>ald1</w:t>
      </w:r>
      <w:r>
        <w:t xml:space="preserve"> and 0.16 µg g</w:t>
      </w:r>
      <w:r w:rsidRPr="002772C5">
        <w:rPr>
          <w:vertAlign w:val="superscript"/>
        </w:rPr>
        <w:t>-1</w:t>
      </w:r>
      <w:r>
        <w:t xml:space="preserve"> FW in </w:t>
      </w:r>
      <w:r w:rsidRPr="002772C5">
        <w:rPr>
          <w:i/>
        </w:rPr>
        <w:t>fmo1</w:t>
      </w:r>
      <w:r>
        <w:t xml:space="preserve">, respectively (Figure </w:t>
      </w:r>
      <w:r>
        <w:lastRenderedPageBreak/>
        <w:t>38</w:t>
      </w:r>
      <w:r w:rsidR="004A1292">
        <w:t xml:space="preserve"> </w:t>
      </w:r>
      <w:r w:rsidR="004A1292" w:rsidRPr="00FD65FA">
        <w:t>A).</w:t>
      </w:r>
      <w:r w:rsidR="004A1292" w:rsidRPr="004A1292">
        <w:t xml:space="preserve"> </w:t>
      </w:r>
      <w:r w:rsidR="004A1292" w:rsidRPr="00DE40AC">
        <w:t>A comparatively s</w:t>
      </w:r>
      <w:r w:rsidR="002B02FB">
        <w:t>trong increase in free SA</w:t>
      </w:r>
      <w:r>
        <w:t xml:space="preserve"> from basal levels </w:t>
      </w:r>
      <w:proofErr w:type="gramStart"/>
      <w:r>
        <w:t>of 0.1 µg g</w:t>
      </w:r>
      <w:r w:rsidRPr="002772C5">
        <w:rPr>
          <w:vertAlign w:val="superscript"/>
        </w:rPr>
        <w:t>-1</w:t>
      </w:r>
      <w:r>
        <w:t xml:space="preserve"> FW</w:t>
      </w:r>
      <w:proofErr w:type="gramEnd"/>
      <w:r w:rsidR="004A1292" w:rsidRPr="00DE40AC">
        <w:t xml:space="preserve"> to almost 1 µg g</w:t>
      </w:r>
      <w:r w:rsidR="004A1292" w:rsidRPr="00DE40AC">
        <w:rPr>
          <w:vertAlign w:val="superscript"/>
        </w:rPr>
        <w:t>-1</w:t>
      </w:r>
      <w:r w:rsidR="004A1292" w:rsidRPr="00DE40AC">
        <w:t xml:space="preserve"> FW was observed in</w:t>
      </w:r>
      <w:r>
        <w:t xml:space="preserve"> the virulent interaction between</w:t>
      </w:r>
      <w:r w:rsidR="004A1292" w:rsidRPr="00DE40AC">
        <w:t xml:space="preserve"> </w:t>
      </w:r>
      <w:r w:rsidR="004A1292" w:rsidRPr="00DE40AC">
        <w:rPr>
          <w:i/>
        </w:rPr>
        <w:t>A</w:t>
      </w:r>
      <w:r w:rsidR="002D7710">
        <w:rPr>
          <w:i/>
        </w:rPr>
        <w:t>.</w:t>
      </w:r>
      <w:r w:rsidR="004A1292" w:rsidRPr="00DE40AC">
        <w:rPr>
          <w:i/>
        </w:rPr>
        <w:t xml:space="preserve"> thaliana</w:t>
      </w:r>
      <w:r w:rsidR="004A1292" w:rsidRPr="00DE40AC">
        <w:t xml:space="preserve"> ecotype Ler-0 </w:t>
      </w:r>
      <w:r>
        <w:t>and</w:t>
      </w:r>
      <w:r w:rsidR="004A1292" w:rsidRPr="00DE40AC">
        <w:t xml:space="preserve"> </w:t>
      </w:r>
      <w:r w:rsidR="002D7710">
        <w:rPr>
          <w:i/>
        </w:rPr>
        <w:t>Hpa</w:t>
      </w:r>
      <w:r>
        <w:t xml:space="preserve"> Cala2</w:t>
      </w:r>
      <w:r w:rsidR="004A1292" w:rsidRPr="00DE40AC">
        <w:t>.</w:t>
      </w:r>
      <w:r w:rsidR="004A1292" w:rsidRPr="004A1292">
        <w:t xml:space="preserve"> </w:t>
      </w:r>
      <w:r w:rsidR="004A1292" w:rsidRPr="00DE40AC">
        <w:t xml:space="preserve">The SA-biosynthesis impaired mutant </w:t>
      </w:r>
      <w:r w:rsidR="004A1292" w:rsidRPr="00DE40AC">
        <w:rPr>
          <w:i/>
        </w:rPr>
        <w:t>sid2</w:t>
      </w:r>
      <w:r w:rsidR="004A1292" w:rsidRPr="00DE40AC">
        <w:t xml:space="preserve"> and the </w:t>
      </w:r>
      <w:r w:rsidR="004A1292" w:rsidRPr="00DE40AC">
        <w:rPr>
          <w:i/>
        </w:rPr>
        <w:t>sid2 ald1</w:t>
      </w:r>
      <w:r w:rsidR="004A1292" w:rsidRPr="00DE40AC">
        <w:t xml:space="preserve"> double mutant did not ac</w:t>
      </w:r>
      <w:r>
        <w:t>cumulate free SA after infection with the avirulent oomycete</w:t>
      </w:r>
      <w:r w:rsidR="004A1292" w:rsidRPr="00DE40AC">
        <w:t>.</w:t>
      </w:r>
      <w:r w:rsidR="004A1292" w:rsidRPr="004A1292">
        <w:t xml:space="preserve"> </w:t>
      </w:r>
      <w:r w:rsidR="002D7710">
        <w:rPr>
          <w:i/>
        </w:rPr>
        <w:t>Hpa</w:t>
      </w:r>
      <w:r w:rsidR="00EB49FE">
        <w:t xml:space="preserve"> </w:t>
      </w:r>
      <w:r w:rsidR="002D7710">
        <w:t>Cala2-</w:t>
      </w:r>
      <w:r w:rsidR="00EB49FE">
        <w:t>infection</w:t>
      </w:r>
      <w:r w:rsidR="004A1292" w:rsidRPr="00DE40AC">
        <w:t xml:space="preserve"> elicited weaker accumulation of </w:t>
      </w:r>
      <w:r w:rsidR="00EB49FE">
        <w:t xml:space="preserve">the phytoalexin </w:t>
      </w:r>
      <w:r w:rsidR="004A1292" w:rsidRPr="00DE40AC">
        <w:t>cam</w:t>
      </w:r>
      <w:r w:rsidR="004A1292">
        <w:t>alexin</w:t>
      </w:r>
      <w:r w:rsidR="004A1292" w:rsidRPr="00DE40AC">
        <w:t xml:space="preserve"> in </w:t>
      </w:r>
      <w:r w:rsidR="004A1292" w:rsidRPr="004F4985">
        <w:t>Col-0</w:t>
      </w:r>
      <w:r w:rsidR="004A1292" w:rsidRPr="00DE40AC">
        <w:rPr>
          <w:i/>
        </w:rPr>
        <w:t>, ald1</w:t>
      </w:r>
      <w:r w:rsidR="004A1292" w:rsidRPr="00DE40AC">
        <w:t xml:space="preserve">, and </w:t>
      </w:r>
      <w:r w:rsidR="004A1292" w:rsidRPr="00DE40AC">
        <w:rPr>
          <w:i/>
        </w:rPr>
        <w:t>fmo1</w:t>
      </w:r>
      <w:r w:rsidR="00F01D56">
        <w:t xml:space="preserve"> than observed with the virulent isolate Noco2</w:t>
      </w:r>
      <w:r w:rsidR="004A1292" w:rsidRPr="00DE40AC">
        <w:t xml:space="preserve">. </w:t>
      </w:r>
      <w:r w:rsidR="004F4985">
        <w:t xml:space="preserve">Basal levels </w:t>
      </w:r>
      <w:proofErr w:type="gramStart"/>
      <w:r w:rsidR="004F4985">
        <w:t>of 0.01 µg g</w:t>
      </w:r>
      <w:r w:rsidR="004F4985" w:rsidRPr="004F4985">
        <w:rPr>
          <w:vertAlign w:val="superscript"/>
        </w:rPr>
        <w:t>-1</w:t>
      </w:r>
      <w:r w:rsidR="004F4985">
        <w:t xml:space="preserve"> FW</w:t>
      </w:r>
      <w:proofErr w:type="gramEnd"/>
      <w:r w:rsidR="004F4985">
        <w:t xml:space="preserve"> were detected for camalexin in these three plant lines and levels increased to 0.6 µg g</w:t>
      </w:r>
      <w:r w:rsidR="004F4985" w:rsidRPr="004F4985">
        <w:rPr>
          <w:vertAlign w:val="superscript"/>
        </w:rPr>
        <w:t>-1</w:t>
      </w:r>
      <w:r w:rsidR="004F4985">
        <w:t xml:space="preserve"> FW in Col-0 and </w:t>
      </w:r>
      <w:r w:rsidR="004F4985" w:rsidRPr="004F4985">
        <w:rPr>
          <w:i/>
        </w:rPr>
        <w:t>ald1</w:t>
      </w:r>
      <w:r w:rsidR="004F4985">
        <w:t>, and to 0.9 µg g</w:t>
      </w:r>
      <w:r w:rsidR="004F4985" w:rsidRPr="004F4985">
        <w:rPr>
          <w:vertAlign w:val="superscript"/>
        </w:rPr>
        <w:t>-1</w:t>
      </w:r>
      <w:r w:rsidR="004F4985">
        <w:t xml:space="preserve"> FW in </w:t>
      </w:r>
      <w:r w:rsidR="004F4985" w:rsidRPr="004F4985">
        <w:rPr>
          <w:i/>
        </w:rPr>
        <w:t>fmo1</w:t>
      </w:r>
      <w:r w:rsidR="004F4985">
        <w:t>, respectively (Figure 38 B).</w:t>
      </w:r>
      <w:r w:rsidR="00EB49FE">
        <w:t xml:space="preserve"> </w:t>
      </w:r>
      <w:r w:rsidR="004A1292" w:rsidRPr="00DE40AC">
        <w:t xml:space="preserve">In </w:t>
      </w:r>
      <w:r w:rsidR="004A1292">
        <w:rPr>
          <w:i/>
        </w:rPr>
        <w:t>sid2</w:t>
      </w:r>
      <w:r w:rsidR="004A1292">
        <w:t xml:space="preserve"> and </w:t>
      </w:r>
      <w:r w:rsidR="004A1292">
        <w:rPr>
          <w:i/>
        </w:rPr>
        <w:t>sid2 ald1</w:t>
      </w:r>
      <w:r w:rsidR="004A1292" w:rsidRPr="00DE40AC">
        <w:t xml:space="preserve"> on the</w:t>
      </w:r>
      <w:r w:rsidR="004A1292">
        <w:t xml:space="preserve"> other hand, camalexin</w:t>
      </w:r>
      <w:r w:rsidR="004F4985">
        <w:t xml:space="preserve"> levels</w:t>
      </w:r>
      <w:r w:rsidR="004A1292">
        <w:t xml:space="preserve"> increased</w:t>
      </w:r>
      <w:r w:rsidR="004A1292" w:rsidRPr="00DE40AC">
        <w:t xml:space="preserve"> </w:t>
      </w:r>
      <w:r w:rsidR="004F4985">
        <w:t>from 0.02 µg g</w:t>
      </w:r>
      <w:r w:rsidR="004F4985" w:rsidRPr="004F4985">
        <w:rPr>
          <w:vertAlign w:val="superscript"/>
        </w:rPr>
        <w:t>-1</w:t>
      </w:r>
      <w:r w:rsidR="002B02FB">
        <w:t xml:space="preserve"> FW in non-infected</w:t>
      </w:r>
      <w:r w:rsidR="004F4985">
        <w:t xml:space="preserve"> to</w:t>
      </w:r>
      <w:r w:rsidR="002B02FB">
        <w:t xml:space="preserve"> respective</w:t>
      </w:r>
      <w:r w:rsidR="004F4985">
        <w:t xml:space="preserve"> 4</w:t>
      </w:r>
      <w:r w:rsidR="004A1292" w:rsidRPr="00DE40AC">
        <w:t xml:space="preserve"> µg g</w:t>
      </w:r>
      <w:r w:rsidR="004A1292" w:rsidRPr="00DE40AC">
        <w:rPr>
          <w:vertAlign w:val="superscript"/>
        </w:rPr>
        <w:t>-1</w:t>
      </w:r>
      <w:r w:rsidR="004A1292" w:rsidRPr="00DE40AC">
        <w:t xml:space="preserve"> FW</w:t>
      </w:r>
      <w:r w:rsidR="004F4985">
        <w:t xml:space="preserve"> in </w:t>
      </w:r>
      <w:r w:rsidR="004F4985" w:rsidRPr="004F4985">
        <w:rPr>
          <w:i/>
        </w:rPr>
        <w:t>sid2</w:t>
      </w:r>
      <w:r w:rsidR="004F4985">
        <w:t xml:space="preserve"> and 6 µg g</w:t>
      </w:r>
      <w:r w:rsidR="004F4985" w:rsidRPr="004F4985">
        <w:rPr>
          <w:vertAlign w:val="superscript"/>
        </w:rPr>
        <w:t>-1</w:t>
      </w:r>
      <w:r w:rsidR="004F4985">
        <w:t xml:space="preserve"> FW in </w:t>
      </w:r>
      <w:r w:rsidR="004F4985" w:rsidRPr="004F4985">
        <w:rPr>
          <w:i/>
        </w:rPr>
        <w:t>sid2 ald1</w:t>
      </w:r>
      <w:r w:rsidR="004F4985">
        <w:t xml:space="preserve"> in </w:t>
      </w:r>
      <w:r w:rsidR="002D7710" w:rsidRPr="002D7710">
        <w:rPr>
          <w:i/>
        </w:rPr>
        <w:t>Hpa</w:t>
      </w:r>
      <w:r w:rsidR="00F01D56">
        <w:t xml:space="preserve"> Cala2-</w:t>
      </w:r>
      <w:r w:rsidR="004F4985">
        <w:t>i</w:t>
      </w:r>
      <w:r w:rsidR="002B02FB">
        <w:t>nfected leaves</w:t>
      </w:r>
      <w:r w:rsidR="000E49B0">
        <w:t xml:space="preserve"> (Figure 38</w:t>
      </w:r>
      <w:r w:rsidR="004A1292">
        <w:t xml:space="preserve"> </w:t>
      </w:r>
      <w:r w:rsidR="004A1292" w:rsidRPr="00DE40AC">
        <w:t>B).</w:t>
      </w:r>
      <w:r w:rsidR="004F4985">
        <w:t xml:space="preserve"> Similar to free </w:t>
      </w:r>
      <w:r w:rsidR="00E946F8">
        <w:t>SA</w:t>
      </w:r>
      <w:r w:rsidR="004F4985">
        <w:t xml:space="preserve">, the </w:t>
      </w:r>
      <w:r w:rsidR="004F4985" w:rsidRPr="00F01D56">
        <w:rPr>
          <w:i/>
        </w:rPr>
        <w:t>Arabidopsis</w:t>
      </w:r>
      <w:r w:rsidR="004F4985">
        <w:t xml:space="preserve"> ecotype Ler-0 showed elevated basal levels for camalexin of 0.2 µg g</w:t>
      </w:r>
      <w:r w:rsidR="004F4985" w:rsidRPr="004F4985">
        <w:rPr>
          <w:vertAlign w:val="superscript"/>
        </w:rPr>
        <w:t>-1</w:t>
      </w:r>
      <w:r w:rsidR="004F4985">
        <w:t xml:space="preserve"> FW that increased to 3 µg g</w:t>
      </w:r>
      <w:r w:rsidR="004F4985" w:rsidRPr="004F4985">
        <w:rPr>
          <w:vertAlign w:val="superscript"/>
        </w:rPr>
        <w:t>-1</w:t>
      </w:r>
      <w:r w:rsidR="004F4985">
        <w:t xml:space="preserve"> FW after infection with </w:t>
      </w:r>
      <w:r w:rsidR="002D7710">
        <w:rPr>
          <w:i/>
        </w:rPr>
        <w:t>Hpa</w:t>
      </w:r>
      <w:r w:rsidR="004F4985">
        <w:t xml:space="preserve"> Cala2 (Figure 38 B).</w:t>
      </w:r>
      <w:r w:rsidR="00793B53" w:rsidRPr="00793B53">
        <w:t xml:space="preserve"> </w:t>
      </w:r>
      <w:r w:rsidR="002D7710">
        <w:t>ICA-a</w:t>
      </w:r>
      <w:r w:rsidR="004F4985">
        <w:t xml:space="preserve">nalysis </w:t>
      </w:r>
      <w:r w:rsidR="00793B53" w:rsidRPr="00DE40AC">
        <w:t>showed</w:t>
      </w:r>
      <w:r w:rsidR="004F4985">
        <w:t xml:space="preserve"> a comparably weak accumulation from 0.005-0.008 µg g</w:t>
      </w:r>
      <w:r w:rsidR="004F4985" w:rsidRPr="003E5D89">
        <w:rPr>
          <w:vertAlign w:val="superscript"/>
        </w:rPr>
        <w:t>-1</w:t>
      </w:r>
      <w:r w:rsidR="004F4985">
        <w:t xml:space="preserve"> FW in non-infected to 0.04 µg g</w:t>
      </w:r>
      <w:r w:rsidR="004F4985" w:rsidRPr="003E5D89">
        <w:rPr>
          <w:vertAlign w:val="superscript"/>
        </w:rPr>
        <w:t>-1</w:t>
      </w:r>
      <w:r w:rsidR="004F4985">
        <w:t xml:space="preserve"> FW in Col-0 and </w:t>
      </w:r>
      <w:r w:rsidR="004F4985" w:rsidRPr="003E5D89">
        <w:rPr>
          <w:i/>
        </w:rPr>
        <w:t>ald1</w:t>
      </w:r>
      <w:r w:rsidR="004F4985">
        <w:t xml:space="preserve"> and </w:t>
      </w:r>
      <w:r w:rsidR="003E5D89">
        <w:t xml:space="preserve">respective </w:t>
      </w:r>
      <w:r w:rsidR="004F4985">
        <w:t>0.07 µg g</w:t>
      </w:r>
      <w:r w:rsidR="004F4985" w:rsidRPr="003E5D89">
        <w:rPr>
          <w:vertAlign w:val="superscript"/>
        </w:rPr>
        <w:t>-1</w:t>
      </w:r>
      <w:r w:rsidR="004F4985">
        <w:t xml:space="preserve"> FW in </w:t>
      </w:r>
      <w:r w:rsidR="004F4985" w:rsidRPr="003E5D89">
        <w:rPr>
          <w:i/>
        </w:rPr>
        <w:t>fmo1</w:t>
      </w:r>
      <w:r w:rsidR="00793B53" w:rsidRPr="00DE40AC">
        <w:t xml:space="preserve"> </w:t>
      </w:r>
      <w:r w:rsidR="003E5D89">
        <w:t xml:space="preserve">in </w:t>
      </w:r>
      <w:r w:rsidR="002D7710">
        <w:rPr>
          <w:i/>
        </w:rPr>
        <w:t xml:space="preserve">Hpa </w:t>
      </w:r>
      <w:r w:rsidR="002D7710">
        <w:t>Cala2</w:t>
      </w:r>
      <w:r w:rsidR="002B02FB">
        <w:t>-infected leaves</w:t>
      </w:r>
      <w:r w:rsidR="003E5D89">
        <w:t xml:space="preserve"> (Figure 38 C). For the SA-deficient </w:t>
      </w:r>
      <w:r w:rsidR="003E5D89" w:rsidRPr="003E5D89">
        <w:rPr>
          <w:i/>
        </w:rPr>
        <w:t>sid2</w:t>
      </w:r>
      <w:r w:rsidR="003E5D89">
        <w:t xml:space="preserve"> and SA- and Pip-deficient </w:t>
      </w:r>
      <w:r w:rsidR="003E5D89" w:rsidRPr="003E5D89">
        <w:rPr>
          <w:i/>
        </w:rPr>
        <w:t>sid2 ald1</w:t>
      </w:r>
      <w:r w:rsidR="003E5D89">
        <w:t xml:space="preserve"> elevated basal levels of </w:t>
      </w:r>
      <w:r w:rsidR="00F01D56">
        <w:t xml:space="preserve">respective </w:t>
      </w:r>
      <w:r w:rsidR="003E5D89">
        <w:t>0.01 and 0.02 µg g</w:t>
      </w:r>
      <w:r w:rsidR="003E5D89" w:rsidRPr="003E5D89">
        <w:rPr>
          <w:vertAlign w:val="superscript"/>
        </w:rPr>
        <w:t>-1</w:t>
      </w:r>
      <w:r w:rsidR="003E5D89">
        <w:t xml:space="preserve"> FW were detected for ICA, which increased to 0.2 µg g</w:t>
      </w:r>
      <w:r w:rsidR="003E5D89" w:rsidRPr="003E5D89">
        <w:rPr>
          <w:vertAlign w:val="superscript"/>
        </w:rPr>
        <w:t>-1</w:t>
      </w:r>
      <w:r w:rsidR="003E5D89">
        <w:t xml:space="preserve"> FW in </w:t>
      </w:r>
      <w:r w:rsidR="003E5D89" w:rsidRPr="003E5D89">
        <w:rPr>
          <w:i/>
        </w:rPr>
        <w:t>sid2</w:t>
      </w:r>
      <w:r w:rsidR="003E5D89">
        <w:t xml:space="preserve"> and 0.3 µg g</w:t>
      </w:r>
      <w:r w:rsidR="003E5D89" w:rsidRPr="003E5D89">
        <w:rPr>
          <w:vertAlign w:val="superscript"/>
        </w:rPr>
        <w:t>-1</w:t>
      </w:r>
      <w:r w:rsidR="003E5D89">
        <w:t xml:space="preserve"> FW in </w:t>
      </w:r>
      <w:r w:rsidR="003E5D89" w:rsidRPr="003E5D89">
        <w:rPr>
          <w:i/>
        </w:rPr>
        <w:t>sid2 ald1</w:t>
      </w:r>
      <w:r w:rsidR="003E5D89">
        <w:t>, respectively (Figure 38 C).</w:t>
      </w:r>
      <w:r w:rsidR="00793B53" w:rsidRPr="00FD65FA">
        <w:t xml:space="preserve"> The highest</w:t>
      </w:r>
      <w:r w:rsidR="003E5D89">
        <w:t xml:space="preserve"> ICA-amount with</w:t>
      </w:r>
      <w:r w:rsidR="00793B53" w:rsidRPr="00FD65FA">
        <w:t xml:space="preserve"> 0.4 µg g</w:t>
      </w:r>
      <w:r w:rsidR="00793B53" w:rsidRPr="00FD65FA">
        <w:rPr>
          <w:vertAlign w:val="superscript"/>
        </w:rPr>
        <w:t>-1</w:t>
      </w:r>
      <w:r w:rsidR="00793B53" w:rsidRPr="00FD65FA">
        <w:t xml:space="preserve"> FW was detected in</w:t>
      </w:r>
      <w:r w:rsidR="003E5D89">
        <w:t xml:space="preserve"> </w:t>
      </w:r>
      <w:r w:rsidR="002D7710">
        <w:rPr>
          <w:i/>
        </w:rPr>
        <w:t>Hpa</w:t>
      </w:r>
      <w:r w:rsidR="00F01D56">
        <w:rPr>
          <w:i/>
        </w:rPr>
        <w:t xml:space="preserve"> </w:t>
      </w:r>
      <w:r w:rsidR="00F01D56" w:rsidRPr="00F01D56">
        <w:t>Cala2</w:t>
      </w:r>
      <w:r w:rsidR="003E5D89">
        <w:t>-infe</w:t>
      </w:r>
      <w:r w:rsidR="00F01D56">
        <w:t>cted leaves of Ler-0, which already</w:t>
      </w:r>
      <w:r w:rsidR="003E5D89">
        <w:t xml:space="preserve"> showed comparatively </w:t>
      </w:r>
      <w:r w:rsidR="003E5D89" w:rsidRPr="006F4C63">
        <w:t xml:space="preserve">high </w:t>
      </w:r>
      <w:r w:rsidR="002D7710">
        <w:t>ICA</w:t>
      </w:r>
      <w:r w:rsidR="00192B77">
        <w:t>-</w:t>
      </w:r>
      <w:r w:rsidR="003E5D89" w:rsidRPr="006F4C63">
        <w:t xml:space="preserve">levels </w:t>
      </w:r>
      <w:proofErr w:type="gramStart"/>
      <w:r w:rsidR="003E5D89" w:rsidRPr="006F4C63">
        <w:t>of 0.05 µg g</w:t>
      </w:r>
      <w:r w:rsidR="003E5D89" w:rsidRPr="006F4C63">
        <w:rPr>
          <w:vertAlign w:val="superscript"/>
        </w:rPr>
        <w:t>-1</w:t>
      </w:r>
      <w:r w:rsidR="003E5D89" w:rsidRPr="006F4C63">
        <w:t xml:space="preserve"> FW in non-infected leaves (Figure 38 C)</w:t>
      </w:r>
      <w:proofErr w:type="gramEnd"/>
      <w:r w:rsidR="00793B53" w:rsidRPr="006F4C63">
        <w:t xml:space="preserve">. </w:t>
      </w:r>
      <w:r w:rsidR="006F4C63" w:rsidRPr="006F4C63">
        <w:t>The unknown compound 28 (table 2)</w:t>
      </w:r>
      <w:r w:rsidR="006171CF">
        <w:t xml:space="preserve">, which increased almost tenfold in Col-0 plants infected with the virulent </w:t>
      </w:r>
      <w:r w:rsidR="002D7710">
        <w:rPr>
          <w:i/>
        </w:rPr>
        <w:t>Hpa</w:t>
      </w:r>
      <w:r w:rsidR="006171CF">
        <w:t xml:space="preserve"> Noco2,</w:t>
      </w:r>
      <w:r w:rsidR="006F4C63" w:rsidRPr="006F4C63">
        <w:t xml:space="preserve"> </w:t>
      </w:r>
      <w:r w:rsidR="006171CF">
        <w:t>did not accumulate</w:t>
      </w:r>
      <w:r w:rsidR="006F4C63">
        <w:t xml:space="preserve"> </w:t>
      </w:r>
      <w:r w:rsidR="00192B77">
        <w:t xml:space="preserve">in Col-0 </w:t>
      </w:r>
      <w:r w:rsidR="006F4C63">
        <w:t xml:space="preserve">upon infection with the avirulent oomycete (Figure 38 D). In </w:t>
      </w:r>
      <w:r w:rsidR="006F4C63" w:rsidRPr="006F4C63">
        <w:rPr>
          <w:i/>
        </w:rPr>
        <w:t>ald1</w:t>
      </w:r>
      <w:r w:rsidR="006F4C63">
        <w:t xml:space="preserve"> and </w:t>
      </w:r>
      <w:r w:rsidR="006F4C63" w:rsidRPr="006F4C63">
        <w:rPr>
          <w:i/>
        </w:rPr>
        <w:t>fmo1</w:t>
      </w:r>
      <w:r w:rsidR="006F4C63">
        <w:t xml:space="preserve"> a weak, approximately two-fold, increase of this substance was detected (Figure 38 D). In contrast to this, in </w:t>
      </w:r>
      <w:r w:rsidR="006F4C63" w:rsidRPr="006F4C63">
        <w:rPr>
          <w:i/>
        </w:rPr>
        <w:t>sid2</w:t>
      </w:r>
      <w:r w:rsidR="006F4C63">
        <w:t xml:space="preserve"> a four-fold increase and in </w:t>
      </w:r>
      <w:r w:rsidR="006F4C63" w:rsidRPr="006F4C63">
        <w:rPr>
          <w:i/>
        </w:rPr>
        <w:t>sid2 ald1</w:t>
      </w:r>
      <w:r w:rsidR="006F4C63">
        <w:t xml:space="preserve"> a 13-fold increase </w:t>
      </w:r>
      <w:r w:rsidR="002B02FB">
        <w:t>of this compound were quantified</w:t>
      </w:r>
      <w:r w:rsidR="006F4C63">
        <w:t xml:space="preserve"> in </w:t>
      </w:r>
      <w:r w:rsidR="004621C2">
        <w:rPr>
          <w:i/>
        </w:rPr>
        <w:t>Hpa</w:t>
      </w:r>
      <w:r w:rsidR="00F01D56">
        <w:t>-</w:t>
      </w:r>
      <w:r w:rsidR="006F4C63">
        <w:t xml:space="preserve">Cala2 infected leaves (Figure 38 D). This strong increase in levels of this substance was also observed in Ler-0, which is susceptible to </w:t>
      </w:r>
      <w:r w:rsidR="004621C2">
        <w:rPr>
          <w:i/>
        </w:rPr>
        <w:t>Hpa</w:t>
      </w:r>
      <w:r w:rsidR="006F4C63">
        <w:t xml:space="preserve"> Cala2 (Figure 38 D).</w:t>
      </w:r>
      <w:r w:rsidR="00E3004B" w:rsidRPr="006F4C63">
        <w:t xml:space="preserve"> </w:t>
      </w:r>
      <w:r w:rsidR="00E3004B">
        <w:t xml:space="preserve">Analysis of </w:t>
      </w:r>
      <w:r w:rsidR="004621C2">
        <w:t>Pip-</w:t>
      </w:r>
      <w:r w:rsidR="00E3004B">
        <w:t xml:space="preserve">accumulation upon infection with the avirulent </w:t>
      </w:r>
      <w:r w:rsidR="004621C2">
        <w:rPr>
          <w:i/>
        </w:rPr>
        <w:t>Hpa</w:t>
      </w:r>
      <w:r w:rsidR="00E3004B">
        <w:t xml:space="preserve"> Cala2 showed an increase in Pip-levels from approximately 1 µg g</w:t>
      </w:r>
      <w:r w:rsidR="00E3004B" w:rsidRPr="00E3004B">
        <w:rPr>
          <w:vertAlign w:val="superscript"/>
        </w:rPr>
        <w:t>-1</w:t>
      </w:r>
      <w:r w:rsidR="00E3004B">
        <w:t xml:space="preserve"> FW in non-infected to 5 µg g</w:t>
      </w:r>
      <w:r w:rsidR="00E3004B" w:rsidRPr="00E3004B">
        <w:rPr>
          <w:vertAlign w:val="superscript"/>
        </w:rPr>
        <w:t>-1</w:t>
      </w:r>
      <w:r w:rsidR="00E3004B">
        <w:t xml:space="preserve"> FW in infected leaves of Col-0 and </w:t>
      </w:r>
      <w:r w:rsidR="00E3004B" w:rsidRPr="00E3004B">
        <w:rPr>
          <w:i/>
        </w:rPr>
        <w:t>fmo1</w:t>
      </w:r>
      <w:r w:rsidR="00E3004B">
        <w:t xml:space="preserve"> (Fig</w:t>
      </w:r>
      <w:r w:rsidR="004621C2">
        <w:t>ure 38 E). The SA-</w:t>
      </w:r>
      <w:r w:rsidR="00E3004B">
        <w:t xml:space="preserve">biosynthesis impaired line </w:t>
      </w:r>
      <w:r w:rsidR="00E3004B" w:rsidRPr="009C2516">
        <w:rPr>
          <w:i/>
        </w:rPr>
        <w:t>sid2</w:t>
      </w:r>
      <w:r w:rsidR="000773A2">
        <w:t xml:space="preserve"> showed an even stronger</w:t>
      </w:r>
      <w:r w:rsidR="004621C2">
        <w:t xml:space="preserve"> increase in</w:t>
      </w:r>
      <w:r w:rsidR="00E3004B">
        <w:t xml:space="preserve"> </w:t>
      </w:r>
      <w:r w:rsidR="00192B77">
        <w:t>Pip-</w:t>
      </w:r>
      <w:r w:rsidR="004621C2">
        <w:t>levels</w:t>
      </w:r>
      <w:r w:rsidR="00E3004B">
        <w:t xml:space="preserve"> </w:t>
      </w:r>
      <w:r w:rsidR="009C2516">
        <w:t>from 1.6 µg g</w:t>
      </w:r>
      <w:r w:rsidR="009C2516" w:rsidRPr="009C2516">
        <w:rPr>
          <w:vertAlign w:val="superscript"/>
        </w:rPr>
        <w:t>-1</w:t>
      </w:r>
      <w:r w:rsidR="009C2516">
        <w:t xml:space="preserve"> FW in non-infected </w:t>
      </w:r>
      <w:r w:rsidR="00E3004B">
        <w:t>to 9 µg g</w:t>
      </w:r>
      <w:r w:rsidR="00E3004B" w:rsidRPr="009C2516">
        <w:rPr>
          <w:vertAlign w:val="superscript"/>
        </w:rPr>
        <w:t>-1</w:t>
      </w:r>
      <w:r w:rsidR="00E3004B">
        <w:t xml:space="preserve"> FW in </w:t>
      </w:r>
      <w:r w:rsidR="004621C2">
        <w:rPr>
          <w:i/>
        </w:rPr>
        <w:t>Hpa</w:t>
      </w:r>
      <w:r w:rsidR="00E3004B">
        <w:t xml:space="preserve">-infected leaves (Figure 38 E). </w:t>
      </w:r>
      <w:r w:rsidR="00793B53" w:rsidRPr="00FD65FA">
        <w:t xml:space="preserve">The mutant lines </w:t>
      </w:r>
      <w:r w:rsidR="00793B53" w:rsidRPr="00FD65FA">
        <w:rPr>
          <w:i/>
        </w:rPr>
        <w:t>ald1</w:t>
      </w:r>
      <w:r w:rsidR="00793B53" w:rsidRPr="00FD65FA">
        <w:t xml:space="preserve"> and </w:t>
      </w:r>
      <w:r w:rsidR="00793B53">
        <w:rPr>
          <w:i/>
        </w:rPr>
        <w:t>sid2 ald1</w:t>
      </w:r>
      <w:r w:rsidR="00793B53" w:rsidRPr="00FD65FA">
        <w:t xml:space="preserve"> demonstrated</w:t>
      </w:r>
      <w:r w:rsidR="00192B77">
        <w:t xml:space="preserve"> no increase of Pip-</w:t>
      </w:r>
      <w:r w:rsidR="009C2516">
        <w:t xml:space="preserve">levels upon </w:t>
      </w:r>
      <w:r w:rsidR="00793B53" w:rsidRPr="00FD65FA">
        <w:t>infection</w:t>
      </w:r>
      <w:r w:rsidR="009C2516">
        <w:t xml:space="preserve"> with </w:t>
      </w:r>
      <w:r w:rsidR="004621C2">
        <w:rPr>
          <w:i/>
        </w:rPr>
        <w:t>Hpa</w:t>
      </w:r>
      <w:r w:rsidR="009C2516">
        <w:t xml:space="preserve"> Cala2 (Figure 38 E)</w:t>
      </w:r>
      <w:r w:rsidR="00793B53" w:rsidRPr="00FD65FA">
        <w:t xml:space="preserve">. </w:t>
      </w:r>
      <w:r w:rsidR="009C2516">
        <w:t xml:space="preserve">In the </w:t>
      </w:r>
      <w:r w:rsidR="004621C2">
        <w:rPr>
          <w:i/>
        </w:rPr>
        <w:t>Hpa</w:t>
      </w:r>
      <w:r w:rsidR="004621C2">
        <w:t xml:space="preserve"> Cala2-</w:t>
      </w:r>
      <w:r w:rsidR="009C2516">
        <w:t xml:space="preserve">susceptible ecotype Ler-0, basal levels for </w:t>
      </w:r>
      <w:r w:rsidR="004621C2">
        <w:t>Pip</w:t>
      </w:r>
      <w:r w:rsidR="009C2516">
        <w:t xml:space="preserve"> were comparable to Col-0 and increased to approximately 6 µg g</w:t>
      </w:r>
      <w:r w:rsidR="009C2516" w:rsidRPr="000773A2">
        <w:rPr>
          <w:vertAlign w:val="superscript"/>
        </w:rPr>
        <w:t>-1</w:t>
      </w:r>
      <w:r w:rsidR="009C2516">
        <w:t xml:space="preserve"> FW in infected leaves (Figure 38 E). </w:t>
      </w:r>
      <w:r w:rsidR="00793B53" w:rsidRPr="00FD65FA">
        <w:t xml:space="preserve">No increase of </w:t>
      </w:r>
      <w:r w:rsidR="00192B77">
        <w:t>Pro</w:t>
      </w:r>
      <w:r w:rsidR="002B02FB">
        <w:t xml:space="preserve">, which accumulated to high levels in leaves infected with the virulent </w:t>
      </w:r>
      <w:r w:rsidR="004621C2">
        <w:rPr>
          <w:i/>
        </w:rPr>
        <w:t>Hpa</w:t>
      </w:r>
      <w:r w:rsidR="002B02FB">
        <w:t xml:space="preserve"> Noco2,</w:t>
      </w:r>
      <w:r w:rsidR="00793B53" w:rsidRPr="00FD65FA">
        <w:t xml:space="preserve"> was observed in Col-0, </w:t>
      </w:r>
      <w:r w:rsidR="00793B53">
        <w:rPr>
          <w:i/>
        </w:rPr>
        <w:t>ald1, fmo1, sid2</w:t>
      </w:r>
      <w:r w:rsidR="00793B53" w:rsidRPr="00FD65FA">
        <w:t xml:space="preserve">, and </w:t>
      </w:r>
      <w:r w:rsidR="00793B53">
        <w:rPr>
          <w:i/>
        </w:rPr>
        <w:t>sid2 ald1</w:t>
      </w:r>
      <w:r w:rsidR="00793B53" w:rsidRPr="00FD65FA">
        <w:t xml:space="preserve"> after infection with the avirulent Cala2 isolate</w:t>
      </w:r>
      <w:r w:rsidR="000773A2">
        <w:t xml:space="preserve"> </w:t>
      </w:r>
      <w:r w:rsidR="002B02FB">
        <w:t>(</w:t>
      </w:r>
      <w:r w:rsidR="000773A2">
        <w:t>Figure 38 F)</w:t>
      </w:r>
      <w:r w:rsidR="00793B53" w:rsidRPr="00FD65FA">
        <w:t>. In</w:t>
      </w:r>
      <w:r w:rsidR="00BB4BA4">
        <w:t xml:space="preserve"> contrast</w:t>
      </w:r>
      <w:r w:rsidR="004621C2">
        <w:t>, in Ler-0</w:t>
      </w:r>
      <w:r w:rsidR="00793B53" w:rsidRPr="00FD65FA">
        <w:t xml:space="preserve"> </w:t>
      </w:r>
      <w:r w:rsidR="004621C2">
        <w:rPr>
          <w:i/>
        </w:rPr>
        <w:t>Hpa</w:t>
      </w:r>
      <w:r w:rsidR="00793B53" w:rsidRPr="00FD65FA">
        <w:t xml:space="preserve"> Cala2 was abl</w:t>
      </w:r>
      <w:r w:rsidR="000773A2">
        <w:t xml:space="preserve">e to elicit a strong increase of </w:t>
      </w:r>
      <w:r w:rsidR="00192B77">
        <w:t>Pro</w:t>
      </w:r>
      <w:r w:rsidR="000773A2">
        <w:t xml:space="preserve"> from 15 µg g</w:t>
      </w:r>
      <w:r w:rsidR="000773A2" w:rsidRPr="002B02FB">
        <w:rPr>
          <w:vertAlign w:val="superscript"/>
        </w:rPr>
        <w:t>-</w:t>
      </w:r>
      <w:r w:rsidR="000773A2" w:rsidRPr="002B02FB">
        <w:rPr>
          <w:vertAlign w:val="superscript"/>
        </w:rPr>
        <w:lastRenderedPageBreak/>
        <w:t>1</w:t>
      </w:r>
      <w:r w:rsidR="000773A2">
        <w:t xml:space="preserve"> FW in non-infected to </w:t>
      </w:r>
      <w:r w:rsidR="002B02FB">
        <w:t>75 µg g</w:t>
      </w:r>
      <w:r w:rsidR="002B02FB" w:rsidRPr="002B02FB">
        <w:rPr>
          <w:vertAlign w:val="superscript"/>
        </w:rPr>
        <w:t>-1</w:t>
      </w:r>
      <w:r w:rsidR="002B02FB">
        <w:t xml:space="preserve"> FW in infected leaves (Figure 38 F)</w:t>
      </w:r>
      <w:r w:rsidR="00793B53" w:rsidRPr="00FD65FA">
        <w:t>.</w:t>
      </w:r>
      <w:r w:rsidR="00793B53" w:rsidRPr="00793B53">
        <w:t xml:space="preserve"> </w:t>
      </w:r>
      <w:r w:rsidR="00793B53" w:rsidRPr="00FD65FA">
        <w:t>A similar picture unfolds for the accumulat</w:t>
      </w:r>
      <w:r w:rsidR="004621C2">
        <w:t>ion of GABA and Orn</w:t>
      </w:r>
      <w:r w:rsidR="00F01D56">
        <w:t xml:space="preserve"> after</w:t>
      </w:r>
      <w:r w:rsidR="000E49B0">
        <w:t xml:space="preserve"> infection</w:t>
      </w:r>
      <w:r w:rsidR="00F01D56">
        <w:t xml:space="preserve"> with the avirulent oomycete</w:t>
      </w:r>
      <w:r w:rsidR="000E49B0">
        <w:t xml:space="preserve"> (Figure 38 G; Figure 38</w:t>
      </w:r>
      <w:r w:rsidR="00793B53">
        <w:t xml:space="preserve"> H</w:t>
      </w:r>
      <w:r w:rsidR="00793B53" w:rsidRPr="00FD65FA">
        <w:t xml:space="preserve">). After treatment with </w:t>
      </w:r>
      <w:r w:rsidR="004621C2">
        <w:rPr>
          <w:i/>
        </w:rPr>
        <w:t>Hpa</w:t>
      </w:r>
      <w:r w:rsidR="00793B53" w:rsidRPr="00FD65FA">
        <w:t xml:space="preserve"> Noco2, levels of GABA and </w:t>
      </w:r>
      <w:r w:rsidR="004621C2">
        <w:t>Orn</w:t>
      </w:r>
      <w:r w:rsidR="00793B53" w:rsidRPr="00FD65FA">
        <w:t xml:space="preserve"> show</w:t>
      </w:r>
      <w:r w:rsidR="00793B53">
        <w:t>ed</w:t>
      </w:r>
      <w:r w:rsidR="00793B53" w:rsidRPr="00FD65FA">
        <w:t xml:space="preserve"> a strong increase in Col-0, </w:t>
      </w:r>
      <w:r w:rsidR="00793B53">
        <w:rPr>
          <w:i/>
        </w:rPr>
        <w:t>ald1, sid2</w:t>
      </w:r>
      <w:r w:rsidR="00793B53" w:rsidRPr="00FD65FA">
        <w:t xml:space="preserve">, and </w:t>
      </w:r>
      <w:r w:rsidR="00793B53">
        <w:rPr>
          <w:i/>
        </w:rPr>
        <w:t>sid2 ald1</w:t>
      </w:r>
      <w:r w:rsidR="00793B53" w:rsidRPr="00FD65FA">
        <w:t xml:space="preserve"> that </w:t>
      </w:r>
      <w:r w:rsidR="00793B53">
        <w:t>were not detectable</w:t>
      </w:r>
      <w:r w:rsidR="00793B53" w:rsidRPr="00FD65FA">
        <w:t xml:space="preserve"> after treatment with the avirulent isolate Cala2.</w:t>
      </w:r>
      <w:r w:rsidR="00793B53" w:rsidRPr="00793B53">
        <w:t xml:space="preserve"> </w:t>
      </w:r>
      <w:r w:rsidR="00BB4BA4">
        <w:t>In Ler-0, on the other hand, a respective increase from 2 µg g</w:t>
      </w:r>
      <w:r w:rsidR="00BB4BA4" w:rsidRPr="00BB4BA4">
        <w:rPr>
          <w:vertAlign w:val="superscript"/>
        </w:rPr>
        <w:t>-1</w:t>
      </w:r>
      <w:r w:rsidR="00BB4BA4">
        <w:t xml:space="preserve"> FW to 9 µg g</w:t>
      </w:r>
      <w:r w:rsidR="00BB4BA4" w:rsidRPr="00BB4BA4">
        <w:rPr>
          <w:vertAlign w:val="superscript"/>
        </w:rPr>
        <w:t>-1</w:t>
      </w:r>
      <w:r w:rsidR="00BB4BA4">
        <w:t xml:space="preserve"> FW was observed for GABA and 0.2 µg g</w:t>
      </w:r>
      <w:r w:rsidR="00BB4BA4" w:rsidRPr="00BB4BA4">
        <w:rPr>
          <w:vertAlign w:val="superscript"/>
        </w:rPr>
        <w:t>-1</w:t>
      </w:r>
      <w:r w:rsidR="00BB4BA4">
        <w:t xml:space="preserve"> FW to 1.9 µg g</w:t>
      </w:r>
      <w:r w:rsidR="00BB4BA4" w:rsidRPr="00BB4BA4">
        <w:rPr>
          <w:vertAlign w:val="superscript"/>
        </w:rPr>
        <w:t>-1</w:t>
      </w:r>
      <w:r w:rsidR="00BB4BA4">
        <w:t xml:space="preserve"> FW for </w:t>
      </w:r>
      <w:r w:rsidR="004621C2">
        <w:t>Orn</w:t>
      </w:r>
      <w:r w:rsidR="00BB4BA4">
        <w:t xml:space="preserve"> upon infection with </w:t>
      </w:r>
      <w:r w:rsidR="004621C2">
        <w:rPr>
          <w:i/>
        </w:rPr>
        <w:t>Hpa</w:t>
      </w:r>
      <w:r w:rsidR="00BB4BA4">
        <w:t xml:space="preserve"> Cala2 (Figure 38 G; Figure 38 H).</w:t>
      </w:r>
      <w:r w:rsidR="001A6B74">
        <w:t xml:space="preserve"> </w:t>
      </w:r>
      <w:r w:rsidR="00B54312">
        <w:t xml:space="preserve">Analysis of amino acid accumulation in Col-0 plants infected with the avirulent </w:t>
      </w:r>
      <w:r w:rsidR="004621C2" w:rsidRPr="004621C2">
        <w:rPr>
          <w:i/>
        </w:rPr>
        <w:t>Hpa</w:t>
      </w:r>
      <w:r w:rsidR="00B54312" w:rsidRPr="004621C2">
        <w:rPr>
          <w:i/>
        </w:rPr>
        <w:t xml:space="preserve"> </w:t>
      </w:r>
      <w:r w:rsidR="00B54312">
        <w:t xml:space="preserve">Cala2 showed a generally lower increase in amino acid levels </w:t>
      </w:r>
      <w:r w:rsidR="00BA1598">
        <w:t xml:space="preserve">compared to plants infected with </w:t>
      </w:r>
      <w:r w:rsidR="00BA1598" w:rsidRPr="00BA1598">
        <w:rPr>
          <w:i/>
        </w:rPr>
        <w:t>Hpa</w:t>
      </w:r>
      <w:r w:rsidR="00BA1598">
        <w:t xml:space="preserve"> Noco2</w:t>
      </w:r>
      <w:r w:rsidR="00B54312">
        <w:t xml:space="preserve">(see table 6 in the appendix). </w:t>
      </w:r>
      <w:r w:rsidR="001A6B74">
        <w:t xml:space="preserve">The results from metabolite analyses in </w:t>
      </w:r>
      <w:r w:rsidR="001A6B74" w:rsidRPr="00A217AD">
        <w:rPr>
          <w:i/>
        </w:rPr>
        <w:t>A</w:t>
      </w:r>
      <w:r w:rsidR="004621C2">
        <w:rPr>
          <w:i/>
        </w:rPr>
        <w:t>.</w:t>
      </w:r>
      <w:r w:rsidR="001A6B74" w:rsidRPr="00A217AD">
        <w:rPr>
          <w:i/>
        </w:rPr>
        <w:t xml:space="preserve"> thaliana</w:t>
      </w:r>
      <w:r w:rsidR="001A6B74">
        <w:t xml:space="preserve"> in interacti</w:t>
      </w:r>
      <w:r w:rsidR="004621C2">
        <w:t xml:space="preserve">on with an avirulent </w:t>
      </w:r>
      <w:r w:rsidR="004621C2" w:rsidRPr="004621C2">
        <w:rPr>
          <w:i/>
        </w:rPr>
        <w:t>Hpa</w:t>
      </w:r>
      <w:r w:rsidR="004621C2">
        <w:t xml:space="preserve"> strain </w:t>
      </w:r>
      <w:r w:rsidR="001A6B74">
        <w:t xml:space="preserve">show that recognition of the pathogen by </w:t>
      </w:r>
      <w:r w:rsidR="00A217AD">
        <w:rPr>
          <w:i/>
        </w:rPr>
        <w:t>RP</w:t>
      </w:r>
      <w:r w:rsidR="001A6B74" w:rsidRPr="00A217AD">
        <w:rPr>
          <w:i/>
        </w:rPr>
        <w:t>P</w:t>
      </w:r>
      <w:r w:rsidR="001A6B74">
        <w:t xml:space="preserve"> genes and the ensuing </w:t>
      </w:r>
      <w:r w:rsidR="00A217AD">
        <w:t xml:space="preserve">HR-generated cell death is the most potent plant defence against this biotroph and that high accumulation of defence-related metabolites </w:t>
      </w:r>
      <w:r w:rsidR="00BA1598">
        <w:t>are</w:t>
      </w:r>
      <w:r w:rsidR="004621C2">
        <w:t xml:space="preserve"> </w:t>
      </w:r>
      <w:r w:rsidR="00BA1598">
        <w:t>–if at all–</w:t>
      </w:r>
      <w:r w:rsidR="004621C2">
        <w:t xml:space="preserve"> only of very minor importance</w:t>
      </w:r>
      <w:r w:rsidR="00A217AD">
        <w:t>. However, SA-mediated signalling is an important part of</w:t>
      </w:r>
      <w:r w:rsidR="004621C2">
        <w:t xml:space="preserve"> the HR process</w:t>
      </w:r>
      <w:r w:rsidR="00A217AD">
        <w:t xml:space="preserve">. The significant increases in the indolic compounds camalexin and </w:t>
      </w:r>
      <w:r w:rsidR="004621C2">
        <w:t>ICA</w:t>
      </w:r>
      <w:r w:rsidR="00A217AD">
        <w:t xml:space="preserve"> in the SA-deficient lines </w:t>
      </w:r>
      <w:r w:rsidR="00A217AD" w:rsidRPr="00A217AD">
        <w:rPr>
          <w:i/>
        </w:rPr>
        <w:t>sid2</w:t>
      </w:r>
      <w:r w:rsidR="00A217AD">
        <w:t xml:space="preserve"> and </w:t>
      </w:r>
      <w:r w:rsidR="00A217AD" w:rsidRPr="00A217AD">
        <w:rPr>
          <w:i/>
        </w:rPr>
        <w:t>sid2 ald1</w:t>
      </w:r>
      <w:r w:rsidR="00A217AD">
        <w:t xml:space="preserve"> allow </w:t>
      </w:r>
      <w:r w:rsidR="00527A0E">
        <w:t>the speculation</w:t>
      </w:r>
      <w:r w:rsidR="00A217AD">
        <w:t xml:space="preserve"> that the oomycete, which is avirulent on the background line Col-0, </w:t>
      </w:r>
      <w:r w:rsidR="004621C2">
        <w:t>might become</w:t>
      </w:r>
      <w:r w:rsidR="00A217AD">
        <w:t xml:space="preserve"> more virulent to these lines. </w:t>
      </w:r>
    </w:p>
    <w:p w:rsidR="00B517AA" w:rsidRDefault="00B517AA" w:rsidP="00B517AA">
      <w:pPr>
        <w:pStyle w:val="berschrift2"/>
        <w:jc w:val="both"/>
        <w:rPr>
          <w:color w:val="000000" w:themeColor="text1"/>
        </w:rPr>
        <w:sectPr w:rsidR="00B517AA" w:rsidSect="00B517AA">
          <w:headerReference w:type="default" r:id="rId81"/>
          <w:type w:val="continuous"/>
          <w:pgSz w:w="11906" w:h="16838"/>
          <w:pgMar w:top="1417" w:right="1417" w:bottom="1134" w:left="1417" w:header="708" w:footer="708" w:gutter="0"/>
          <w:cols w:space="708"/>
          <w:titlePg/>
          <w:docGrid w:linePitch="360"/>
        </w:sectPr>
      </w:pPr>
    </w:p>
    <w:p w:rsidR="0001236A" w:rsidRPr="00793B53" w:rsidRDefault="00563EC1" w:rsidP="00793B53">
      <w:pPr>
        <w:pStyle w:val="berschrift2"/>
        <w:spacing w:after="240"/>
        <w:jc w:val="both"/>
        <w:rPr>
          <w:color w:val="000000" w:themeColor="text1"/>
        </w:rPr>
      </w:pPr>
      <w:bookmarkStart w:id="97" w:name="_Toc435621247"/>
      <w:r>
        <w:rPr>
          <w:color w:val="000000" w:themeColor="text1"/>
        </w:rPr>
        <w:lastRenderedPageBreak/>
        <w:t xml:space="preserve">6.11 </w:t>
      </w:r>
      <w:r w:rsidR="00EB705B" w:rsidRPr="00793B53">
        <w:rPr>
          <w:color w:val="000000" w:themeColor="text1"/>
        </w:rPr>
        <w:t xml:space="preserve">Analysis of the interaction of </w:t>
      </w:r>
      <w:r w:rsidR="00EB705B" w:rsidRPr="00793B53">
        <w:rPr>
          <w:i/>
          <w:color w:val="000000" w:themeColor="text1"/>
        </w:rPr>
        <w:t>A</w:t>
      </w:r>
      <w:r w:rsidR="00720B9D">
        <w:rPr>
          <w:i/>
          <w:color w:val="000000" w:themeColor="text1"/>
        </w:rPr>
        <w:t>.</w:t>
      </w:r>
      <w:r w:rsidR="00EB705B" w:rsidRPr="00793B53">
        <w:rPr>
          <w:i/>
          <w:color w:val="000000" w:themeColor="text1"/>
        </w:rPr>
        <w:t xml:space="preserve"> thaliana</w:t>
      </w:r>
      <w:r w:rsidR="00EB705B" w:rsidRPr="00793B53">
        <w:rPr>
          <w:color w:val="000000" w:themeColor="text1"/>
        </w:rPr>
        <w:t xml:space="preserve"> with the avirulent </w:t>
      </w:r>
      <w:r w:rsidR="00720B9D">
        <w:rPr>
          <w:i/>
          <w:color w:val="000000" w:themeColor="text1"/>
        </w:rPr>
        <w:t>Hpa</w:t>
      </w:r>
      <w:r w:rsidR="00EB705B" w:rsidRPr="00793B53">
        <w:rPr>
          <w:color w:val="000000" w:themeColor="text1"/>
        </w:rPr>
        <w:t xml:space="preserve"> isolate Cala2</w:t>
      </w:r>
      <w:bookmarkEnd w:id="97"/>
    </w:p>
    <w:p w:rsidR="00240ED7" w:rsidRDefault="00AC02B0" w:rsidP="00C57D38">
      <w:pPr>
        <w:spacing w:after="0" w:line="360" w:lineRule="auto"/>
        <w:jc w:val="both"/>
      </w:pPr>
      <w:r>
        <w:t xml:space="preserve">As described for the interaction between </w:t>
      </w:r>
      <w:r w:rsidRPr="00AC02B0">
        <w:rPr>
          <w:i/>
        </w:rPr>
        <w:t>A</w:t>
      </w:r>
      <w:r w:rsidR="00720B9D">
        <w:rPr>
          <w:i/>
        </w:rPr>
        <w:t>.</w:t>
      </w:r>
      <w:r w:rsidRPr="00AC02B0">
        <w:rPr>
          <w:i/>
        </w:rPr>
        <w:t xml:space="preserve"> thaliana</w:t>
      </w:r>
      <w:r>
        <w:t xml:space="preserve"> and the virulent </w:t>
      </w:r>
      <w:r w:rsidR="00720B9D">
        <w:rPr>
          <w:i/>
        </w:rPr>
        <w:t>Hpa</w:t>
      </w:r>
      <w:r w:rsidR="00720B9D">
        <w:t xml:space="preserve"> Noco2, disease sym</w:t>
      </w:r>
      <w:r>
        <w:t>p</w:t>
      </w:r>
      <w:r w:rsidR="00720B9D">
        <w:t>t</w:t>
      </w:r>
      <w:r>
        <w:t xml:space="preserve">oms were analysed in plants infected </w:t>
      </w:r>
      <w:r w:rsidR="00C57D38">
        <w:t>with the avirulent Cala2 isolate</w:t>
      </w:r>
      <w:r>
        <w:t xml:space="preserve"> as well. For this experiment the same mutant lines were employed as for the studies with </w:t>
      </w:r>
      <w:r w:rsidR="00720B9D">
        <w:rPr>
          <w:i/>
        </w:rPr>
        <w:t>Hpa</w:t>
      </w:r>
      <w:r>
        <w:t xml:space="preserve"> Noco2: the Pip-deficient line </w:t>
      </w:r>
      <w:r w:rsidRPr="00AC02B0">
        <w:rPr>
          <w:i/>
        </w:rPr>
        <w:t>ald1</w:t>
      </w:r>
      <w:r>
        <w:t xml:space="preserve">, the </w:t>
      </w:r>
      <w:r w:rsidR="00C57D38">
        <w:t xml:space="preserve">SAR-impaired line </w:t>
      </w:r>
      <w:r w:rsidRPr="00AC02B0">
        <w:rPr>
          <w:i/>
        </w:rPr>
        <w:t>fmo1</w:t>
      </w:r>
      <w:r>
        <w:t xml:space="preserve">, the SA biosynthesis mutant lines </w:t>
      </w:r>
      <w:r w:rsidRPr="00AC02B0">
        <w:rPr>
          <w:i/>
        </w:rPr>
        <w:t>sid2, eds5</w:t>
      </w:r>
      <w:r>
        <w:t xml:space="preserve">, and </w:t>
      </w:r>
      <w:r w:rsidRPr="00AC02B0">
        <w:rPr>
          <w:i/>
        </w:rPr>
        <w:t>ics1 ics2</w:t>
      </w:r>
      <w:r>
        <w:t>, the SA- and Pip-deficient</w:t>
      </w:r>
      <w:r w:rsidR="00720B9D">
        <w:t xml:space="preserve"> mutant</w:t>
      </w:r>
      <w:r>
        <w:t xml:space="preserve"> </w:t>
      </w:r>
      <w:r w:rsidRPr="00AC02B0">
        <w:rPr>
          <w:i/>
        </w:rPr>
        <w:t>sid2 ald1</w:t>
      </w:r>
      <w:r>
        <w:t xml:space="preserve">, and the SA-signalling mutant </w:t>
      </w:r>
      <w:r w:rsidRPr="00AC02B0">
        <w:rPr>
          <w:i/>
        </w:rPr>
        <w:t>npr1</w:t>
      </w:r>
      <w:r>
        <w:t xml:space="preserve">. This oomycete isolate did not produce spores on the majority of analysed plant lines so that only qualitative microscopy analysis of </w:t>
      </w:r>
      <w:r w:rsidR="00720B9D">
        <w:t>TB-</w:t>
      </w:r>
      <w:r>
        <w:t xml:space="preserve">stained leaves was performed. </w:t>
      </w:r>
      <w:r w:rsidR="0044591B">
        <w:t>For</w:t>
      </w:r>
      <w:r w:rsidR="00900B60">
        <w:t xml:space="preserve"> microscopy analysis a disease rating was performed as described in Ton </w:t>
      </w:r>
      <w:r w:rsidR="00900B60" w:rsidRPr="006057A8">
        <w:rPr>
          <w:i/>
        </w:rPr>
        <w:t>et al</w:t>
      </w:r>
      <w:r w:rsidR="00720B9D">
        <w:t>.</w:t>
      </w:r>
      <w:r w:rsidR="00900B60">
        <w:t xml:space="preserve"> </w:t>
      </w:r>
      <w:r w:rsidR="00720B9D">
        <w:t>(</w:t>
      </w:r>
      <w:r w:rsidR="00900B60">
        <w:t>2005</w:t>
      </w:r>
      <w:r w:rsidR="00720B9D">
        <w:t>)</w:t>
      </w:r>
      <w:r w:rsidR="00900B60">
        <w:t xml:space="preserve"> (Figure 44</w:t>
      </w:r>
      <w:r w:rsidR="006057A8">
        <w:t xml:space="preserve"> B</w:t>
      </w:r>
      <w:r w:rsidR="00900B60">
        <w:t xml:space="preserve">). </w:t>
      </w:r>
      <w:r w:rsidR="0028700E">
        <w:t>Analysis of TB-stained leaves followed by a</w:t>
      </w:r>
      <w:r w:rsidR="00BA1598">
        <w:t xml:space="preserve"> disease rating showed</w:t>
      </w:r>
      <w:r w:rsidR="00900B60">
        <w:t xml:space="preserve"> that no disease symptoms were discernible </w:t>
      </w:r>
      <w:r w:rsidR="00BA1598">
        <w:t>on</w:t>
      </w:r>
      <w:r w:rsidR="00900B60">
        <w:t xml:space="preserve"> Col-0, </w:t>
      </w:r>
      <w:r w:rsidR="00900B60" w:rsidRPr="00900B60">
        <w:rPr>
          <w:i/>
        </w:rPr>
        <w:t>ald1</w:t>
      </w:r>
      <w:r w:rsidR="00900B60">
        <w:t xml:space="preserve">, and </w:t>
      </w:r>
      <w:r w:rsidR="00900B60" w:rsidRPr="00900B60">
        <w:rPr>
          <w:i/>
        </w:rPr>
        <w:t>fmo1</w:t>
      </w:r>
      <w:r w:rsidR="00BA1598">
        <w:t xml:space="preserve"> leaves, allowing the conclusion that</w:t>
      </w:r>
      <w:r w:rsidR="00900B60">
        <w:t xml:space="preserve"> the aviru</w:t>
      </w:r>
      <w:r w:rsidR="00443654">
        <w:t>lent isolate of this oomycete was</w:t>
      </w:r>
      <w:r w:rsidR="00900B60">
        <w:t xml:space="preserve"> not able to grow and proliferate on these plant lines (Figure 44</w:t>
      </w:r>
      <w:r w:rsidR="006057A8">
        <w:t xml:space="preserve"> A</w:t>
      </w:r>
      <w:r w:rsidR="00900B60">
        <w:t xml:space="preserve">, left side). </w:t>
      </w:r>
      <w:r w:rsidR="006057A8">
        <w:t xml:space="preserve">In the SA-deficient </w:t>
      </w:r>
      <w:r w:rsidR="006057A8" w:rsidRPr="006057A8">
        <w:rPr>
          <w:i/>
        </w:rPr>
        <w:t>sid2</w:t>
      </w:r>
      <w:r w:rsidR="006057A8">
        <w:t xml:space="preserve"> mutant, half of the analysed leaves show</w:t>
      </w:r>
      <w:r w:rsidR="00BA1598">
        <w:t>ed</w:t>
      </w:r>
      <w:r w:rsidR="006057A8">
        <w:t xml:space="preserve"> weak growth and proliferation of </w:t>
      </w:r>
      <w:r w:rsidR="00720B9D">
        <w:rPr>
          <w:i/>
        </w:rPr>
        <w:t>Hpa</w:t>
      </w:r>
      <w:r w:rsidR="00234277">
        <w:t xml:space="preserve"> Cala2, which was</w:t>
      </w:r>
      <w:r w:rsidR="006057A8">
        <w:t xml:space="preserve"> even more pronounced in the SA- and Pip-deficient </w:t>
      </w:r>
      <w:r w:rsidR="006057A8" w:rsidRPr="006057A8">
        <w:rPr>
          <w:i/>
        </w:rPr>
        <w:t>sid2 ald1</w:t>
      </w:r>
      <w:r w:rsidR="006057A8">
        <w:t xml:space="preserve"> double mutant (Figure 44 A, left side).</w:t>
      </w:r>
      <w:r>
        <w:t xml:space="preserve"> </w:t>
      </w:r>
      <w:r w:rsidR="0028700E">
        <w:t>In the SA-</w:t>
      </w:r>
      <w:r w:rsidR="006057A8">
        <w:t xml:space="preserve">biosynthesis mutant lines </w:t>
      </w:r>
      <w:r w:rsidR="006057A8" w:rsidRPr="006057A8">
        <w:rPr>
          <w:i/>
        </w:rPr>
        <w:t>eds5, ics1 ics2</w:t>
      </w:r>
      <w:r w:rsidR="006057A8">
        <w:t xml:space="preserve">, and the SA signalling mutant </w:t>
      </w:r>
      <w:r w:rsidR="006057A8" w:rsidRPr="006057A8">
        <w:rPr>
          <w:i/>
        </w:rPr>
        <w:t>npr1</w:t>
      </w:r>
      <w:r w:rsidR="006057A8">
        <w:t xml:space="preserve"> no disease symptoms were visible (Figure 44 </w:t>
      </w:r>
      <w:proofErr w:type="gramStart"/>
      <w:r w:rsidR="006057A8">
        <w:t>A</w:t>
      </w:r>
      <w:proofErr w:type="gramEnd"/>
      <w:r w:rsidR="006057A8">
        <w:t xml:space="preserve">, left side). </w:t>
      </w:r>
      <w:r w:rsidR="00E24EB1">
        <w:t>In</w:t>
      </w:r>
      <w:r w:rsidR="009B62E3" w:rsidRPr="00C57D38">
        <w:t xml:space="preserve"> </w:t>
      </w:r>
      <w:r w:rsidR="00E24EB1">
        <w:t>Pip-</w:t>
      </w:r>
      <w:r w:rsidR="009B62E3" w:rsidRPr="00C57D38">
        <w:t>tr</w:t>
      </w:r>
      <w:r w:rsidR="00E24EB1">
        <w:t>eated plants</w:t>
      </w:r>
      <w:r w:rsidR="009B62E3" w:rsidRPr="00C57D38">
        <w:t xml:space="preserve">, no disease symptoms </w:t>
      </w:r>
      <w:r w:rsidR="009B62E3" w:rsidRPr="00C57D38">
        <w:lastRenderedPageBreak/>
        <w:t xml:space="preserve">were visible on leaves of Col-0, </w:t>
      </w:r>
      <w:r w:rsidR="009B62E3" w:rsidRPr="00C57D38">
        <w:rPr>
          <w:i/>
        </w:rPr>
        <w:t>ald1</w:t>
      </w:r>
      <w:r w:rsidR="009B62E3" w:rsidRPr="00C57D38">
        <w:t xml:space="preserve">, </w:t>
      </w:r>
      <w:r w:rsidR="009B62E3" w:rsidRPr="00C57D38">
        <w:rPr>
          <w:i/>
        </w:rPr>
        <w:t xml:space="preserve">fmo1 </w:t>
      </w:r>
      <w:r w:rsidR="009B62E3" w:rsidRPr="00C57D38">
        <w:t xml:space="preserve">and </w:t>
      </w:r>
      <w:r w:rsidR="009B62E3" w:rsidRPr="00C57D38">
        <w:rPr>
          <w:i/>
        </w:rPr>
        <w:t>eds5</w:t>
      </w:r>
      <w:r w:rsidR="009B62E3" w:rsidRPr="00C57D38">
        <w:t xml:space="preserve">, and a lower percentage of </w:t>
      </w:r>
      <w:r w:rsidR="009B62E3" w:rsidRPr="00C57D38">
        <w:rPr>
          <w:i/>
        </w:rPr>
        <w:t>sid2</w:t>
      </w:r>
      <w:r w:rsidR="009B62E3" w:rsidRPr="00C57D38">
        <w:t xml:space="preserve"> leaves showed successful sporulation of the oomycete (Figure 44 </w:t>
      </w:r>
      <w:proofErr w:type="gramStart"/>
      <w:r w:rsidR="009B62E3" w:rsidRPr="00C57D38">
        <w:t>A</w:t>
      </w:r>
      <w:proofErr w:type="gramEnd"/>
      <w:r w:rsidR="009B62E3" w:rsidRPr="00C57D38">
        <w:t xml:space="preserve">, right side). </w:t>
      </w:r>
    </w:p>
    <w:p w:rsidR="00234277" w:rsidRPr="0044591B" w:rsidRDefault="00234277" w:rsidP="00C57D38">
      <w:pPr>
        <w:spacing w:after="0" w:line="360" w:lineRule="auto"/>
        <w:jc w:val="both"/>
        <w:rPr>
          <w:lang w:val="en-US"/>
        </w:rPr>
      </w:pPr>
    </w:p>
    <w:p w:rsidR="00EB705B" w:rsidRDefault="0044591B" w:rsidP="000E49B0">
      <w:pPr>
        <w:keepNext/>
        <w:spacing w:after="0"/>
      </w:pPr>
      <w:r>
        <w:rPr>
          <w:noProof/>
          <w:lang w:val="de-DE" w:eastAsia="de-DE"/>
        </w:rPr>
        <w:drawing>
          <wp:anchor distT="0" distB="0" distL="114300" distR="114300" simplePos="0" relativeHeight="251709440" behindDoc="0" locked="0" layoutInCell="1" allowOverlap="1" wp14:anchorId="65507FF2" wp14:editId="5C495BBA">
            <wp:simplePos x="895350" y="1447800"/>
            <wp:positionH relativeFrom="page">
              <wp:align>center</wp:align>
            </wp:positionH>
            <wp:positionV relativeFrom="paragraph">
              <wp:posOffset>-3810</wp:posOffset>
            </wp:positionV>
            <wp:extent cx="3708000" cy="6826840"/>
            <wp:effectExtent l="19050" t="19050" r="26035" b="12700"/>
            <wp:wrapTopAndBottom/>
            <wp:docPr id="12"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p-IR vs Hpa Cala TB disease rating.png"/>
                    <pic:cNvPicPr/>
                  </pic:nvPicPr>
                  <pic:blipFill>
                    <a:blip r:embed="rId82">
                      <a:extLst>
                        <a:ext uri="{28A0092B-C50C-407E-A947-70E740481C1C}">
                          <a14:useLocalDpi xmlns:a14="http://schemas.microsoft.com/office/drawing/2010/main" val="0"/>
                        </a:ext>
                      </a:extLst>
                    </a:blip>
                    <a:stretch>
                      <a:fillRect/>
                    </a:stretch>
                  </pic:blipFill>
                  <pic:spPr>
                    <a:xfrm>
                      <a:off x="0" y="0"/>
                      <a:ext cx="3708000" cy="6826840"/>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p>
    <w:p w:rsidR="003A7C4A" w:rsidRPr="006E436D" w:rsidRDefault="00EB705B" w:rsidP="00720B9D">
      <w:pPr>
        <w:pStyle w:val="Beschriftung"/>
        <w:spacing w:after="0" w:line="360" w:lineRule="auto"/>
        <w:jc w:val="both"/>
        <w:rPr>
          <w:color w:val="auto"/>
        </w:rPr>
      </w:pPr>
      <w:bookmarkStart w:id="98" w:name="_Toc435621162"/>
      <w:proofErr w:type="gramStart"/>
      <w:r w:rsidRPr="006E436D">
        <w:rPr>
          <w:color w:val="auto"/>
        </w:rPr>
        <w:t xml:space="preserve">Figure </w:t>
      </w:r>
      <w:r w:rsidRPr="006E436D">
        <w:rPr>
          <w:color w:val="auto"/>
        </w:rPr>
        <w:fldChar w:fldCharType="begin"/>
      </w:r>
      <w:r w:rsidRPr="006E436D">
        <w:rPr>
          <w:color w:val="auto"/>
        </w:rPr>
        <w:instrText xml:space="preserve"> SEQ Figure \* ARABIC </w:instrText>
      </w:r>
      <w:r w:rsidRPr="006E436D">
        <w:rPr>
          <w:color w:val="auto"/>
        </w:rPr>
        <w:fldChar w:fldCharType="separate"/>
      </w:r>
      <w:r w:rsidR="00CB17FE">
        <w:rPr>
          <w:noProof/>
          <w:color w:val="auto"/>
        </w:rPr>
        <w:t>44</w:t>
      </w:r>
      <w:r w:rsidRPr="006E436D">
        <w:rPr>
          <w:color w:val="auto"/>
        </w:rPr>
        <w:fldChar w:fldCharType="end"/>
      </w:r>
      <w:r w:rsidR="006C6340">
        <w:rPr>
          <w:color w:val="auto"/>
        </w:rPr>
        <w:t>.</w:t>
      </w:r>
      <w:proofErr w:type="gramEnd"/>
      <w:r w:rsidR="00344122" w:rsidRPr="006E436D">
        <w:rPr>
          <w:color w:val="auto"/>
        </w:rPr>
        <w:t xml:space="preserve"> </w:t>
      </w:r>
      <w:r w:rsidR="00215D00">
        <w:rPr>
          <w:color w:val="auto"/>
        </w:rPr>
        <w:t>Pip-induced</w:t>
      </w:r>
      <w:r w:rsidR="003A7C4A" w:rsidRPr="006E436D">
        <w:rPr>
          <w:color w:val="auto"/>
        </w:rPr>
        <w:t xml:space="preserve"> resistance against the avirulent </w:t>
      </w:r>
      <w:r w:rsidR="00720B9D">
        <w:rPr>
          <w:i/>
          <w:color w:val="auto"/>
        </w:rPr>
        <w:t>Hpa</w:t>
      </w:r>
      <w:r w:rsidR="003A7C4A" w:rsidRPr="006E436D">
        <w:rPr>
          <w:color w:val="auto"/>
        </w:rPr>
        <w:t xml:space="preserve"> </w:t>
      </w:r>
      <w:r w:rsidR="0028700E">
        <w:rPr>
          <w:color w:val="auto"/>
        </w:rPr>
        <w:t xml:space="preserve">isolate </w:t>
      </w:r>
      <w:r w:rsidR="003A7C4A" w:rsidRPr="006E436D">
        <w:rPr>
          <w:color w:val="auto"/>
        </w:rPr>
        <w:t>Cala2.</w:t>
      </w:r>
      <w:bookmarkEnd w:id="98"/>
    </w:p>
    <w:p w:rsidR="00EB705B" w:rsidRPr="006E436D" w:rsidRDefault="00A851F6" w:rsidP="000535F6">
      <w:pPr>
        <w:pStyle w:val="Beschriftung"/>
        <w:jc w:val="both"/>
        <w:rPr>
          <w:b w:val="0"/>
          <w:color w:val="auto"/>
          <w:lang w:val="en-US"/>
        </w:rPr>
      </w:pPr>
      <w:r w:rsidRPr="006E436D">
        <w:rPr>
          <w:b w:val="0"/>
          <w:color w:val="auto"/>
          <w:lang w:val="en-US"/>
        </w:rPr>
        <w:t>Plants were treated and anal</w:t>
      </w:r>
      <w:r w:rsidR="00720B9D">
        <w:rPr>
          <w:b w:val="0"/>
          <w:color w:val="auto"/>
          <w:lang w:val="en-US"/>
        </w:rPr>
        <w:t>ysed as described in figure 39.</w:t>
      </w:r>
      <w:r w:rsidR="003A7C4A" w:rsidRPr="006E436D">
        <w:rPr>
          <w:b w:val="0"/>
          <w:color w:val="auto"/>
          <w:lang w:val="en-US"/>
        </w:rPr>
        <w:t xml:space="preserve"> With the exception of </w:t>
      </w:r>
      <w:r w:rsidR="003A7C4A" w:rsidRPr="006E436D">
        <w:rPr>
          <w:b w:val="0"/>
          <w:i/>
          <w:color w:val="auto"/>
          <w:lang w:val="en-US"/>
        </w:rPr>
        <w:t>eds5, ics1ics2</w:t>
      </w:r>
      <w:r w:rsidR="003A7C4A" w:rsidRPr="006E436D">
        <w:rPr>
          <w:b w:val="0"/>
          <w:color w:val="auto"/>
          <w:lang w:val="en-US"/>
        </w:rPr>
        <w:t xml:space="preserve">, and </w:t>
      </w:r>
      <w:r w:rsidR="003A7C4A" w:rsidRPr="006E436D">
        <w:rPr>
          <w:b w:val="0"/>
          <w:i/>
          <w:color w:val="auto"/>
          <w:lang w:val="en-US"/>
        </w:rPr>
        <w:t>npr1</w:t>
      </w:r>
      <w:r w:rsidR="003A7C4A" w:rsidRPr="006E436D">
        <w:rPr>
          <w:b w:val="0"/>
          <w:color w:val="auto"/>
          <w:lang w:val="en-US"/>
        </w:rPr>
        <w:t xml:space="preserve">, the mutant lines were used in at least two independent biological experiments with similar results. The </w:t>
      </w:r>
      <w:r w:rsidR="003A7C4A" w:rsidRPr="006E436D">
        <w:rPr>
          <w:b w:val="0"/>
          <w:i/>
          <w:color w:val="auto"/>
          <w:lang w:val="en-US"/>
        </w:rPr>
        <w:t>sid2 ald1</w:t>
      </w:r>
      <w:r w:rsidR="003A7C4A" w:rsidRPr="006E436D">
        <w:rPr>
          <w:b w:val="0"/>
          <w:color w:val="auto"/>
          <w:lang w:val="en-US"/>
        </w:rPr>
        <w:t xml:space="preserve"> double mutant</w:t>
      </w:r>
      <w:r w:rsidR="00234277">
        <w:rPr>
          <w:b w:val="0"/>
          <w:color w:val="auto"/>
          <w:lang w:val="en-US"/>
        </w:rPr>
        <w:t xml:space="preserve"> line</w:t>
      </w:r>
      <w:r w:rsidR="003A7C4A" w:rsidRPr="006E436D">
        <w:rPr>
          <w:b w:val="0"/>
          <w:color w:val="auto"/>
          <w:lang w:val="en-US"/>
        </w:rPr>
        <w:t xml:space="preserve"> was generated by Dr Friederike Bernsdorff.</w:t>
      </w:r>
    </w:p>
    <w:p w:rsidR="00B51B0A" w:rsidRDefault="0028700E" w:rsidP="001041D5">
      <w:pPr>
        <w:spacing w:after="0" w:line="360" w:lineRule="auto"/>
        <w:jc w:val="both"/>
        <w:rPr>
          <w:lang w:val="en-US"/>
        </w:rPr>
      </w:pPr>
      <w:r w:rsidRPr="00C57D38">
        <w:lastRenderedPageBreak/>
        <w:t xml:space="preserve">Furthermore, in </w:t>
      </w:r>
      <w:r w:rsidRPr="00C57D38">
        <w:rPr>
          <w:i/>
        </w:rPr>
        <w:t xml:space="preserve">sid2 ald1 </w:t>
      </w:r>
      <w:r w:rsidRPr="00C57D38">
        <w:t xml:space="preserve">plants, treatment </w:t>
      </w:r>
      <w:r>
        <w:t>with Pip</w:t>
      </w:r>
      <w:r w:rsidRPr="00C57D38">
        <w:t xml:space="preserve"> prior to infection with </w:t>
      </w:r>
      <w:r>
        <w:rPr>
          <w:i/>
        </w:rPr>
        <w:t>Hpa</w:t>
      </w:r>
      <w:r w:rsidRPr="00C57D38">
        <w:t xml:space="preserve"> Cala2 protected plants from this oomycete (Figure 44 </w:t>
      </w:r>
      <w:proofErr w:type="gramStart"/>
      <w:r w:rsidRPr="00C57D38">
        <w:t>A</w:t>
      </w:r>
      <w:proofErr w:type="gramEnd"/>
      <w:r w:rsidRPr="00C57D38">
        <w:t xml:space="preserve">, right side). Surprisingly, on </w:t>
      </w:r>
      <w:r w:rsidRPr="00C57D38">
        <w:rPr>
          <w:i/>
        </w:rPr>
        <w:t>ics1 ics2</w:t>
      </w:r>
      <w:r w:rsidRPr="00C57D38">
        <w:t xml:space="preserve"> </w:t>
      </w:r>
      <w:r>
        <w:t xml:space="preserve">and </w:t>
      </w:r>
      <w:r w:rsidRPr="00C57D38">
        <w:rPr>
          <w:i/>
        </w:rPr>
        <w:t>npr1</w:t>
      </w:r>
      <w:r>
        <w:t xml:space="preserve"> </w:t>
      </w:r>
      <w:r w:rsidRPr="00C57D38">
        <w:t>Pip-treatment seemed to enable the oomycete to partial</w:t>
      </w:r>
      <w:r>
        <w:t>ly grow</w:t>
      </w:r>
      <w:r w:rsidRPr="00C57D38">
        <w:t xml:space="preserve"> and </w:t>
      </w:r>
      <w:r>
        <w:t>proliferate</w:t>
      </w:r>
      <w:r w:rsidRPr="00C57D38">
        <w:t xml:space="preserve"> on leaves (Figure 44 </w:t>
      </w:r>
      <w:proofErr w:type="gramStart"/>
      <w:r w:rsidRPr="00C57D38">
        <w:t>A</w:t>
      </w:r>
      <w:proofErr w:type="gramEnd"/>
      <w:r w:rsidRPr="00C57D38">
        <w:t xml:space="preserve">, right side). Additionally to classification of disease symptoms, representative </w:t>
      </w:r>
      <w:r>
        <w:t>TB-</w:t>
      </w:r>
      <w:r w:rsidRPr="00C57D38">
        <w:t xml:space="preserve">stained leaves were analysed to further study the interaction between </w:t>
      </w:r>
      <w:r w:rsidRPr="00C57D38">
        <w:rPr>
          <w:i/>
        </w:rPr>
        <w:t>Arabidopsis</w:t>
      </w:r>
      <w:r w:rsidRPr="00C57D38">
        <w:t xml:space="preserve"> and the avirulent </w:t>
      </w:r>
      <w:r w:rsidRPr="001041D5">
        <w:t xml:space="preserve">oomycete </w:t>
      </w:r>
      <w:r w:rsidRPr="00C57D38">
        <w:t>(Figure 45).</w:t>
      </w:r>
      <w:r w:rsidRPr="009B62E3">
        <w:t xml:space="preserve"> </w:t>
      </w:r>
      <w:r w:rsidRPr="003E1156">
        <w:t xml:space="preserve">Infection of </w:t>
      </w:r>
      <w:r>
        <w:t xml:space="preserve">water-treated </w:t>
      </w:r>
      <w:r w:rsidRPr="003E1156">
        <w:t>Col-0</w:t>
      </w:r>
      <w:r>
        <w:t xml:space="preserve"> plants with</w:t>
      </w:r>
      <w:r w:rsidRPr="003E1156">
        <w:t xml:space="preserve"> </w:t>
      </w:r>
      <w:r>
        <w:rPr>
          <w:i/>
        </w:rPr>
        <w:t>Hpa</w:t>
      </w:r>
      <w:r w:rsidRPr="003E1156">
        <w:t xml:space="preserve"> Cala2 did not lead to observable disease symptoms, except for a few spots of HR on leaves (Figure 45 A).</w:t>
      </w:r>
      <w:r>
        <w:t xml:space="preserve"> </w:t>
      </w:r>
      <w:r w:rsidR="00720B9D">
        <w:t>This oomycete</w:t>
      </w:r>
      <w:r w:rsidR="00720B9D" w:rsidRPr="000535F6">
        <w:t xml:space="preserve"> was also not able to grow and proliferate on </w:t>
      </w:r>
      <w:r w:rsidR="00720B9D" w:rsidRPr="000535F6">
        <w:rPr>
          <w:i/>
        </w:rPr>
        <w:t>ald1</w:t>
      </w:r>
      <w:r w:rsidR="00720B9D" w:rsidRPr="000535F6">
        <w:t xml:space="preserve"> (Figure 45 </w:t>
      </w:r>
      <w:r w:rsidR="00720B9D">
        <w:t>B), but</w:t>
      </w:r>
      <w:r w:rsidR="00720B9D" w:rsidRPr="000535F6">
        <w:t xml:space="preserve"> </w:t>
      </w:r>
      <w:r w:rsidR="00720B9D">
        <w:t>analysis of infected</w:t>
      </w:r>
      <w:r w:rsidR="00720B9D" w:rsidRPr="000535F6">
        <w:t xml:space="preserve"> </w:t>
      </w:r>
      <w:r w:rsidR="00720B9D" w:rsidRPr="000535F6">
        <w:rPr>
          <w:i/>
        </w:rPr>
        <w:t>fmo1</w:t>
      </w:r>
      <w:r w:rsidR="00720B9D" w:rsidRPr="000535F6">
        <w:t xml:space="preserve"> </w:t>
      </w:r>
      <w:r w:rsidR="00720B9D">
        <w:t>leaves</w:t>
      </w:r>
      <w:r w:rsidR="00720B9D" w:rsidRPr="000535F6">
        <w:t xml:space="preserve"> showed a few hyphae with trailing necroses</w:t>
      </w:r>
      <w:r w:rsidR="00720B9D">
        <w:t xml:space="preserve"> visible in water-treated plants</w:t>
      </w:r>
      <w:r w:rsidR="00720B9D" w:rsidRPr="000535F6">
        <w:t xml:space="preserve"> (Figure 45 </w:t>
      </w:r>
      <w:r w:rsidR="00720B9D">
        <w:t>C). U</w:t>
      </w:r>
      <w:r w:rsidR="00720B9D" w:rsidRPr="000535F6">
        <w:t>nlike Col-0,</w:t>
      </w:r>
      <w:r w:rsidR="00720B9D">
        <w:t xml:space="preserve"> the SA-deficient</w:t>
      </w:r>
      <w:r w:rsidR="00720B9D" w:rsidRPr="000535F6">
        <w:t xml:space="preserve"> </w:t>
      </w:r>
      <w:r w:rsidR="00720B9D" w:rsidRPr="000535F6">
        <w:rPr>
          <w:i/>
        </w:rPr>
        <w:t>sid2</w:t>
      </w:r>
      <w:r w:rsidR="00720B9D" w:rsidRPr="000535F6">
        <w:t xml:space="preserve"> </w:t>
      </w:r>
      <w:r w:rsidR="00720B9D">
        <w:t xml:space="preserve">and the SA- and Pip-deficient </w:t>
      </w:r>
      <w:r w:rsidR="00720B9D" w:rsidRPr="00720B9D">
        <w:rPr>
          <w:i/>
        </w:rPr>
        <w:t>sid2 ald1</w:t>
      </w:r>
      <w:r w:rsidR="00720B9D">
        <w:t xml:space="preserve"> mutant lines </w:t>
      </w:r>
      <w:r w:rsidR="00720B9D" w:rsidRPr="000535F6">
        <w:t xml:space="preserve">supported growth of </w:t>
      </w:r>
      <w:r w:rsidR="00720B9D">
        <w:t xml:space="preserve">the avirulent oomycete </w:t>
      </w:r>
      <w:r w:rsidR="00720B9D" w:rsidRPr="000535F6">
        <w:t xml:space="preserve">on water-treated leaves (Figure 45 D). </w:t>
      </w:r>
      <w:r w:rsidR="00720B9D">
        <w:rPr>
          <w:lang w:val="en-US"/>
        </w:rPr>
        <w:t>N</w:t>
      </w:r>
      <w:r w:rsidR="00720B9D" w:rsidRPr="000535F6">
        <w:rPr>
          <w:lang w:val="en-US"/>
        </w:rPr>
        <w:t>either growth nor sporulation on water-treated</w:t>
      </w:r>
      <w:r w:rsidR="00720B9D">
        <w:rPr>
          <w:lang w:val="en-US"/>
        </w:rPr>
        <w:t xml:space="preserve"> leaves of</w:t>
      </w:r>
      <w:r w:rsidR="00720B9D" w:rsidRPr="000535F6">
        <w:rPr>
          <w:lang w:val="en-US"/>
        </w:rPr>
        <w:t xml:space="preserve"> </w:t>
      </w:r>
      <w:r w:rsidR="00720B9D" w:rsidRPr="000535F6">
        <w:rPr>
          <w:i/>
          <w:lang w:val="en-US"/>
        </w:rPr>
        <w:t>eds5</w:t>
      </w:r>
      <w:r w:rsidR="00720B9D">
        <w:rPr>
          <w:lang w:val="en-US"/>
        </w:rPr>
        <w:t xml:space="preserve">, </w:t>
      </w:r>
      <w:r w:rsidR="00720B9D" w:rsidRPr="005451B9">
        <w:rPr>
          <w:i/>
          <w:lang w:val="en-US"/>
        </w:rPr>
        <w:t>ics1 ics2</w:t>
      </w:r>
      <w:r w:rsidR="00720B9D">
        <w:rPr>
          <w:lang w:val="en-US"/>
        </w:rPr>
        <w:t xml:space="preserve">, and </w:t>
      </w:r>
      <w:r w:rsidR="00720B9D" w:rsidRPr="005451B9">
        <w:rPr>
          <w:i/>
          <w:lang w:val="en-US"/>
        </w:rPr>
        <w:t>npr1</w:t>
      </w:r>
      <w:r w:rsidR="00720B9D" w:rsidRPr="000535F6">
        <w:rPr>
          <w:lang w:val="en-US"/>
        </w:rPr>
        <w:t xml:space="preserve"> plants</w:t>
      </w:r>
      <w:r w:rsidR="00720B9D">
        <w:rPr>
          <w:lang w:val="en-US"/>
        </w:rPr>
        <w:t xml:space="preserve"> was visible</w:t>
      </w:r>
      <w:r w:rsidR="00720B9D" w:rsidRPr="000535F6">
        <w:rPr>
          <w:lang w:val="en-US"/>
        </w:rPr>
        <w:t xml:space="preserve"> (</w:t>
      </w:r>
      <w:r w:rsidR="00720B9D">
        <w:rPr>
          <w:lang w:val="en-US"/>
        </w:rPr>
        <w:t xml:space="preserve">Figure 45 F; </w:t>
      </w:r>
      <w:r w:rsidR="00720B9D" w:rsidRPr="000535F6">
        <w:rPr>
          <w:lang w:val="en-US"/>
        </w:rPr>
        <w:t>Figure 45 G</w:t>
      </w:r>
      <w:r w:rsidR="00720B9D">
        <w:rPr>
          <w:lang w:val="en-US"/>
        </w:rPr>
        <w:t>; Figure 45 H).</w:t>
      </w:r>
      <w:r w:rsidR="00720B9D" w:rsidRPr="009846F5">
        <w:rPr>
          <w:lang w:val="en-US"/>
        </w:rPr>
        <w:t xml:space="preserve"> </w:t>
      </w:r>
    </w:p>
    <w:p w:rsidR="0028700E" w:rsidRPr="001041D5" w:rsidRDefault="0028700E" w:rsidP="001041D5">
      <w:pPr>
        <w:spacing w:after="0" w:line="360" w:lineRule="auto"/>
        <w:jc w:val="both"/>
        <w:rPr>
          <w:lang w:val="en-US"/>
        </w:rPr>
      </w:pPr>
    </w:p>
    <w:p w:rsidR="00344122" w:rsidRDefault="00240ED7" w:rsidP="000E49B0">
      <w:pPr>
        <w:keepNext/>
        <w:spacing w:after="0"/>
      </w:pPr>
      <w:r>
        <w:rPr>
          <w:noProof/>
          <w:lang w:val="de-DE" w:eastAsia="de-DE"/>
        </w:rPr>
        <w:drawing>
          <wp:anchor distT="0" distB="0" distL="114300" distR="114300" simplePos="0" relativeHeight="251705344" behindDoc="0" locked="0" layoutInCell="1" allowOverlap="1" wp14:anchorId="0550CF3B" wp14:editId="082ACA0D">
            <wp:simplePos x="895350" y="895350"/>
            <wp:positionH relativeFrom="page">
              <wp:align>center</wp:align>
            </wp:positionH>
            <wp:positionV relativeFrom="paragraph">
              <wp:posOffset>-3810</wp:posOffset>
            </wp:positionV>
            <wp:extent cx="5760000" cy="4065882"/>
            <wp:effectExtent l="19050" t="19050" r="12700" b="11430"/>
            <wp:wrapTopAndBottom/>
            <wp:docPr id="31" name="Grafik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p-IR vs Hpa Cala TB.png"/>
                    <pic:cNvPicPr/>
                  </pic:nvPicPr>
                  <pic:blipFill rotWithShape="1">
                    <a:blip r:embed="rId83">
                      <a:extLst>
                        <a:ext uri="{28A0092B-C50C-407E-A947-70E740481C1C}">
                          <a14:useLocalDpi xmlns:a14="http://schemas.microsoft.com/office/drawing/2010/main" val="0"/>
                        </a:ext>
                      </a:extLst>
                    </a:blip>
                    <a:srcRect l="-1" r="-1250" b="-1647"/>
                    <a:stretch/>
                  </pic:blipFill>
                  <pic:spPr bwMode="auto">
                    <a:xfrm>
                      <a:off x="0" y="0"/>
                      <a:ext cx="5760000" cy="4065882"/>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3A7C4A" w:rsidRPr="006E436D" w:rsidRDefault="00344122" w:rsidP="00215D00">
      <w:pPr>
        <w:pStyle w:val="Beschriftung"/>
        <w:spacing w:after="0" w:line="360" w:lineRule="auto"/>
        <w:jc w:val="both"/>
        <w:rPr>
          <w:color w:val="auto"/>
          <w:lang w:val="en-US"/>
        </w:rPr>
      </w:pPr>
      <w:bookmarkStart w:id="99" w:name="_Toc435621163"/>
      <w:proofErr w:type="gramStart"/>
      <w:r w:rsidRPr="006E436D">
        <w:rPr>
          <w:color w:val="auto"/>
        </w:rPr>
        <w:t xml:space="preserve">Figure </w:t>
      </w:r>
      <w:r w:rsidRPr="006E436D">
        <w:rPr>
          <w:color w:val="auto"/>
        </w:rPr>
        <w:fldChar w:fldCharType="begin"/>
      </w:r>
      <w:r w:rsidRPr="006E436D">
        <w:rPr>
          <w:color w:val="auto"/>
        </w:rPr>
        <w:instrText xml:space="preserve"> SEQ Figure \* ARABIC </w:instrText>
      </w:r>
      <w:r w:rsidRPr="006E436D">
        <w:rPr>
          <w:color w:val="auto"/>
        </w:rPr>
        <w:fldChar w:fldCharType="separate"/>
      </w:r>
      <w:r w:rsidR="00CB17FE">
        <w:rPr>
          <w:noProof/>
          <w:color w:val="auto"/>
        </w:rPr>
        <w:t>45</w:t>
      </w:r>
      <w:r w:rsidRPr="006E436D">
        <w:rPr>
          <w:color w:val="auto"/>
        </w:rPr>
        <w:fldChar w:fldCharType="end"/>
      </w:r>
      <w:r w:rsidR="006C6340">
        <w:rPr>
          <w:color w:val="auto"/>
        </w:rPr>
        <w:t>.</w:t>
      </w:r>
      <w:proofErr w:type="gramEnd"/>
      <w:r w:rsidRPr="006E436D">
        <w:rPr>
          <w:color w:val="auto"/>
        </w:rPr>
        <w:t xml:space="preserve"> </w:t>
      </w:r>
      <w:r w:rsidR="003A7C4A" w:rsidRPr="006E436D">
        <w:rPr>
          <w:color w:val="auto"/>
          <w:lang w:val="en-US"/>
        </w:rPr>
        <w:t xml:space="preserve">The avirulent </w:t>
      </w:r>
      <w:r w:rsidR="00215D00">
        <w:rPr>
          <w:i/>
          <w:color w:val="auto"/>
          <w:lang w:val="en-US"/>
        </w:rPr>
        <w:t>Hpa</w:t>
      </w:r>
      <w:r w:rsidR="00215D00">
        <w:rPr>
          <w:color w:val="auto"/>
          <w:lang w:val="en-US"/>
        </w:rPr>
        <w:t xml:space="preserve"> Cala2 is able to grow and proliferate</w:t>
      </w:r>
      <w:r w:rsidR="003A7C4A" w:rsidRPr="006E436D">
        <w:rPr>
          <w:color w:val="auto"/>
          <w:lang w:val="en-US"/>
        </w:rPr>
        <w:t xml:space="preserve"> on </w:t>
      </w:r>
      <w:r w:rsidR="00A851F6" w:rsidRPr="006E436D">
        <w:rPr>
          <w:i/>
          <w:color w:val="auto"/>
          <w:lang w:val="en-US"/>
        </w:rPr>
        <w:t>sid2</w:t>
      </w:r>
      <w:r w:rsidR="00215D00">
        <w:rPr>
          <w:color w:val="auto"/>
          <w:lang w:val="en-US"/>
        </w:rPr>
        <w:t xml:space="preserve"> and</w:t>
      </w:r>
      <w:r w:rsidR="003A7C4A" w:rsidRPr="006E436D">
        <w:rPr>
          <w:color w:val="auto"/>
          <w:lang w:val="en-US"/>
        </w:rPr>
        <w:t xml:space="preserve"> </w:t>
      </w:r>
      <w:r w:rsidR="00A851F6" w:rsidRPr="006E436D">
        <w:rPr>
          <w:i/>
          <w:color w:val="auto"/>
          <w:lang w:val="en-US"/>
        </w:rPr>
        <w:t>sid2 ald1</w:t>
      </w:r>
      <w:r w:rsidR="003A7C4A" w:rsidRPr="006E436D">
        <w:rPr>
          <w:color w:val="auto"/>
          <w:lang w:val="en-US"/>
        </w:rPr>
        <w:t>.</w:t>
      </w:r>
      <w:bookmarkEnd w:id="99"/>
    </w:p>
    <w:p w:rsidR="00EB705B" w:rsidRPr="006E436D" w:rsidRDefault="00A851F6" w:rsidP="00A851F6">
      <w:pPr>
        <w:pStyle w:val="Beschriftung"/>
        <w:jc w:val="both"/>
        <w:rPr>
          <w:b w:val="0"/>
          <w:color w:val="auto"/>
          <w:lang w:val="en-US"/>
        </w:rPr>
      </w:pPr>
      <w:r w:rsidRPr="006E436D">
        <w:rPr>
          <w:b w:val="0"/>
          <w:color w:val="auto"/>
          <w:lang w:val="en-US"/>
        </w:rPr>
        <w:t>This experiment was done as specified in figure 39.</w:t>
      </w:r>
      <w:r w:rsidR="003A7C4A" w:rsidRPr="006E436D">
        <w:rPr>
          <w:b w:val="0"/>
          <w:color w:val="auto"/>
          <w:lang w:val="en-US"/>
        </w:rPr>
        <w:t xml:space="preserve"> Shown are representative detail views of </w:t>
      </w:r>
      <w:r w:rsidR="003A7C4A" w:rsidRPr="006E436D">
        <w:rPr>
          <w:b w:val="0"/>
          <w:i/>
          <w:color w:val="auto"/>
          <w:lang w:val="en-US"/>
        </w:rPr>
        <w:t>A.</w:t>
      </w:r>
      <w:r w:rsidR="00215D00">
        <w:rPr>
          <w:b w:val="0"/>
          <w:i/>
          <w:color w:val="auto"/>
          <w:lang w:val="en-US"/>
        </w:rPr>
        <w:t xml:space="preserve"> </w:t>
      </w:r>
      <w:r w:rsidR="003A7C4A" w:rsidRPr="006E436D">
        <w:rPr>
          <w:b w:val="0"/>
          <w:i/>
          <w:color w:val="auto"/>
          <w:lang w:val="en-US"/>
        </w:rPr>
        <w:t>thaliana</w:t>
      </w:r>
      <w:r w:rsidR="003A7C4A" w:rsidRPr="006E436D">
        <w:rPr>
          <w:b w:val="0"/>
          <w:color w:val="auto"/>
          <w:lang w:val="en-US"/>
        </w:rPr>
        <w:t xml:space="preserve"> Col-0 (A) and the mutant lines </w:t>
      </w:r>
      <w:r w:rsidR="003A7C4A" w:rsidRPr="006E436D">
        <w:rPr>
          <w:b w:val="0"/>
          <w:i/>
          <w:color w:val="auto"/>
          <w:lang w:val="en-US"/>
        </w:rPr>
        <w:t>ald1</w:t>
      </w:r>
      <w:r w:rsidR="003A7C4A" w:rsidRPr="006E436D">
        <w:rPr>
          <w:b w:val="0"/>
          <w:color w:val="auto"/>
          <w:lang w:val="en-US"/>
        </w:rPr>
        <w:t xml:space="preserve"> (B), </w:t>
      </w:r>
      <w:r w:rsidR="003A7C4A" w:rsidRPr="006E436D">
        <w:rPr>
          <w:b w:val="0"/>
          <w:i/>
          <w:color w:val="auto"/>
          <w:lang w:val="en-US"/>
        </w:rPr>
        <w:t>fmo1</w:t>
      </w:r>
      <w:r w:rsidR="003A7C4A" w:rsidRPr="006E436D">
        <w:rPr>
          <w:b w:val="0"/>
          <w:color w:val="auto"/>
          <w:lang w:val="en-US"/>
        </w:rPr>
        <w:t xml:space="preserve"> (C), </w:t>
      </w:r>
      <w:r w:rsidRPr="006E436D">
        <w:rPr>
          <w:b w:val="0"/>
          <w:i/>
          <w:color w:val="auto"/>
          <w:lang w:val="en-US"/>
        </w:rPr>
        <w:t>sid2</w:t>
      </w:r>
      <w:r w:rsidR="003A7C4A" w:rsidRPr="006E436D">
        <w:rPr>
          <w:b w:val="0"/>
          <w:color w:val="auto"/>
          <w:lang w:val="en-US"/>
        </w:rPr>
        <w:t xml:space="preserve"> (D), the double mutants </w:t>
      </w:r>
      <w:r w:rsidRPr="006E436D">
        <w:rPr>
          <w:b w:val="0"/>
          <w:i/>
          <w:color w:val="auto"/>
          <w:lang w:val="en-US"/>
        </w:rPr>
        <w:t>sid2 ald1</w:t>
      </w:r>
      <w:r w:rsidR="003A7C4A" w:rsidRPr="006E436D">
        <w:rPr>
          <w:b w:val="0"/>
          <w:color w:val="auto"/>
          <w:lang w:val="en-US"/>
        </w:rPr>
        <w:t xml:space="preserve"> (E) and </w:t>
      </w:r>
      <w:r w:rsidR="003A7C4A" w:rsidRPr="006E436D">
        <w:rPr>
          <w:b w:val="0"/>
          <w:i/>
          <w:color w:val="auto"/>
          <w:lang w:val="en-US"/>
        </w:rPr>
        <w:t>ics1 ics2</w:t>
      </w:r>
      <w:r w:rsidR="003A7C4A" w:rsidRPr="006E436D">
        <w:rPr>
          <w:b w:val="0"/>
          <w:color w:val="auto"/>
          <w:lang w:val="en-US"/>
        </w:rPr>
        <w:t xml:space="preserve"> (F), as well as </w:t>
      </w:r>
      <w:r w:rsidR="003A7C4A" w:rsidRPr="006E436D">
        <w:rPr>
          <w:b w:val="0"/>
          <w:i/>
          <w:color w:val="auto"/>
          <w:lang w:val="en-US"/>
        </w:rPr>
        <w:t>eds5</w:t>
      </w:r>
      <w:r w:rsidR="003A7C4A" w:rsidRPr="006E436D">
        <w:rPr>
          <w:b w:val="0"/>
          <w:color w:val="auto"/>
          <w:lang w:val="en-US"/>
        </w:rPr>
        <w:t xml:space="preserve"> (G) and </w:t>
      </w:r>
      <w:r w:rsidR="003A7C4A" w:rsidRPr="006E436D">
        <w:rPr>
          <w:b w:val="0"/>
          <w:i/>
          <w:color w:val="auto"/>
          <w:lang w:val="en-US"/>
        </w:rPr>
        <w:t>npr1</w:t>
      </w:r>
      <w:r w:rsidR="003A7C4A" w:rsidRPr="006E436D">
        <w:rPr>
          <w:b w:val="0"/>
          <w:color w:val="auto"/>
          <w:lang w:val="en-US"/>
        </w:rPr>
        <w:t xml:space="preserve"> (H). For mutant lines with no detail picture available, a representative overview shot is shown. Generation of the </w:t>
      </w:r>
      <w:r w:rsidR="003A7C4A" w:rsidRPr="006E436D">
        <w:rPr>
          <w:b w:val="0"/>
          <w:i/>
          <w:color w:val="auto"/>
          <w:lang w:val="en-US"/>
        </w:rPr>
        <w:t>sid2 ald1</w:t>
      </w:r>
      <w:r w:rsidR="003A7C4A" w:rsidRPr="006E436D">
        <w:rPr>
          <w:b w:val="0"/>
          <w:color w:val="auto"/>
          <w:lang w:val="en-US"/>
        </w:rPr>
        <w:t xml:space="preserve"> double mutant</w:t>
      </w:r>
      <w:r w:rsidR="00234277">
        <w:rPr>
          <w:b w:val="0"/>
          <w:color w:val="auto"/>
          <w:lang w:val="en-US"/>
        </w:rPr>
        <w:t xml:space="preserve"> line</w:t>
      </w:r>
      <w:r w:rsidR="003A7C4A" w:rsidRPr="006E436D">
        <w:rPr>
          <w:b w:val="0"/>
          <w:color w:val="auto"/>
          <w:lang w:val="en-US"/>
        </w:rPr>
        <w:t xml:space="preserve"> was done by Dr Friederike Bernsdorff. </w:t>
      </w:r>
      <w:proofErr w:type="gramStart"/>
      <w:r w:rsidR="003A7C4A" w:rsidRPr="006E436D">
        <w:rPr>
          <w:b w:val="0"/>
          <w:color w:val="auto"/>
          <w:lang w:val="en-US"/>
        </w:rPr>
        <w:t>Cp, conidiophore; HR, hypersensitive response; hy, hyphae; oo, oospore.</w:t>
      </w:r>
      <w:proofErr w:type="gramEnd"/>
    </w:p>
    <w:p w:rsidR="005451B9" w:rsidRPr="005451B9" w:rsidRDefault="0028700E" w:rsidP="0028700E">
      <w:pPr>
        <w:spacing w:after="0" w:line="360" w:lineRule="auto"/>
        <w:jc w:val="both"/>
        <w:rPr>
          <w:lang w:val="en-US"/>
        </w:rPr>
      </w:pPr>
      <w:r>
        <w:rPr>
          <w:lang w:val="en-US"/>
        </w:rPr>
        <w:lastRenderedPageBreak/>
        <w:t xml:space="preserve">In plants treated with Pip prior to infection with </w:t>
      </w:r>
      <w:r>
        <w:rPr>
          <w:i/>
          <w:lang w:val="en-US"/>
        </w:rPr>
        <w:t>Hpa</w:t>
      </w:r>
      <w:r>
        <w:rPr>
          <w:lang w:val="en-US"/>
        </w:rPr>
        <w:t xml:space="preserve"> Cala2 no disease symptoms were discernible for Col-0, </w:t>
      </w:r>
      <w:r w:rsidRPr="007409D6">
        <w:rPr>
          <w:i/>
          <w:lang w:val="en-US"/>
        </w:rPr>
        <w:t>ald1, eds5</w:t>
      </w:r>
      <w:r>
        <w:rPr>
          <w:lang w:val="en-US"/>
        </w:rPr>
        <w:t xml:space="preserve">, and also </w:t>
      </w:r>
      <w:r w:rsidRPr="007409D6">
        <w:rPr>
          <w:i/>
          <w:lang w:val="en-US"/>
        </w:rPr>
        <w:t>fmo1</w:t>
      </w:r>
      <w:r>
        <w:rPr>
          <w:lang w:val="en-US"/>
        </w:rPr>
        <w:t xml:space="preserve"> (Figure 45 A; Figure 45 B; Figure 45 C; Figure 45 G). Pip-treatment did not induce resistance in </w:t>
      </w:r>
      <w:r w:rsidRPr="007409D6">
        <w:rPr>
          <w:i/>
          <w:lang w:val="en-US"/>
        </w:rPr>
        <w:t>sid2</w:t>
      </w:r>
      <w:r>
        <w:rPr>
          <w:lang w:val="en-US"/>
        </w:rPr>
        <w:t xml:space="preserve">, which hosted hyphae and few conidiophores on leaves of Pip-treated plants, but reduced disease symptoms in </w:t>
      </w:r>
      <w:r w:rsidRPr="007409D6">
        <w:rPr>
          <w:i/>
          <w:lang w:val="en-US"/>
        </w:rPr>
        <w:t>sid2 ald1</w:t>
      </w:r>
      <w:r>
        <w:rPr>
          <w:lang w:val="en-US"/>
        </w:rPr>
        <w:t>, which showed several spots of HR on analysed leaves.</w:t>
      </w:r>
      <w:r w:rsidRPr="00B51B0A">
        <w:rPr>
          <w:lang w:val="en-US"/>
        </w:rPr>
        <w:t xml:space="preserve"> </w:t>
      </w:r>
      <w:r>
        <w:rPr>
          <w:lang w:val="en-US"/>
        </w:rPr>
        <w:t xml:space="preserve">In </w:t>
      </w:r>
      <w:r w:rsidRPr="001041D5">
        <w:rPr>
          <w:i/>
          <w:lang w:val="en-US"/>
        </w:rPr>
        <w:t>ics1 ics2</w:t>
      </w:r>
      <w:r>
        <w:rPr>
          <w:lang w:val="en-US"/>
        </w:rPr>
        <w:t xml:space="preserve"> and </w:t>
      </w:r>
      <w:r w:rsidRPr="001041D5">
        <w:rPr>
          <w:i/>
          <w:lang w:val="en-US"/>
        </w:rPr>
        <w:t>npr1</w:t>
      </w:r>
      <w:r>
        <w:rPr>
          <w:lang w:val="en-US"/>
        </w:rPr>
        <w:t xml:space="preserve">, surprisingly, Pip-treatment of plants prior to infection reduced resistance against the pathogen and allowed partial growth and proliferation of the oomycete (Figure 45 F, Figure 45 H). These analyses confirm the importance of SA for </w:t>
      </w:r>
      <w:r w:rsidRPr="0020192A">
        <w:rPr>
          <w:i/>
          <w:lang w:val="en-US"/>
        </w:rPr>
        <w:t>RPP</w:t>
      </w:r>
      <w:r>
        <w:rPr>
          <w:lang w:val="en-US"/>
        </w:rPr>
        <w:t xml:space="preserve">-mediated resistance against an avirulent </w:t>
      </w:r>
      <w:r>
        <w:rPr>
          <w:i/>
          <w:lang w:val="en-US"/>
        </w:rPr>
        <w:t>Hpa</w:t>
      </w:r>
      <w:r>
        <w:rPr>
          <w:lang w:val="en-US"/>
        </w:rPr>
        <w:t xml:space="preserve"> isolate already conjectured after analysis of metabolite profiles in infected leaves. </w:t>
      </w:r>
      <w:r w:rsidR="00F86FA1">
        <w:rPr>
          <w:lang w:val="en-US"/>
        </w:rPr>
        <w:t xml:space="preserve">In this avirulent interaction SA- and Pip-deficiency seems to add up, as the </w:t>
      </w:r>
      <w:r w:rsidR="00F86FA1" w:rsidRPr="00F86FA1">
        <w:rPr>
          <w:i/>
          <w:lang w:val="en-US"/>
        </w:rPr>
        <w:t>sid2 ald1</w:t>
      </w:r>
      <w:r w:rsidR="00F86FA1">
        <w:rPr>
          <w:lang w:val="en-US"/>
        </w:rPr>
        <w:t xml:space="preserve"> double mutant shows more severe disease symptoms than the parental lines. It is surprising that in </w:t>
      </w:r>
      <w:r w:rsidR="00F86FA1" w:rsidRPr="00F86FA1">
        <w:rPr>
          <w:i/>
          <w:lang w:val="en-US"/>
        </w:rPr>
        <w:t>sid2 ald1</w:t>
      </w:r>
      <w:r w:rsidR="00F86FA1">
        <w:rPr>
          <w:lang w:val="en-US"/>
        </w:rPr>
        <w:t xml:space="preserve"> resistance can be induced by exogenous </w:t>
      </w:r>
      <w:r w:rsidR="007E3DDE">
        <w:rPr>
          <w:lang w:val="en-US"/>
        </w:rPr>
        <w:t>Pip-</w:t>
      </w:r>
      <w:r w:rsidR="00F86FA1">
        <w:rPr>
          <w:lang w:val="en-US"/>
        </w:rPr>
        <w:t xml:space="preserve">application, which was not possible in </w:t>
      </w:r>
      <w:r w:rsidR="00F86FA1" w:rsidRPr="00F86FA1">
        <w:rPr>
          <w:i/>
          <w:lang w:val="en-US"/>
        </w:rPr>
        <w:t>sid2</w:t>
      </w:r>
      <w:r w:rsidR="00F86FA1">
        <w:rPr>
          <w:lang w:val="en-US"/>
        </w:rPr>
        <w:t>. Moreover, the other anal</w:t>
      </w:r>
      <w:r w:rsidR="007E3DDE">
        <w:rPr>
          <w:lang w:val="en-US"/>
        </w:rPr>
        <w:t>ysed plant lines impaired in SA-</w:t>
      </w:r>
      <w:r w:rsidR="00F86FA1">
        <w:rPr>
          <w:lang w:val="en-US"/>
        </w:rPr>
        <w:t xml:space="preserve">biosynthesis or </w:t>
      </w:r>
      <w:r w:rsidR="007E3DDE">
        <w:rPr>
          <w:lang w:val="en-US"/>
        </w:rPr>
        <w:t>-</w:t>
      </w:r>
      <w:r w:rsidR="00F86FA1">
        <w:rPr>
          <w:lang w:val="en-US"/>
        </w:rPr>
        <w:t xml:space="preserve">signalling initially show resistance against </w:t>
      </w:r>
      <w:r w:rsidR="007E3DDE">
        <w:rPr>
          <w:i/>
          <w:lang w:val="en-US"/>
        </w:rPr>
        <w:t>Hpa</w:t>
      </w:r>
      <w:r w:rsidR="00F86FA1">
        <w:rPr>
          <w:lang w:val="en-US"/>
        </w:rPr>
        <w:t xml:space="preserve"> Cala2. It would be expected that at least the </w:t>
      </w:r>
      <w:r w:rsidR="00F86FA1" w:rsidRPr="00F86FA1">
        <w:rPr>
          <w:i/>
          <w:lang w:val="en-US"/>
        </w:rPr>
        <w:t>ics1 ics2</w:t>
      </w:r>
      <w:r w:rsidR="00F86FA1">
        <w:rPr>
          <w:lang w:val="en-US"/>
        </w:rPr>
        <w:t xml:space="preserve"> double mutant, which is not able to synthesise any </w:t>
      </w:r>
      <w:r w:rsidR="007E3DDE">
        <w:rPr>
          <w:lang w:val="en-US"/>
        </w:rPr>
        <w:t>SA</w:t>
      </w:r>
      <w:r w:rsidR="00F86FA1">
        <w:rPr>
          <w:lang w:val="en-US"/>
        </w:rPr>
        <w:t xml:space="preserve"> at all, and </w:t>
      </w:r>
      <w:r w:rsidR="00F86FA1" w:rsidRPr="00F86FA1">
        <w:rPr>
          <w:i/>
          <w:lang w:val="en-US"/>
        </w:rPr>
        <w:t>eds5</w:t>
      </w:r>
      <w:r w:rsidR="007E3DDE">
        <w:rPr>
          <w:lang w:val="en-US"/>
        </w:rPr>
        <w:t>, essential for SA-</w:t>
      </w:r>
      <w:r w:rsidR="00F86FA1">
        <w:rPr>
          <w:lang w:val="en-US"/>
        </w:rPr>
        <w:t xml:space="preserve">biosynthesis, showed equally severe disease symptoms as observed in </w:t>
      </w:r>
      <w:r w:rsidR="00F86FA1" w:rsidRPr="00F86FA1">
        <w:rPr>
          <w:i/>
          <w:lang w:val="en-US"/>
        </w:rPr>
        <w:t>sid2</w:t>
      </w:r>
      <w:r w:rsidR="00F86FA1">
        <w:rPr>
          <w:lang w:val="en-US"/>
        </w:rPr>
        <w:t xml:space="preserve">. </w:t>
      </w:r>
      <w:r w:rsidR="007E3DDE">
        <w:rPr>
          <w:lang w:val="en-US"/>
        </w:rPr>
        <w:t xml:space="preserve">Similarly </w:t>
      </w:r>
      <w:r w:rsidR="00F86FA1">
        <w:rPr>
          <w:lang w:val="en-US"/>
        </w:rPr>
        <w:t xml:space="preserve">confusing is the enhanced susceptibility of </w:t>
      </w:r>
      <w:r w:rsidR="00F86FA1" w:rsidRPr="00E6163B">
        <w:rPr>
          <w:i/>
          <w:lang w:val="en-US"/>
        </w:rPr>
        <w:t>ics1 ics2</w:t>
      </w:r>
      <w:r w:rsidR="00F86FA1">
        <w:rPr>
          <w:lang w:val="en-US"/>
        </w:rPr>
        <w:t xml:space="preserve"> and </w:t>
      </w:r>
      <w:r w:rsidR="00F86FA1" w:rsidRPr="00E6163B">
        <w:rPr>
          <w:i/>
          <w:lang w:val="en-US"/>
        </w:rPr>
        <w:t>npr1</w:t>
      </w:r>
      <w:r w:rsidR="00F86FA1">
        <w:rPr>
          <w:lang w:val="en-US"/>
        </w:rPr>
        <w:t xml:space="preserve"> induced by exogenous </w:t>
      </w:r>
      <w:r w:rsidR="007E3DDE">
        <w:rPr>
          <w:lang w:val="en-US"/>
        </w:rPr>
        <w:t>Pip-</w:t>
      </w:r>
      <w:r w:rsidR="00F86FA1">
        <w:rPr>
          <w:lang w:val="en-US"/>
        </w:rPr>
        <w:t xml:space="preserve">application. As the plant lines for </w:t>
      </w:r>
      <w:r w:rsidR="00F86FA1" w:rsidRPr="00E6163B">
        <w:rPr>
          <w:i/>
          <w:lang w:val="en-US"/>
        </w:rPr>
        <w:t>sid2 ald1, ics1 ics2, eds5</w:t>
      </w:r>
      <w:r w:rsidR="00F86FA1">
        <w:rPr>
          <w:lang w:val="en-US"/>
        </w:rPr>
        <w:t xml:space="preserve">, and </w:t>
      </w:r>
      <w:r w:rsidR="00F86FA1" w:rsidRPr="00E6163B">
        <w:rPr>
          <w:i/>
          <w:lang w:val="en-US"/>
        </w:rPr>
        <w:t>npr1</w:t>
      </w:r>
      <w:r w:rsidR="00F86FA1">
        <w:rPr>
          <w:lang w:val="en-US"/>
        </w:rPr>
        <w:t xml:space="preserve"> were used one time so far in the analysis of the interaction of </w:t>
      </w:r>
      <w:r w:rsidR="00F86FA1" w:rsidRPr="00E6163B">
        <w:rPr>
          <w:i/>
          <w:lang w:val="en-US"/>
        </w:rPr>
        <w:t>Arabidopsis</w:t>
      </w:r>
      <w:r w:rsidR="00F86FA1">
        <w:rPr>
          <w:lang w:val="en-US"/>
        </w:rPr>
        <w:t xml:space="preserve"> with an avirulent oomycete strain, further experiments will be needed to </w:t>
      </w:r>
      <w:r w:rsidR="007E3DDE">
        <w:rPr>
          <w:lang w:val="en-US"/>
        </w:rPr>
        <w:t>strengthen</w:t>
      </w:r>
      <w:r w:rsidR="00C123D1">
        <w:rPr>
          <w:lang w:val="en-US"/>
        </w:rPr>
        <w:t xml:space="preserve"> </w:t>
      </w:r>
      <w:r>
        <w:rPr>
          <w:lang w:val="en-US"/>
        </w:rPr>
        <w:t xml:space="preserve">the </w:t>
      </w:r>
      <w:r w:rsidR="00C123D1">
        <w:rPr>
          <w:lang w:val="en-US"/>
        </w:rPr>
        <w:t>results and illuminate the mechanisms of this interaction.</w:t>
      </w:r>
    </w:p>
    <w:p w:rsidR="00B517AA" w:rsidRPr="007E3DDE" w:rsidRDefault="00B517AA" w:rsidP="0028700E">
      <w:pPr>
        <w:pStyle w:val="berschrift2"/>
        <w:jc w:val="both"/>
        <w:rPr>
          <w:color w:val="auto"/>
          <w:lang w:val="en-US"/>
        </w:rPr>
        <w:sectPr w:rsidR="00B517AA" w:rsidRPr="007E3DDE" w:rsidSect="00B517AA">
          <w:headerReference w:type="default" r:id="rId84"/>
          <w:type w:val="continuous"/>
          <w:pgSz w:w="11906" w:h="16838"/>
          <w:pgMar w:top="1417" w:right="1417" w:bottom="1134" w:left="1417" w:header="708" w:footer="708" w:gutter="0"/>
          <w:cols w:space="708"/>
          <w:titlePg/>
          <w:docGrid w:linePitch="360"/>
        </w:sectPr>
      </w:pPr>
    </w:p>
    <w:p w:rsidR="00FD65FA" w:rsidRPr="001C7E95" w:rsidRDefault="00563EC1" w:rsidP="001C7E95">
      <w:pPr>
        <w:pStyle w:val="berschrift2"/>
        <w:spacing w:after="240"/>
        <w:jc w:val="both"/>
        <w:rPr>
          <w:i/>
          <w:color w:val="auto"/>
        </w:rPr>
      </w:pPr>
      <w:bookmarkStart w:id="100" w:name="_Toc435621248"/>
      <w:r>
        <w:rPr>
          <w:color w:val="auto"/>
        </w:rPr>
        <w:lastRenderedPageBreak/>
        <w:t xml:space="preserve">6.12 </w:t>
      </w:r>
      <w:r w:rsidR="00FD65FA" w:rsidRPr="001C7E95">
        <w:rPr>
          <w:color w:val="auto"/>
        </w:rPr>
        <w:t xml:space="preserve">Changes in defence metabolite </w:t>
      </w:r>
      <w:r w:rsidR="00497642">
        <w:rPr>
          <w:color w:val="auto"/>
        </w:rPr>
        <w:t>profiles of</w:t>
      </w:r>
      <w:r w:rsidR="00FD65FA" w:rsidRPr="001C7E95">
        <w:rPr>
          <w:color w:val="auto"/>
        </w:rPr>
        <w:t xml:space="preserve"> </w:t>
      </w:r>
      <w:r w:rsidR="003108D6">
        <w:rPr>
          <w:color w:val="auto"/>
        </w:rPr>
        <w:t>A</w:t>
      </w:r>
      <w:r w:rsidR="003108D6">
        <w:rPr>
          <w:i/>
          <w:color w:val="auto"/>
        </w:rPr>
        <w:t>.</w:t>
      </w:r>
      <w:r w:rsidR="00FD65FA" w:rsidRPr="001C7E95">
        <w:rPr>
          <w:i/>
          <w:color w:val="auto"/>
        </w:rPr>
        <w:t xml:space="preserve"> thaliana</w:t>
      </w:r>
      <w:r w:rsidR="00FD65FA" w:rsidRPr="001C7E95">
        <w:rPr>
          <w:color w:val="auto"/>
        </w:rPr>
        <w:t xml:space="preserve"> after infection with the obligate biotrophic fungus </w:t>
      </w:r>
      <w:r w:rsidR="00FD65FA" w:rsidRPr="001C7E95">
        <w:rPr>
          <w:i/>
          <w:color w:val="auto"/>
        </w:rPr>
        <w:t>G</w:t>
      </w:r>
      <w:r w:rsidR="003108D6">
        <w:rPr>
          <w:i/>
          <w:color w:val="auto"/>
        </w:rPr>
        <w:t>.</w:t>
      </w:r>
      <w:r w:rsidR="00FD65FA" w:rsidRPr="001C7E95">
        <w:rPr>
          <w:i/>
          <w:color w:val="auto"/>
        </w:rPr>
        <w:t xml:space="preserve"> orontii</w:t>
      </w:r>
      <w:bookmarkEnd w:id="100"/>
    </w:p>
    <w:p w:rsidR="00FD65FA" w:rsidRPr="00FD65FA" w:rsidRDefault="003259E6" w:rsidP="00234277">
      <w:pPr>
        <w:spacing w:line="360" w:lineRule="auto"/>
        <w:jc w:val="both"/>
      </w:pPr>
      <w:r>
        <w:t xml:space="preserve">To account for potential phylum-specific differences, </w:t>
      </w:r>
      <w:r w:rsidR="0060657C">
        <w:t xml:space="preserve">another </w:t>
      </w:r>
      <w:r w:rsidR="00FD65FA" w:rsidRPr="00FD65FA">
        <w:t xml:space="preserve">biotrophic pathogen, the fungal powdery mildew agent </w:t>
      </w:r>
      <w:r w:rsidR="00FD65FA" w:rsidRPr="00FD65FA">
        <w:rPr>
          <w:i/>
        </w:rPr>
        <w:t>Golovinomyces orontii</w:t>
      </w:r>
      <w:r w:rsidR="00FD65FA" w:rsidRPr="00FD65FA">
        <w:t xml:space="preserve"> was chosen and accumulation of defence</w:t>
      </w:r>
      <w:r w:rsidR="00A00740">
        <w:t>-related</w:t>
      </w:r>
      <w:r w:rsidR="00FD65FA" w:rsidRPr="00FD65FA">
        <w:t xml:space="preserve"> metabolite</w:t>
      </w:r>
      <w:r w:rsidR="007B2B53">
        <w:t>s monitored over a defined period</w:t>
      </w:r>
      <w:r w:rsidR="00FD65FA" w:rsidRPr="00FD65FA">
        <w:t xml:space="preserve"> of time</w:t>
      </w:r>
      <w:r w:rsidR="007B2B53">
        <w:t xml:space="preserve"> after infection</w:t>
      </w:r>
      <w:r w:rsidR="00FD65FA" w:rsidRPr="00FD65FA">
        <w:t xml:space="preserve">. </w:t>
      </w:r>
      <w:r w:rsidR="00497642" w:rsidRPr="00497642">
        <w:t xml:space="preserve">Five week old, unstressed </w:t>
      </w:r>
      <w:r w:rsidR="00497642" w:rsidRPr="00497642">
        <w:rPr>
          <w:i/>
        </w:rPr>
        <w:t>Arabidopsis thaliana</w:t>
      </w:r>
      <w:r w:rsidR="00497642" w:rsidRPr="00497642">
        <w:t xml:space="preserve"> plants were treated with </w:t>
      </w:r>
      <w:r w:rsidR="00497642" w:rsidRPr="00497642">
        <w:rPr>
          <w:i/>
        </w:rPr>
        <w:t>G.</w:t>
      </w:r>
      <w:r>
        <w:rPr>
          <w:i/>
        </w:rPr>
        <w:t xml:space="preserve"> </w:t>
      </w:r>
      <w:r w:rsidR="00497642" w:rsidRPr="00497642">
        <w:rPr>
          <w:i/>
        </w:rPr>
        <w:t>orontii</w:t>
      </w:r>
      <w:r w:rsidR="00497642" w:rsidRPr="00497642">
        <w:t xml:space="preserve"> spores and samples taken at </w:t>
      </w:r>
      <w:r w:rsidR="00A00740">
        <w:t>different time points</w:t>
      </w:r>
      <w:r w:rsidR="00497642" w:rsidRPr="00497642">
        <w:t xml:space="preserve">, untreated plants were used as control. Time points for sampling were chosen to match distinct stages in infection of </w:t>
      </w:r>
      <w:r w:rsidR="00497642" w:rsidRPr="00497642">
        <w:rPr>
          <w:i/>
        </w:rPr>
        <w:t>Arabidopsis</w:t>
      </w:r>
      <w:r w:rsidR="00497642" w:rsidRPr="00497642">
        <w:t xml:space="preserve"> by </w:t>
      </w:r>
      <w:r w:rsidR="00497642" w:rsidRPr="00497642">
        <w:rPr>
          <w:i/>
        </w:rPr>
        <w:t>G.</w:t>
      </w:r>
      <w:r>
        <w:rPr>
          <w:i/>
        </w:rPr>
        <w:t xml:space="preserve"> </w:t>
      </w:r>
      <w:r w:rsidR="00497642" w:rsidRPr="00497642">
        <w:rPr>
          <w:i/>
        </w:rPr>
        <w:t>orontii</w:t>
      </w:r>
      <w:r w:rsidR="00497642" w:rsidRPr="00497642">
        <w:t>. According to Weßling and Panstruga (2012), spore germination and formation of the fungal appressorium can be detected at 2 to 5 hpi, haustoria formation starts around 1 dpi, formation of secondary hyphae and secondary feeding structures can be observed at 3 dpi and formation of new conidiophores at 4-7 dpi (Figure 19). As we were mainly interested in early accumulation</w:t>
      </w:r>
      <w:r w:rsidR="00497642">
        <w:t xml:space="preserve"> of defence metabolites, the</w:t>
      </w:r>
      <w:r w:rsidR="00497642" w:rsidRPr="00497642">
        <w:t xml:space="preserve"> time points</w:t>
      </w:r>
      <w:r w:rsidR="00497642">
        <w:t xml:space="preserve"> 4, 8, 24, 48, and 72 hpi</w:t>
      </w:r>
      <w:r w:rsidR="00497642" w:rsidRPr="00497642">
        <w:t xml:space="preserve"> were chosen. As can be seen in figure 46 A, levels for free SA were very low in non-infected as well as in </w:t>
      </w:r>
      <w:r w:rsidR="00497642" w:rsidRPr="00497642">
        <w:rPr>
          <w:i/>
        </w:rPr>
        <w:t>G.</w:t>
      </w:r>
      <w:r>
        <w:rPr>
          <w:i/>
        </w:rPr>
        <w:t xml:space="preserve"> </w:t>
      </w:r>
      <w:r w:rsidR="00497642" w:rsidRPr="00497642">
        <w:rPr>
          <w:i/>
        </w:rPr>
        <w:t>orontii</w:t>
      </w:r>
      <w:r w:rsidR="00497642" w:rsidRPr="00497642">
        <w:t xml:space="preserve">-infected plants. As only weak </w:t>
      </w:r>
      <w:r w:rsidR="00A00740">
        <w:t>SA-</w:t>
      </w:r>
      <w:r w:rsidR="00497642" w:rsidRPr="00497642">
        <w:t xml:space="preserve">accumulation was observed at 72 hpi </w:t>
      </w:r>
      <w:r w:rsidR="00497642" w:rsidRPr="00497642">
        <w:lastRenderedPageBreak/>
        <w:t xml:space="preserve">and those levels were even lower than in non-treated plants at earlier time points, </w:t>
      </w:r>
      <w:r w:rsidR="00A00740">
        <w:t>the</w:t>
      </w:r>
      <w:r w:rsidR="00497642">
        <w:t xml:space="preserve"> accumulation</w:t>
      </w:r>
      <w:r w:rsidR="00665585">
        <w:t xml:space="preserve"> of free </w:t>
      </w:r>
      <w:r>
        <w:t>SA</w:t>
      </w:r>
      <w:r w:rsidR="00497642">
        <w:t xml:space="preserve"> this early in the infection process can be considered</w:t>
      </w:r>
      <w:r w:rsidR="00497642" w:rsidRPr="00497642">
        <w:t xml:space="preserve"> negligible.</w:t>
      </w:r>
      <w:r w:rsidRPr="003259E6">
        <w:t xml:space="preserve"> </w:t>
      </w:r>
      <w:r w:rsidR="00A00740">
        <w:t>In contrast to SA-</w:t>
      </w:r>
      <w:r w:rsidRPr="00244E7C">
        <w:t>levels, camalexin significantly increased</w:t>
      </w:r>
      <w:r>
        <w:t xml:space="preserve"> from basal levels of under 0.005 µg g</w:t>
      </w:r>
      <w:r w:rsidRPr="00977450">
        <w:rPr>
          <w:vertAlign w:val="superscript"/>
        </w:rPr>
        <w:t>-1</w:t>
      </w:r>
      <w:r>
        <w:t xml:space="preserve"> FW</w:t>
      </w:r>
      <w:r w:rsidRPr="00244E7C">
        <w:t xml:space="preserve"> to </w:t>
      </w:r>
      <w:proofErr w:type="gramStart"/>
      <w:r w:rsidRPr="00244E7C">
        <w:t>0.03 µg g</w:t>
      </w:r>
      <w:r w:rsidRPr="00244E7C">
        <w:rPr>
          <w:vertAlign w:val="superscript"/>
        </w:rPr>
        <w:t>-1</w:t>
      </w:r>
      <w:r w:rsidRPr="00244E7C">
        <w:t xml:space="preserve"> FW </w:t>
      </w:r>
      <w:r>
        <w:t xml:space="preserve">in infected leaves </w:t>
      </w:r>
      <w:r w:rsidRPr="00244E7C">
        <w:t>at 72 hpi,</w:t>
      </w:r>
      <w:proofErr w:type="gramEnd"/>
      <w:r w:rsidRPr="00244E7C">
        <w:t xml:space="preserve"> but these levels were still much lower than after infection with </w:t>
      </w:r>
      <w:r>
        <w:rPr>
          <w:i/>
        </w:rPr>
        <w:t>Psm</w:t>
      </w:r>
      <w:r w:rsidRPr="00244E7C">
        <w:t xml:space="preserve"> (Figure 46 B). </w:t>
      </w:r>
      <w:r>
        <w:t>Pip</w:t>
      </w:r>
      <w:r w:rsidRPr="00244E7C">
        <w:t xml:space="preserve"> accumulated from basal levels of 0.1 µg g</w:t>
      </w:r>
      <w:r w:rsidRPr="00977450">
        <w:rPr>
          <w:vertAlign w:val="superscript"/>
        </w:rPr>
        <w:t>-1</w:t>
      </w:r>
      <w:r w:rsidRPr="00244E7C">
        <w:t xml:space="preserve"> FW </w:t>
      </w:r>
      <w:proofErr w:type="gramStart"/>
      <w:r w:rsidRPr="00244E7C">
        <w:t>to 0.4 µg g</w:t>
      </w:r>
      <w:r w:rsidRPr="00977450">
        <w:rPr>
          <w:vertAlign w:val="superscript"/>
        </w:rPr>
        <w:t>-1</w:t>
      </w:r>
      <w:r>
        <w:t xml:space="preserve"> FW in infected leaves</w:t>
      </w:r>
      <w:proofErr w:type="gramEnd"/>
      <w:r>
        <w:t xml:space="preserve"> 48 hours after infection</w:t>
      </w:r>
      <w:r w:rsidRPr="00244E7C">
        <w:t xml:space="preserve"> and increased further to 0.9 µg g</w:t>
      </w:r>
      <w:r w:rsidRPr="00977450">
        <w:rPr>
          <w:vertAlign w:val="superscript"/>
        </w:rPr>
        <w:t>-1</w:t>
      </w:r>
      <w:r w:rsidRPr="00244E7C">
        <w:t xml:space="preserve"> FW at 72 hpi (Figure 46 C).</w:t>
      </w:r>
      <w:r>
        <w:t xml:space="preserve"> </w:t>
      </w:r>
      <w:r w:rsidRPr="00244E7C">
        <w:t xml:space="preserve">A relatively high accumulation of </w:t>
      </w:r>
      <w:r>
        <w:t>the C</w:t>
      </w:r>
      <w:r w:rsidRPr="00A36CE2">
        <w:rPr>
          <w:vertAlign w:val="subscript"/>
        </w:rPr>
        <w:t>20</w:t>
      </w:r>
      <w:r>
        <w:t xml:space="preserve"> fatty acid </w:t>
      </w:r>
      <w:r w:rsidRPr="00244E7C">
        <w:t xml:space="preserve">eicosanoic acid </w:t>
      </w:r>
      <w:r>
        <w:t>from approximately 0.05 µg g</w:t>
      </w:r>
      <w:r w:rsidRPr="00244E7C">
        <w:rPr>
          <w:vertAlign w:val="superscript"/>
        </w:rPr>
        <w:t>-1</w:t>
      </w:r>
      <w:r>
        <w:t xml:space="preserve"> FW in non-infected to almost 1 µg g</w:t>
      </w:r>
      <w:r w:rsidRPr="00244E7C">
        <w:rPr>
          <w:vertAlign w:val="superscript"/>
        </w:rPr>
        <w:t>-1</w:t>
      </w:r>
      <w:r>
        <w:t xml:space="preserve"> FW in infected leaves </w:t>
      </w:r>
      <w:r w:rsidRPr="00244E7C">
        <w:t>was observed at all selected time points (Figure 46 D).</w:t>
      </w:r>
      <w:r w:rsidRPr="003259E6">
        <w:t xml:space="preserve"> </w:t>
      </w:r>
      <w:r w:rsidR="00A00740">
        <w:t>As levels for</w:t>
      </w:r>
      <w:r>
        <w:t xml:space="preserve"> eicosanoic acid were very similar at all analysed time points, it can be concluded that this compound stems from the heavily infected plants used for spore propagation and infection of the plants in this experiment.</w:t>
      </w:r>
    </w:p>
    <w:p w:rsidR="008671A3" w:rsidRDefault="00A916C7" w:rsidP="000E49B0">
      <w:pPr>
        <w:keepNext/>
        <w:spacing w:after="0" w:line="360" w:lineRule="auto"/>
        <w:jc w:val="both"/>
      </w:pPr>
      <w:r>
        <w:rPr>
          <w:noProof/>
          <w:lang w:val="de-DE" w:eastAsia="de-DE"/>
        </w:rPr>
        <w:drawing>
          <wp:anchor distT="0" distB="0" distL="114300" distR="114300" simplePos="0" relativeHeight="251706368" behindDoc="0" locked="0" layoutInCell="1" allowOverlap="1" wp14:anchorId="6C96105D" wp14:editId="53FEB01A">
            <wp:simplePos x="895350" y="3438525"/>
            <wp:positionH relativeFrom="page">
              <wp:align>center</wp:align>
            </wp:positionH>
            <wp:positionV relativeFrom="paragraph">
              <wp:posOffset>3810</wp:posOffset>
            </wp:positionV>
            <wp:extent cx="5760000" cy="3783870"/>
            <wp:effectExtent l="19050" t="19050" r="12700" b="26670"/>
            <wp:wrapTopAndBottom/>
            <wp:docPr id="70" name="Grafik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t analysis Go.png"/>
                    <pic:cNvPicPr/>
                  </pic:nvPicPr>
                  <pic:blipFill>
                    <a:blip r:embed="rId85">
                      <a:extLst>
                        <a:ext uri="{28A0092B-C50C-407E-A947-70E740481C1C}">
                          <a14:useLocalDpi xmlns:a14="http://schemas.microsoft.com/office/drawing/2010/main" val="0"/>
                        </a:ext>
                      </a:extLst>
                    </a:blip>
                    <a:stretch>
                      <a:fillRect/>
                    </a:stretch>
                  </pic:blipFill>
                  <pic:spPr>
                    <a:xfrm>
                      <a:off x="0" y="0"/>
                      <a:ext cx="5760000" cy="3783870"/>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p>
    <w:p w:rsidR="008671A3" w:rsidRPr="006E436D" w:rsidRDefault="008671A3" w:rsidP="003259E6">
      <w:pPr>
        <w:pStyle w:val="Beschriftung"/>
        <w:spacing w:after="0" w:line="360" w:lineRule="auto"/>
        <w:jc w:val="both"/>
        <w:rPr>
          <w:color w:val="auto"/>
          <w:lang w:val="en-US"/>
        </w:rPr>
      </w:pPr>
      <w:bookmarkStart w:id="101" w:name="_Toc435621164"/>
      <w:proofErr w:type="gramStart"/>
      <w:r w:rsidRPr="006E436D">
        <w:rPr>
          <w:color w:val="auto"/>
        </w:rPr>
        <w:t xml:space="preserve">Figure </w:t>
      </w:r>
      <w:r w:rsidRPr="006E436D">
        <w:rPr>
          <w:color w:val="auto"/>
        </w:rPr>
        <w:fldChar w:fldCharType="begin"/>
      </w:r>
      <w:r w:rsidRPr="006E436D">
        <w:rPr>
          <w:color w:val="auto"/>
        </w:rPr>
        <w:instrText xml:space="preserve"> SEQ Figure \* ARABIC </w:instrText>
      </w:r>
      <w:r w:rsidRPr="006E436D">
        <w:rPr>
          <w:color w:val="auto"/>
        </w:rPr>
        <w:fldChar w:fldCharType="separate"/>
      </w:r>
      <w:r w:rsidR="00CB17FE">
        <w:rPr>
          <w:noProof/>
          <w:color w:val="auto"/>
        </w:rPr>
        <w:t>46</w:t>
      </w:r>
      <w:r w:rsidRPr="006E436D">
        <w:rPr>
          <w:color w:val="auto"/>
        </w:rPr>
        <w:fldChar w:fldCharType="end"/>
      </w:r>
      <w:r w:rsidR="006C6340">
        <w:rPr>
          <w:color w:val="auto"/>
        </w:rPr>
        <w:t>.</w:t>
      </w:r>
      <w:proofErr w:type="gramEnd"/>
      <w:r w:rsidRPr="006E436D">
        <w:rPr>
          <w:color w:val="auto"/>
        </w:rPr>
        <w:t xml:space="preserve"> </w:t>
      </w:r>
      <w:proofErr w:type="gramStart"/>
      <w:r w:rsidR="001E1EEA" w:rsidRPr="006E436D">
        <w:rPr>
          <w:color w:val="auto"/>
          <w:lang w:val="en-US"/>
        </w:rPr>
        <w:t xml:space="preserve">Camalexin and </w:t>
      </w:r>
      <w:r w:rsidR="003259E6">
        <w:rPr>
          <w:color w:val="auto"/>
          <w:lang w:val="en-US"/>
        </w:rPr>
        <w:t>Pip-accumulation</w:t>
      </w:r>
      <w:r w:rsidRPr="006E436D">
        <w:rPr>
          <w:color w:val="auto"/>
          <w:lang w:val="en-US"/>
        </w:rPr>
        <w:t xml:space="preserve"> </w:t>
      </w:r>
      <w:r w:rsidR="00A00740">
        <w:rPr>
          <w:color w:val="auto"/>
          <w:lang w:val="en-US"/>
        </w:rPr>
        <w:t xml:space="preserve">after </w:t>
      </w:r>
      <w:r w:rsidRPr="006E436D">
        <w:rPr>
          <w:color w:val="auto"/>
          <w:lang w:val="en-US"/>
        </w:rPr>
        <w:t xml:space="preserve">infection of </w:t>
      </w:r>
      <w:r w:rsidRPr="006E436D">
        <w:rPr>
          <w:i/>
          <w:color w:val="auto"/>
          <w:lang w:val="en-US"/>
        </w:rPr>
        <w:t>Arabidopsis</w:t>
      </w:r>
      <w:r w:rsidRPr="006E436D">
        <w:rPr>
          <w:color w:val="auto"/>
          <w:lang w:val="en-US"/>
        </w:rPr>
        <w:t xml:space="preserve"> with </w:t>
      </w:r>
      <w:r w:rsidRPr="006E436D">
        <w:rPr>
          <w:i/>
          <w:color w:val="auto"/>
          <w:lang w:val="en-US"/>
        </w:rPr>
        <w:t>G.</w:t>
      </w:r>
      <w:r w:rsidR="003259E6">
        <w:rPr>
          <w:i/>
          <w:color w:val="auto"/>
          <w:lang w:val="en-US"/>
        </w:rPr>
        <w:t xml:space="preserve"> </w:t>
      </w:r>
      <w:r w:rsidRPr="006E436D">
        <w:rPr>
          <w:i/>
          <w:color w:val="auto"/>
          <w:lang w:val="en-US"/>
        </w:rPr>
        <w:t>orontii.</w:t>
      </w:r>
      <w:bookmarkEnd w:id="101"/>
      <w:proofErr w:type="gramEnd"/>
    </w:p>
    <w:p w:rsidR="008671A3" w:rsidRPr="006E436D" w:rsidRDefault="008671A3" w:rsidP="008671A3">
      <w:pPr>
        <w:pStyle w:val="Beschriftung"/>
        <w:jc w:val="both"/>
        <w:rPr>
          <w:b w:val="0"/>
          <w:color w:val="auto"/>
          <w:lang w:val="en-US"/>
        </w:rPr>
      </w:pPr>
      <w:r w:rsidRPr="006E436D">
        <w:rPr>
          <w:b w:val="0"/>
          <w:color w:val="auto"/>
          <w:lang w:val="en-US"/>
        </w:rPr>
        <w:t xml:space="preserve">Time course of free </w:t>
      </w:r>
      <w:r w:rsidR="003259E6">
        <w:rPr>
          <w:b w:val="0"/>
          <w:color w:val="auto"/>
          <w:lang w:val="en-US"/>
        </w:rPr>
        <w:t>SA-</w:t>
      </w:r>
      <w:r w:rsidRPr="006E436D">
        <w:rPr>
          <w:b w:val="0"/>
          <w:color w:val="auto"/>
          <w:lang w:val="en-US"/>
        </w:rPr>
        <w:t xml:space="preserve"> (A), camalexin</w:t>
      </w:r>
      <w:r w:rsidR="003259E6">
        <w:rPr>
          <w:b w:val="0"/>
          <w:color w:val="auto"/>
          <w:lang w:val="en-US"/>
        </w:rPr>
        <w:t>-</w:t>
      </w:r>
      <w:r w:rsidRPr="006E436D">
        <w:rPr>
          <w:b w:val="0"/>
          <w:color w:val="auto"/>
          <w:lang w:val="en-US"/>
        </w:rPr>
        <w:t xml:space="preserve"> (B), </w:t>
      </w:r>
      <w:r w:rsidR="003259E6">
        <w:rPr>
          <w:b w:val="0"/>
          <w:color w:val="auto"/>
          <w:lang w:val="en-US"/>
        </w:rPr>
        <w:t>Pip-</w:t>
      </w:r>
      <w:r w:rsidR="00A851F6" w:rsidRPr="006E436D">
        <w:rPr>
          <w:b w:val="0"/>
          <w:color w:val="auto"/>
          <w:lang w:val="en-US"/>
        </w:rPr>
        <w:t xml:space="preserve"> (C), and eicosanoic acid</w:t>
      </w:r>
      <w:r w:rsidR="003259E6">
        <w:rPr>
          <w:b w:val="0"/>
          <w:color w:val="auto"/>
          <w:lang w:val="en-US"/>
        </w:rPr>
        <w:t>-</w:t>
      </w:r>
      <w:r w:rsidR="001E1EEA" w:rsidRPr="006E436D">
        <w:rPr>
          <w:b w:val="0"/>
          <w:color w:val="auto"/>
          <w:lang w:val="en-US"/>
        </w:rPr>
        <w:t xml:space="preserve"> (D) </w:t>
      </w:r>
      <w:r w:rsidRPr="006E436D">
        <w:rPr>
          <w:b w:val="0"/>
          <w:color w:val="auto"/>
          <w:lang w:val="en-US"/>
        </w:rPr>
        <w:t xml:space="preserve">accumulation in </w:t>
      </w:r>
      <w:r w:rsidRPr="006E436D">
        <w:rPr>
          <w:b w:val="0"/>
          <w:i/>
          <w:color w:val="auto"/>
          <w:lang w:val="en-US"/>
        </w:rPr>
        <w:t>Arabidopsis</w:t>
      </w:r>
      <w:r w:rsidRPr="006E436D">
        <w:rPr>
          <w:b w:val="0"/>
          <w:color w:val="auto"/>
          <w:lang w:val="en-US"/>
        </w:rPr>
        <w:t xml:space="preserve"> leaves infected with the powdery mildew </w:t>
      </w:r>
      <w:r w:rsidRPr="006E436D">
        <w:rPr>
          <w:b w:val="0"/>
          <w:i/>
          <w:color w:val="auto"/>
          <w:lang w:val="en-US"/>
        </w:rPr>
        <w:t>G</w:t>
      </w:r>
      <w:r w:rsidR="003259E6">
        <w:rPr>
          <w:b w:val="0"/>
          <w:i/>
          <w:color w:val="auto"/>
          <w:lang w:val="en-US"/>
        </w:rPr>
        <w:t>.</w:t>
      </w:r>
      <w:r w:rsidRPr="006E436D">
        <w:rPr>
          <w:b w:val="0"/>
          <w:i/>
          <w:color w:val="auto"/>
          <w:lang w:val="en-US"/>
        </w:rPr>
        <w:t xml:space="preserve"> orontii</w:t>
      </w:r>
      <w:r w:rsidRPr="006E436D">
        <w:rPr>
          <w:b w:val="0"/>
          <w:color w:val="auto"/>
          <w:lang w:val="en-US"/>
        </w:rPr>
        <w:t xml:space="preserve">. Bars correspond to the mean ±SD of three replicate samples and asterisks above the bars show significant statistical differences between non-infected and infected plants (two-tailed </w:t>
      </w:r>
      <w:r w:rsidRPr="006E436D">
        <w:rPr>
          <w:b w:val="0"/>
          <w:i/>
          <w:color w:val="auto"/>
          <w:lang w:val="en-US"/>
        </w:rPr>
        <w:t xml:space="preserve">t </w:t>
      </w:r>
      <w:r w:rsidRPr="006E436D">
        <w:rPr>
          <w:b w:val="0"/>
          <w:color w:val="auto"/>
          <w:lang w:val="en-US"/>
        </w:rPr>
        <w:t xml:space="preserve">test; *, P&lt; 0.05; **, P&lt; 0.01; ***, P&lt; 0.001). </w:t>
      </w:r>
      <w:proofErr w:type="gramStart"/>
      <w:r w:rsidRPr="006E436D">
        <w:rPr>
          <w:b w:val="0"/>
          <w:color w:val="auto"/>
          <w:lang w:val="en-US"/>
        </w:rPr>
        <w:t>FW, fresh weight.</w:t>
      </w:r>
      <w:proofErr w:type="gramEnd"/>
      <w:r w:rsidR="00270F1D" w:rsidRPr="006E436D">
        <w:rPr>
          <w:b w:val="0"/>
          <w:color w:val="auto"/>
          <w:lang w:val="en-US"/>
        </w:rPr>
        <w:t xml:space="preserve"> This experiment was done in collaboration with Dr Michaela Kopischke</w:t>
      </w:r>
      <w:r w:rsidR="00A851F6" w:rsidRPr="006E436D">
        <w:rPr>
          <w:b w:val="0"/>
          <w:color w:val="auto"/>
          <w:lang w:val="en-US"/>
        </w:rPr>
        <w:t xml:space="preserve"> (University Göttingen; now TSL)</w:t>
      </w:r>
      <w:r w:rsidR="00270F1D" w:rsidRPr="006E436D">
        <w:rPr>
          <w:b w:val="0"/>
          <w:color w:val="auto"/>
          <w:lang w:val="en-US"/>
        </w:rPr>
        <w:t>.</w:t>
      </w:r>
    </w:p>
    <w:p w:rsidR="00244E7C" w:rsidRPr="00244E7C" w:rsidRDefault="00244E7C" w:rsidP="00244E7C">
      <w:pPr>
        <w:spacing w:line="360" w:lineRule="auto"/>
        <w:jc w:val="both"/>
      </w:pPr>
      <w:r>
        <w:t xml:space="preserve">These analyses show on the one hand that after infection with the powdery mildew </w:t>
      </w:r>
      <w:r w:rsidRPr="004D63EC">
        <w:rPr>
          <w:i/>
        </w:rPr>
        <w:t>Golovinomyces orontii</w:t>
      </w:r>
      <w:r>
        <w:t xml:space="preserve"> the defence-related metabolites camalexin and </w:t>
      </w:r>
      <w:r w:rsidR="003259E6">
        <w:t>Pip</w:t>
      </w:r>
      <w:r>
        <w:t xml:space="preserve"> accumulate relatively early. On the other hand, these compounds did not increase to levels comparable to </w:t>
      </w:r>
      <w:r w:rsidR="003259E6">
        <w:rPr>
          <w:i/>
        </w:rPr>
        <w:t>Psm</w:t>
      </w:r>
      <w:r>
        <w:t xml:space="preserve">-infected leaves. </w:t>
      </w:r>
    </w:p>
    <w:p w:rsidR="00B517AA" w:rsidRDefault="00B517AA" w:rsidP="00C62CAF">
      <w:pPr>
        <w:pStyle w:val="berschrift2"/>
        <w:spacing w:after="240"/>
        <w:jc w:val="both"/>
        <w:rPr>
          <w:color w:val="auto"/>
          <w:lang w:val="en-US"/>
        </w:rPr>
        <w:sectPr w:rsidR="00B517AA" w:rsidSect="00B517AA">
          <w:headerReference w:type="default" r:id="rId86"/>
          <w:type w:val="continuous"/>
          <w:pgSz w:w="11906" w:h="16838"/>
          <w:pgMar w:top="1417" w:right="1417" w:bottom="1134" w:left="1417" w:header="708" w:footer="708" w:gutter="0"/>
          <w:cols w:space="708"/>
          <w:titlePg/>
          <w:docGrid w:linePitch="360"/>
        </w:sectPr>
      </w:pPr>
    </w:p>
    <w:p w:rsidR="00A33AD1" w:rsidRDefault="00563EC1" w:rsidP="00C62CAF">
      <w:pPr>
        <w:pStyle w:val="berschrift2"/>
        <w:spacing w:after="240"/>
        <w:jc w:val="both"/>
        <w:rPr>
          <w:i/>
          <w:color w:val="auto"/>
          <w:lang w:val="en-US"/>
        </w:rPr>
      </w:pPr>
      <w:bookmarkStart w:id="102" w:name="_Toc435621249"/>
      <w:r>
        <w:rPr>
          <w:color w:val="auto"/>
          <w:lang w:val="en-US"/>
        </w:rPr>
        <w:lastRenderedPageBreak/>
        <w:t xml:space="preserve">6.13 </w:t>
      </w:r>
      <w:r w:rsidR="00A00740">
        <w:rPr>
          <w:color w:val="auto"/>
          <w:lang w:val="en-US"/>
        </w:rPr>
        <w:t>Pip</w:t>
      </w:r>
      <w:r w:rsidR="00A33AD1" w:rsidRPr="00A33AD1">
        <w:rPr>
          <w:color w:val="auto"/>
          <w:lang w:val="en-US"/>
        </w:rPr>
        <w:t xml:space="preserve"> does not induce resistance against</w:t>
      </w:r>
      <w:r w:rsidR="00C62CAF">
        <w:rPr>
          <w:color w:val="auto"/>
          <w:lang w:val="en-US"/>
        </w:rPr>
        <w:t xml:space="preserve"> the powdery mildew</w:t>
      </w:r>
      <w:r w:rsidR="00A33AD1" w:rsidRPr="00A33AD1">
        <w:rPr>
          <w:color w:val="auto"/>
          <w:lang w:val="en-US"/>
        </w:rPr>
        <w:t xml:space="preserve"> </w:t>
      </w:r>
      <w:r w:rsidR="00A33AD1" w:rsidRPr="00B36973">
        <w:rPr>
          <w:i/>
          <w:color w:val="auto"/>
          <w:lang w:val="en-US"/>
        </w:rPr>
        <w:t>G</w:t>
      </w:r>
      <w:r w:rsidR="003108D6">
        <w:rPr>
          <w:i/>
          <w:color w:val="auto"/>
          <w:lang w:val="en-US"/>
        </w:rPr>
        <w:t>.</w:t>
      </w:r>
      <w:r w:rsidR="00A33AD1" w:rsidRPr="00B36973">
        <w:rPr>
          <w:i/>
          <w:color w:val="auto"/>
          <w:lang w:val="en-US"/>
        </w:rPr>
        <w:t xml:space="preserve"> orontii</w:t>
      </w:r>
      <w:bookmarkEnd w:id="102"/>
    </w:p>
    <w:p w:rsidR="009C16DF" w:rsidRDefault="009C16DF" w:rsidP="00294C4C">
      <w:pPr>
        <w:spacing w:line="360" w:lineRule="auto"/>
        <w:jc w:val="both"/>
        <w:rPr>
          <w:lang w:val="en-US"/>
        </w:rPr>
      </w:pPr>
      <w:r>
        <w:t xml:space="preserve">Similarly to the analyses of pathosystems with </w:t>
      </w:r>
      <w:r w:rsidRPr="0060657C">
        <w:rPr>
          <w:i/>
        </w:rPr>
        <w:t>Botrytis cinerea</w:t>
      </w:r>
      <w:r>
        <w:t xml:space="preserve"> and </w:t>
      </w:r>
      <w:r w:rsidRPr="0060657C">
        <w:rPr>
          <w:i/>
        </w:rPr>
        <w:t>Hyaloperonospora arabidopsidis</w:t>
      </w:r>
      <w:r w:rsidR="009C36EF">
        <w:t>,</w:t>
      </w:r>
      <w:r>
        <w:t xml:space="preserve"> disease development in plants infected with </w:t>
      </w:r>
      <w:r w:rsidRPr="0060657C">
        <w:rPr>
          <w:i/>
        </w:rPr>
        <w:t>Golovinomyces orontii</w:t>
      </w:r>
      <w:r>
        <w:t xml:space="preserve"> and Pip-</w:t>
      </w:r>
      <w:r w:rsidR="00892561">
        <w:t>IR</w:t>
      </w:r>
      <w:r>
        <w:t xml:space="preserve"> against this powdery mildew was analysed. In this study a diverse set of mutant lines was used: </w:t>
      </w:r>
      <w:r w:rsidRPr="00DF37F4">
        <w:rPr>
          <w:i/>
        </w:rPr>
        <w:t>ald1, fmo1, sid2</w:t>
      </w:r>
      <w:r>
        <w:t xml:space="preserve">, and </w:t>
      </w:r>
      <w:r w:rsidRPr="00DF37F4">
        <w:rPr>
          <w:i/>
        </w:rPr>
        <w:t>npr1</w:t>
      </w:r>
      <w:r>
        <w:t xml:space="preserve">, which were also used in experiments with </w:t>
      </w:r>
      <w:r w:rsidRPr="00DF37F4">
        <w:rPr>
          <w:i/>
        </w:rPr>
        <w:t>B.</w:t>
      </w:r>
      <w:r w:rsidR="009C36EF">
        <w:rPr>
          <w:i/>
        </w:rPr>
        <w:t xml:space="preserve"> </w:t>
      </w:r>
      <w:r w:rsidRPr="00DF37F4">
        <w:rPr>
          <w:i/>
        </w:rPr>
        <w:t>cinerea</w:t>
      </w:r>
      <w:r>
        <w:t xml:space="preserve"> and </w:t>
      </w:r>
      <w:r w:rsidR="009C36EF">
        <w:rPr>
          <w:i/>
        </w:rPr>
        <w:t>Hpa</w:t>
      </w:r>
      <w:r>
        <w:t xml:space="preserve">. In addition to those </w:t>
      </w:r>
      <w:r w:rsidR="00234277">
        <w:t xml:space="preserve">lines </w:t>
      </w:r>
      <w:r>
        <w:t xml:space="preserve">the </w:t>
      </w:r>
      <w:r w:rsidRPr="00DF37F4">
        <w:rPr>
          <w:i/>
        </w:rPr>
        <w:t>pad4</w:t>
      </w:r>
      <w:r>
        <w:t xml:space="preserve"> mutant line was used, which is impaired in expression of a positive regulator of </w:t>
      </w:r>
      <w:r w:rsidR="009C36EF">
        <w:t>SA-</w:t>
      </w:r>
      <w:r>
        <w:t xml:space="preserve">biosynthesis (Jirage </w:t>
      </w:r>
      <w:r w:rsidRPr="00143760">
        <w:rPr>
          <w:i/>
        </w:rPr>
        <w:t>et al.,</w:t>
      </w:r>
      <w:r>
        <w:t xml:space="preserve"> 1999). The </w:t>
      </w:r>
      <w:r w:rsidRPr="00D7476B">
        <w:rPr>
          <w:i/>
        </w:rPr>
        <w:t>edr1</w:t>
      </w:r>
      <w:r>
        <w:t xml:space="preserve"> (</w:t>
      </w:r>
      <w:r w:rsidRPr="00D7476B">
        <w:rPr>
          <w:i/>
        </w:rPr>
        <w:t>enhanced disease resistance 1</w:t>
      </w:r>
      <w:r w:rsidR="00234277">
        <w:t>) mutant line</w:t>
      </w:r>
      <w:r>
        <w:t xml:space="preserve"> was shown to exhibit enhanced resistance against different powdery mildew strains (Frye and Innes, 1998) and was used as a control line for strong resistance against </w:t>
      </w:r>
      <w:r w:rsidRPr="00132AD6">
        <w:rPr>
          <w:i/>
        </w:rPr>
        <w:t>G.</w:t>
      </w:r>
      <w:r w:rsidR="009C36EF">
        <w:rPr>
          <w:i/>
        </w:rPr>
        <w:t xml:space="preserve"> </w:t>
      </w:r>
      <w:r w:rsidRPr="00132AD6">
        <w:rPr>
          <w:i/>
        </w:rPr>
        <w:t>orontii</w:t>
      </w:r>
      <w:r>
        <w:t xml:space="preserve">. As an example for a very susceptible plant line the </w:t>
      </w:r>
      <w:r>
        <w:rPr>
          <w:i/>
        </w:rPr>
        <w:t>pen2 pad4 sag</w:t>
      </w:r>
      <w:r w:rsidRPr="00781659">
        <w:rPr>
          <w:i/>
        </w:rPr>
        <w:t>101</w:t>
      </w:r>
      <w:r>
        <w:t xml:space="preserve"> triple mutant was used, which is impaired in penetration resistance conferred by the glycosyl hydrolase PEN2, shows disturbances in regulation of </w:t>
      </w:r>
      <w:r w:rsidR="009C36EF">
        <w:t>SA-</w:t>
      </w:r>
      <w:r>
        <w:t xml:space="preserve">biosynthesis, and SA-mediated signalling (Lipka </w:t>
      </w:r>
      <w:r w:rsidRPr="00781659">
        <w:rPr>
          <w:i/>
        </w:rPr>
        <w:t>et al</w:t>
      </w:r>
      <w:r>
        <w:t xml:space="preserve">., 2005). The </w:t>
      </w:r>
      <w:r w:rsidRPr="004D18A7">
        <w:rPr>
          <w:i/>
        </w:rPr>
        <w:t>gl1</w:t>
      </w:r>
      <w:r>
        <w:t xml:space="preserve"> (</w:t>
      </w:r>
      <w:r w:rsidRPr="004D18A7">
        <w:rPr>
          <w:i/>
        </w:rPr>
        <w:t>glabra1</w:t>
      </w:r>
      <w:r>
        <w:t xml:space="preserve">; Marks and Feldmann, 1989) mutant line was used as a positive control for the triple mutant. </w:t>
      </w:r>
    </w:p>
    <w:p w:rsidR="00E57E42" w:rsidRPr="009C16DF" w:rsidRDefault="009C16DF" w:rsidP="009C16DF">
      <w:pPr>
        <w:spacing w:line="360" w:lineRule="auto"/>
        <w:jc w:val="both"/>
        <w:rPr>
          <w:lang w:val="en-US"/>
        </w:rPr>
      </w:pPr>
      <w:r>
        <w:rPr>
          <w:noProof/>
          <w:lang w:val="de-DE" w:eastAsia="de-DE"/>
        </w:rPr>
        <w:drawing>
          <wp:anchor distT="0" distB="0" distL="114300" distR="114300" simplePos="0" relativeHeight="251710464" behindDoc="0" locked="0" layoutInCell="1" allowOverlap="1" wp14:anchorId="6CB6BA12" wp14:editId="390D4292">
            <wp:simplePos x="895350" y="1209675"/>
            <wp:positionH relativeFrom="page">
              <wp:align>center</wp:align>
            </wp:positionH>
            <wp:positionV relativeFrom="paragraph">
              <wp:posOffset>0</wp:posOffset>
            </wp:positionV>
            <wp:extent cx="4320000" cy="2573405"/>
            <wp:effectExtent l="19050" t="19050" r="23495" b="17780"/>
            <wp:wrapTopAndBottom/>
            <wp:docPr id="20" name="Grafi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p-IR vs Go.png"/>
                    <pic:cNvPicPr/>
                  </pic:nvPicPr>
                  <pic:blipFill>
                    <a:blip r:embed="rId87">
                      <a:extLst>
                        <a:ext uri="{28A0092B-C50C-407E-A947-70E740481C1C}">
                          <a14:useLocalDpi xmlns:a14="http://schemas.microsoft.com/office/drawing/2010/main" val="0"/>
                        </a:ext>
                      </a:extLst>
                    </a:blip>
                    <a:stretch>
                      <a:fillRect/>
                    </a:stretch>
                  </pic:blipFill>
                  <pic:spPr>
                    <a:xfrm>
                      <a:off x="0" y="0"/>
                      <a:ext cx="4320000" cy="2573405"/>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p>
    <w:p w:rsidR="00990AFC" w:rsidRPr="006E436D" w:rsidRDefault="00E57E42" w:rsidP="009C36EF">
      <w:pPr>
        <w:pStyle w:val="Beschriftung"/>
        <w:spacing w:after="0" w:line="360" w:lineRule="auto"/>
        <w:rPr>
          <w:color w:val="auto"/>
          <w:lang w:val="en-US"/>
        </w:rPr>
      </w:pPr>
      <w:bookmarkStart w:id="103" w:name="_Toc435621165"/>
      <w:proofErr w:type="gramStart"/>
      <w:r w:rsidRPr="006E436D">
        <w:rPr>
          <w:color w:val="auto"/>
        </w:rPr>
        <w:t xml:space="preserve">Figure </w:t>
      </w:r>
      <w:r w:rsidRPr="006E436D">
        <w:rPr>
          <w:color w:val="auto"/>
        </w:rPr>
        <w:fldChar w:fldCharType="begin"/>
      </w:r>
      <w:r w:rsidRPr="006E436D">
        <w:rPr>
          <w:color w:val="auto"/>
        </w:rPr>
        <w:instrText xml:space="preserve"> SEQ Figure \* ARABIC </w:instrText>
      </w:r>
      <w:r w:rsidRPr="006E436D">
        <w:rPr>
          <w:color w:val="auto"/>
        </w:rPr>
        <w:fldChar w:fldCharType="separate"/>
      </w:r>
      <w:r w:rsidR="00CB17FE">
        <w:rPr>
          <w:noProof/>
          <w:color w:val="auto"/>
        </w:rPr>
        <w:t>47</w:t>
      </w:r>
      <w:r w:rsidRPr="006E436D">
        <w:rPr>
          <w:color w:val="auto"/>
        </w:rPr>
        <w:fldChar w:fldCharType="end"/>
      </w:r>
      <w:r w:rsidR="006C6340">
        <w:rPr>
          <w:color w:val="auto"/>
        </w:rPr>
        <w:t>.</w:t>
      </w:r>
      <w:proofErr w:type="gramEnd"/>
      <w:r w:rsidRPr="006E436D">
        <w:rPr>
          <w:color w:val="auto"/>
        </w:rPr>
        <w:t xml:space="preserve"> </w:t>
      </w:r>
      <w:r w:rsidR="00990AFC" w:rsidRPr="006E436D">
        <w:rPr>
          <w:color w:val="auto"/>
          <w:lang w:val="en-US"/>
        </w:rPr>
        <w:t xml:space="preserve">Growth of the powdery mildew </w:t>
      </w:r>
      <w:r w:rsidR="00990AFC" w:rsidRPr="006E436D">
        <w:rPr>
          <w:i/>
          <w:color w:val="auto"/>
          <w:lang w:val="en-US"/>
        </w:rPr>
        <w:t>G</w:t>
      </w:r>
      <w:r w:rsidR="00892561">
        <w:rPr>
          <w:i/>
          <w:color w:val="auto"/>
          <w:lang w:val="en-US"/>
        </w:rPr>
        <w:t>.</w:t>
      </w:r>
      <w:r w:rsidR="00990AFC" w:rsidRPr="006E436D">
        <w:rPr>
          <w:i/>
          <w:color w:val="auto"/>
          <w:lang w:val="en-US"/>
        </w:rPr>
        <w:t xml:space="preserve"> orontii</w:t>
      </w:r>
      <w:r w:rsidR="00990AFC" w:rsidRPr="006E436D">
        <w:rPr>
          <w:color w:val="auto"/>
          <w:lang w:val="en-US"/>
        </w:rPr>
        <w:t xml:space="preserve"> is not impaired by </w:t>
      </w:r>
      <w:r w:rsidR="00892561">
        <w:rPr>
          <w:color w:val="auto"/>
          <w:lang w:val="en-US"/>
        </w:rPr>
        <w:t xml:space="preserve">exogenously applied </w:t>
      </w:r>
      <w:r w:rsidR="009C36EF">
        <w:rPr>
          <w:color w:val="auto"/>
          <w:lang w:val="en-US"/>
        </w:rPr>
        <w:t>Pip</w:t>
      </w:r>
      <w:r w:rsidR="00990AFC" w:rsidRPr="006E436D">
        <w:rPr>
          <w:color w:val="auto"/>
          <w:lang w:val="en-US"/>
        </w:rPr>
        <w:t>.</w:t>
      </w:r>
      <w:bookmarkEnd w:id="103"/>
    </w:p>
    <w:p w:rsidR="00286D2C" w:rsidRPr="006E436D" w:rsidRDefault="009C36EF" w:rsidP="00294C4C">
      <w:pPr>
        <w:pStyle w:val="Beschriftung"/>
        <w:jc w:val="both"/>
        <w:rPr>
          <w:b w:val="0"/>
          <w:color w:val="auto"/>
          <w:lang w:val="en-US"/>
        </w:rPr>
      </w:pPr>
      <w:r>
        <w:rPr>
          <w:b w:val="0"/>
          <w:i/>
          <w:color w:val="auto"/>
          <w:lang w:val="en-US"/>
        </w:rPr>
        <w:t>A.</w:t>
      </w:r>
      <w:r w:rsidR="00990AFC" w:rsidRPr="006E436D">
        <w:rPr>
          <w:b w:val="0"/>
          <w:i/>
          <w:color w:val="auto"/>
          <w:lang w:val="en-US"/>
        </w:rPr>
        <w:t xml:space="preserve"> thaliana</w:t>
      </w:r>
      <w:r w:rsidR="00990AFC" w:rsidRPr="006E436D">
        <w:rPr>
          <w:b w:val="0"/>
          <w:color w:val="auto"/>
          <w:lang w:val="en-US"/>
        </w:rPr>
        <w:t xml:space="preserve"> plants were supplied with water or </w:t>
      </w:r>
      <w:r w:rsidR="00234277">
        <w:rPr>
          <w:b w:val="0"/>
          <w:color w:val="auto"/>
          <w:lang w:val="en-US"/>
        </w:rPr>
        <w:t>1 mM</w:t>
      </w:r>
      <w:r w:rsidR="00A851F6" w:rsidRPr="006E436D">
        <w:rPr>
          <w:b w:val="0"/>
          <w:color w:val="auto"/>
          <w:lang w:val="en-US"/>
        </w:rPr>
        <w:t xml:space="preserve"> </w:t>
      </w:r>
      <w:r>
        <w:rPr>
          <w:b w:val="0"/>
          <w:color w:val="auto"/>
          <w:lang w:val="en-US"/>
        </w:rPr>
        <w:t>Pip</w:t>
      </w:r>
      <w:r w:rsidR="00990AFC" w:rsidRPr="006E436D">
        <w:rPr>
          <w:b w:val="0"/>
          <w:color w:val="auto"/>
          <w:lang w:val="en-US"/>
        </w:rPr>
        <w:t xml:space="preserve"> to the root system 1 day prior to brush-infection with the biotrophic fungus </w:t>
      </w:r>
      <w:r w:rsidR="00990AFC" w:rsidRPr="006E436D">
        <w:rPr>
          <w:b w:val="0"/>
          <w:i/>
          <w:color w:val="auto"/>
          <w:lang w:val="en-US"/>
        </w:rPr>
        <w:t>G. orontii.</w:t>
      </w:r>
      <w:r w:rsidR="00990AFC" w:rsidRPr="006E436D">
        <w:rPr>
          <w:b w:val="0"/>
          <w:color w:val="auto"/>
          <w:lang w:val="en-US"/>
        </w:rPr>
        <w:t xml:space="preserve"> </w:t>
      </w:r>
      <w:r w:rsidR="00A851F6" w:rsidRPr="006E436D">
        <w:rPr>
          <w:b w:val="0"/>
          <w:color w:val="auto"/>
          <w:lang w:val="en-US"/>
        </w:rPr>
        <w:t xml:space="preserve">At </w:t>
      </w:r>
      <w:r w:rsidR="00990AFC" w:rsidRPr="006E436D">
        <w:rPr>
          <w:b w:val="0"/>
          <w:color w:val="auto"/>
          <w:lang w:val="en-US"/>
        </w:rPr>
        <w:t>7 dpi</w:t>
      </w:r>
      <w:r w:rsidR="00A851F6" w:rsidRPr="006E436D">
        <w:rPr>
          <w:b w:val="0"/>
          <w:color w:val="auto"/>
          <w:lang w:val="en-US"/>
        </w:rPr>
        <w:t>,</w:t>
      </w:r>
      <w:r w:rsidR="00990AFC" w:rsidRPr="006E436D">
        <w:rPr>
          <w:b w:val="0"/>
          <w:color w:val="auto"/>
          <w:lang w:val="en-US"/>
        </w:rPr>
        <w:t xml:space="preserve"> leaves were destained in ethanol and fungal colonies on the leaves stained with Coomassie Brilliant-blue. To a</w:t>
      </w:r>
      <w:r w:rsidR="00A851F6" w:rsidRPr="006E436D">
        <w:rPr>
          <w:b w:val="0"/>
          <w:color w:val="auto"/>
          <w:lang w:val="en-US"/>
        </w:rPr>
        <w:t>scertain</w:t>
      </w:r>
      <w:r w:rsidR="00990AFC" w:rsidRPr="006E436D">
        <w:rPr>
          <w:b w:val="0"/>
          <w:color w:val="auto"/>
          <w:lang w:val="en-US"/>
        </w:rPr>
        <w:t xml:space="preserve"> severity of infection, 20 microcolonies per leaf were chosen and the number of conidiophores per microcolony counted. Experiments with </w:t>
      </w:r>
      <w:r w:rsidR="00990AFC" w:rsidRPr="006E436D">
        <w:rPr>
          <w:b w:val="0"/>
          <w:i/>
          <w:color w:val="auto"/>
          <w:lang w:val="en-US"/>
        </w:rPr>
        <w:t>G.</w:t>
      </w:r>
      <w:r>
        <w:rPr>
          <w:b w:val="0"/>
          <w:i/>
          <w:color w:val="auto"/>
          <w:lang w:val="en-US"/>
        </w:rPr>
        <w:t xml:space="preserve"> </w:t>
      </w:r>
      <w:r w:rsidR="00990AFC" w:rsidRPr="006E436D">
        <w:rPr>
          <w:b w:val="0"/>
          <w:i/>
          <w:color w:val="auto"/>
          <w:lang w:val="en-US"/>
        </w:rPr>
        <w:t>orontii</w:t>
      </w:r>
      <w:r w:rsidR="00990AFC" w:rsidRPr="006E436D">
        <w:rPr>
          <w:b w:val="0"/>
          <w:color w:val="auto"/>
          <w:lang w:val="en-US"/>
        </w:rPr>
        <w:t xml:space="preserve"> were conducted with the kind help of Dr Michaela Kopischke</w:t>
      </w:r>
      <w:r w:rsidR="00A851F6" w:rsidRPr="006E436D">
        <w:rPr>
          <w:b w:val="0"/>
          <w:color w:val="auto"/>
          <w:lang w:val="en-US"/>
        </w:rPr>
        <w:t xml:space="preserve"> (University Göttingen; now TSL)</w:t>
      </w:r>
      <w:r w:rsidR="00990AFC" w:rsidRPr="006E436D">
        <w:rPr>
          <w:b w:val="0"/>
          <w:color w:val="auto"/>
          <w:lang w:val="en-US"/>
        </w:rPr>
        <w:t>.</w:t>
      </w:r>
      <w:r w:rsidR="00587A8C" w:rsidRPr="006E436D">
        <w:rPr>
          <w:b w:val="0"/>
          <w:color w:val="auto"/>
          <w:lang w:val="en-US"/>
        </w:rPr>
        <w:t xml:space="preserve"> Statistical significant differences between water- and Pip-treated plants (asterisks above the bars) were assessed</w:t>
      </w:r>
      <w:r w:rsidR="009C16DF" w:rsidRPr="006E436D">
        <w:rPr>
          <w:b w:val="0"/>
          <w:color w:val="auto"/>
          <w:lang w:val="en-US"/>
        </w:rPr>
        <w:t>, as well as differences between Col-0 and mutant plants (letters above the bars),</w:t>
      </w:r>
      <w:r w:rsidR="00587A8C" w:rsidRPr="006E436D">
        <w:rPr>
          <w:b w:val="0"/>
          <w:color w:val="auto"/>
          <w:lang w:val="en-US"/>
        </w:rPr>
        <w:t xml:space="preserve"> using a two-tailed </w:t>
      </w:r>
      <w:r w:rsidR="00587A8C" w:rsidRPr="006E436D">
        <w:rPr>
          <w:b w:val="0"/>
          <w:i/>
          <w:color w:val="auto"/>
          <w:lang w:val="en-US"/>
        </w:rPr>
        <w:t>t</w:t>
      </w:r>
      <w:r w:rsidR="00513D22" w:rsidRPr="006E436D">
        <w:rPr>
          <w:b w:val="0"/>
          <w:color w:val="auto"/>
          <w:lang w:val="en-US"/>
        </w:rPr>
        <w:t xml:space="preserve"> test (*</w:t>
      </w:r>
      <w:r w:rsidR="009C16DF" w:rsidRPr="006E436D">
        <w:rPr>
          <w:b w:val="0"/>
          <w:color w:val="auto"/>
          <w:lang w:val="en-US"/>
        </w:rPr>
        <w:t xml:space="preserve"> a</w:t>
      </w:r>
      <w:r w:rsidR="00587A8C" w:rsidRPr="006E436D">
        <w:rPr>
          <w:b w:val="0"/>
          <w:color w:val="auto"/>
          <w:lang w:val="en-US"/>
        </w:rPr>
        <w:t>, P&lt; 0</w:t>
      </w:r>
      <w:r w:rsidR="00513D22" w:rsidRPr="006E436D">
        <w:rPr>
          <w:b w:val="0"/>
          <w:color w:val="auto"/>
          <w:lang w:val="en-US"/>
        </w:rPr>
        <w:t>.05; **</w:t>
      </w:r>
      <w:r w:rsidR="009C16DF" w:rsidRPr="006E436D">
        <w:rPr>
          <w:b w:val="0"/>
          <w:color w:val="auto"/>
          <w:lang w:val="en-US"/>
        </w:rPr>
        <w:t xml:space="preserve"> b</w:t>
      </w:r>
      <w:r w:rsidR="00587A8C" w:rsidRPr="006E436D">
        <w:rPr>
          <w:b w:val="0"/>
          <w:color w:val="auto"/>
          <w:lang w:val="en-US"/>
        </w:rPr>
        <w:t xml:space="preserve">, P&lt; 0.01; </w:t>
      </w:r>
      <w:r w:rsidR="00513D22" w:rsidRPr="006E436D">
        <w:rPr>
          <w:b w:val="0"/>
          <w:color w:val="auto"/>
          <w:lang w:val="en-US"/>
        </w:rPr>
        <w:t>***</w:t>
      </w:r>
      <w:r w:rsidR="009C16DF" w:rsidRPr="006E436D">
        <w:rPr>
          <w:b w:val="0"/>
          <w:color w:val="auto"/>
          <w:lang w:val="en-US"/>
        </w:rPr>
        <w:t xml:space="preserve"> c</w:t>
      </w:r>
      <w:r w:rsidR="00513D22" w:rsidRPr="006E436D">
        <w:rPr>
          <w:b w:val="0"/>
          <w:color w:val="auto"/>
          <w:lang w:val="en-US"/>
        </w:rPr>
        <w:t xml:space="preserve">, P&lt;0.001). </w:t>
      </w:r>
    </w:p>
    <w:p w:rsidR="002B77E0" w:rsidRPr="00892561" w:rsidRDefault="00892561" w:rsidP="00892561">
      <w:pPr>
        <w:spacing w:line="360" w:lineRule="auto"/>
        <w:jc w:val="both"/>
        <w:rPr>
          <w:lang w:val="en-US"/>
        </w:rPr>
      </w:pPr>
      <w:r>
        <w:rPr>
          <w:lang w:val="en-US"/>
        </w:rPr>
        <w:t>O</w:t>
      </w:r>
      <w:r>
        <w:t xml:space="preserve">n water-treated leaves of Col-0, </w:t>
      </w:r>
      <w:r w:rsidRPr="00234277">
        <w:rPr>
          <w:i/>
        </w:rPr>
        <w:t>sid2</w:t>
      </w:r>
      <w:r>
        <w:t xml:space="preserve">, and </w:t>
      </w:r>
      <w:r w:rsidRPr="00234277">
        <w:rPr>
          <w:i/>
        </w:rPr>
        <w:t>gl1</w:t>
      </w:r>
      <w:r>
        <w:t xml:space="preserve"> plants, on average 15 conidiophores per microcolony were counted, which signifies a moderate spread of the powdery mildew fungus on the leaves (Figure 47). The mutant lines </w:t>
      </w:r>
      <w:r w:rsidRPr="00E15EC9">
        <w:rPr>
          <w:i/>
        </w:rPr>
        <w:t>ald1</w:t>
      </w:r>
      <w:r>
        <w:t xml:space="preserve"> and </w:t>
      </w:r>
      <w:r w:rsidRPr="00E15EC9">
        <w:rPr>
          <w:i/>
        </w:rPr>
        <w:t>fmo1</w:t>
      </w:r>
      <w:r>
        <w:t xml:space="preserve"> exhibited slightly more proliferation of </w:t>
      </w:r>
      <w:r w:rsidRPr="00234277">
        <w:rPr>
          <w:i/>
        </w:rPr>
        <w:t>G. orontii</w:t>
      </w:r>
      <w:r>
        <w:t xml:space="preserve"> on water-treated leaves, with approximately 20 conidiophores per </w:t>
      </w:r>
      <w:r>
        <w:lastRenderedPageBreak/>
        <w:t xml:space="preserve">microcolony. Both for the SA-signalling mutant </w:t>
      </w:r>
      <w:r w:rsidRPr="00E15EC9">
        <w:rPr>
          <w:i/>
        </w:rPr>
        <w:t>npr1</w:t>
      </w:r>
      <w:r>
        <w:t xml:space="preserve"> and the </w:t>
      </w:r>
      <w:r w:rsidRPr="00234277">
        <w:rPr>
          <w:i/>
        </w:rPr>
        <w:t>pad4</w:t>
      </w:r>
      <w:r>
        <w:t xml:space="preserve"> line, impaired in regulation of SA biosynthesis, fewer conidiophores were counted than in Col-0 (Figure 47).</w:t>
      </w:r>
      <w:r>
        <w:rPr>
          <w:lang w:val="en-US"/>
        </w:rPr>
        <w:t xml:space="preserve"> </w:t>
      </w:r>
      <w:r w:rsidR="00E15EC9">
        <w:t xml:space="preserve">The lowest numbers of conidiophores were counted on leaves of </w:t>
      </w:r>
      <w:r w:rsidR="00E15EC9" w:rsidRPr="00E15EC9">
        <w:rPr>
          <w:i/>
        </w:rPr>
        <w:t>edr1</w:t>
      </w:r>
      <w:r w:rsidR="00E15EC9">
        <w:t xml:space="preserve"> and in contrast the triple mutant </w:t>
      </w:r>
      <w:r w:rsidR="00E15EC9" w:rsidRPr="00E15EC9">
        <w:rPr>
          <w:i/>
        </w:rPr>
        <w:t>pen2 pad4 sag101</w:t>
      </w:r>
      <w:r w:rsidR="00E15EC9">
        <w:t xml:space="preserve"> hosted the highest number of conidiophores per microcolony (Figure 47). </w:t>
      </w:r>
      <w:r w:rsidR="00294C4C" w:rsidRPr="00294C4C">
        <w:t>No significant induct</w:t>
      </w:r>
      <w:r w:rsidR="009C36EF">
        <w:t>ion of defence responses by Pip-</w:t>
      </w:r>
      <w:r w:rsidR="00294C4C" w:rsidRPr="00294C4C">
        <w:t xml:space="preserve">treatment prior to infection with </w:t>
      </w:r>
      <w:r w:rsidR="00294C4C" w:rsidRPr="00294C4C">
        <w:rPr>
          <w:i/>
        </w:rPr>
        <w:t>G.</w:t>
      </w:r>
      <w:r w:rsidR="009C36EF">
        <w:rPr>
          <w:i/>
        </w:rPr>
        <w:t xml:space="preserve"> </w:t>
      </w:r>
      <w:r w:rsidR="00294C4C" w:rsidRPr="00294C4C">
        <w:rPr>
          <w:i/>
        </w:rPr>
        <w:t>orontii</w:t>
      </w:r>
      <w:r w:rsidR="00294C4C" w:rsidRPr="00294C4C">
        <w:t xml:space="preserve"> was observed (Figure 47</w:t>
      </w:r>
      <w:r w:rsidR="00E15EC9">
        <w:t>). Col-0 and</w:t>
      </w:r>
      <w:r w:rsidR="00294C4C" w:rsidRPr="00294C4C">
        <w:t xml:space="preserve"> </w:t>
      </w:r>
      <w:r w:rsidR="00E15EC9">
        <w:rPr>
          <w:i/>
        </w:rPr>
        <w:t>ald1</w:t>
      </w:r>
      <w:r w:rsidR="00294C4C" w:rsidRPr="00294C4C">
        <w:t xml:space="preserve"> showed a slight decrease of disease symptoms, which could not be confirmed in a second experiment</w:t>
      </w:r>
      <w:r w:rsidR="00A12E0B">
        <w:t xml:space="preserve"> (see supplemental figure 19</w:t>
      </w:r>
      <w:r w:rsidR="00C62CAF">
        <w:t>)</w:t>
      </w:r>
      <w:r w:rsidR="00294C4C" w:rsidRPr="00294C4C">
        <w:t xml:space="preserve">. In </w:t>
      </w:r>
      <w:r w:rsidR="00294C4C" w:rsidRPr="00294C4C">
        <w:rPr>
          <w:i/>
        </w:rPr>
        <w:t>fmo1,</w:t>
      </w:r>
      <w:r w:rsidR="00E15EC9">
        <w:t xml:space="preserve"> and particularly in</w:t>
      </w:r>
      <w:r w:rsidR="00294C4C" w:rsidRPr="00294C4C">
        <w:rPr>
          <w:i/>
        </w:rPr>
        <w:t xml:space="preserve"> npr1</w:t>
      </w:r>
      <w:r w:rsidR="00294C4C" w:rsidRPr="00294C4C">
        <w:t xml:space="preserve"> and </w:t>
      </w:r>
      <w:r w:rsidR="00294C4C" w:rsidRPr="00294C4C">
        <w:rPr>
          <w:i/>
        </w:rPr>
        <w:t>pad4</w:t>
      </w:r>
      <w:r w:rsidR="009C36EF">
        <w:rPr>
          <w:i/>
        </w:rPr>
        <w:t>,</w:t>
      </w:r>
      <w:r w:rsidR="00294C4C" w:rsidRPr="00294C4C">
        <w:t xml:space="preserve"> infection </w:t>
      </w:r>
      <w:r w:rsidR="009C36EF">
        <w:t>seemed to be stronger after Pip-</w:t>
      </w:r>
      <w:r w:rsidR="00294C4C" w:rsidRPr="00294C4C">
        <w:t>treatment (Figure 47)</w:t>
      </w:r>
      <w:r w:rsidR="00E15EC9">
        <w:t>. N</w:t>
      </w:r>
      <w:r w:rsidR="00294C4C" w:rsidRPr="00294C4C">
        <w:t xml:space="preserve">o effect of </w:t>
      </w:r>
      <w:r w:rsidR="009C36EF">
        <w:t>Pip</w:t>
      </w:r>
      <w:r w:rsidR="00294C4C" w:rsidRPr="00294C4C">
        <w:t xml:space="preserve"> was observed in </w:t>
      </w:r>
      <w:r w:rsidR="00294C4C" w:rsidRPr="00294C4C">
        <w:rPr>
          <w:i/>
        </w:rPr>
        <w:t>sid2, edr1</w:t>
      </w:r>
      <w:r w:rsidR="00294C4C" w:rsidRPr="00294C4C">
        <w:t xml:space="preserve">, and </w:t>
      </w:r>
      <w:r w:rsidR="00294C4C" w:rsidRPr="00294C4C">
        <w:rPr>
          <w:i/>
        </w:rPr>
        <w:t>gl1</w:t>
      </w:r>
      <w:r w:rsidR="00294C4C" w:rsidRPr="00294C4C">
        <w:t>.</w:t>
      </w:r>
      <w:r w:rsidR="00E15EC9">
        <w:t xml:space="preserve"> The </w:t>
      </w:r>
      <w:r w:rsidR="00E15EC9" w:rsidRPr="00E15EC9">
        <w:rPr>
          <w:i/>
        </w:rPr>
        <w:t>pen2 pad4 sag101</w:t>
      </w:r>
      <w:r w:rsidR="00E15EC9">
        <w:t xml:space="preserve"> </w:t>
      </w:r>
      <w:r w:rsidR="00C62CAF">
        <w:t xml:space="preserve">line </w:t>
      </w:r>
      <w:r w:rsidR="00E15EC9">
        <w:t xml:space="preserve">on the other hand showed a slight decrease of conidiophore numbers in plants treated with </w:t>
      </w:r>
      <w:r w:rsidR="009C36EF">
        <w:t>Pip</w:t>
      </w:r>
      <w:r w:rsidR="00E15EC9">
        <w:t xml:space="preserve"> prior to infection.</w:t>
      </w:r>
      <w:r w:rsidR="000051E3">
        <w:t xml:space="preserve"> These results show that an intact penetration resistance is highly important for defence against </w:t>
      </w:r>
      <w:r w:rsidR="000051E3" w:rsidRPr="000051E3">
        <w:rPr>
          <w:i/>
        </w:rPr>
        <w:t>G.</w:t>
      </w:r>
      <w:r w:rsidR="009C36EF">
        <w:rPr>
          <w:i/>
        </w:rPr>
        <w:t xml:space="preserve"> </w:t>
      </w:r>
      <w:r w:rsidR="000051E3" w:rsidRPr="000051E3">
        <w:rPr>
          <w:i/>
        </w:rPr>
        <w:t>orontii</w:t>
      </w:r>
      <w:r w:rsidR="000051E3">
        <w:t xml:space="preserve">. As long as </w:t>
      </w:r>
      <w:r w:rsidR="00234277">
        <w:t>pre-</w:t>
      </w:r>
      <w:r w:rsidR="000051E3">
        <w:t xml:space="preserve"> and postpenetration mechanisms </w:t>
      </w:r>
      <w:r>
        <w:t>are intact</w:t>
      </w:r>
      <w:r w:rsidR="000051E3">
        <w:t xml:space="preserve">, </w:t>
      </w:r>
      <w:r w:rsidR="009C36EF">
        <w:t>Pip-</w:t>
      </w:r>
      <w:r w:rsidR="000051E3">
        <w:t>treatment of plants does not enhance defence against this powdery mildew.</w:t>
      </w:r>
      <w:r w:rsidR="00807C51">
        <w:t xml:space="preserve"> The same seems to be true for </w:t>
      </w:r>
      <w:r w:rsidR="009C36EF">
        <w:t>SA</w:t>
      </w:r>
      <w:r>
        <w:t xml:space="preserve">-signalling </w:t>
      </w:r>
      <w:r w:rsidR="00807C51">
        <w:t xml:space="preserve">pathways, which were not activated in plants with intact penetration resistance upon infection with </w:t>
      </w:r>
      <w:r w:rsidR="00807C51" w:rsidRPr="00807C51">
        <w:rPr>
          <w:i/>
        </w:rPr>
        <w:t>G.</w:t>
      </w:r>
      <w:r w:rsidR="009C36EF">
        <w:rPr>
          <w:i/>
        </w:rPr>
        <w:t xml:space="preserve"> </w:t>
      </w:r>
      <w:r w:rsidR="00807C51" w:rsidRPr="00807C51">
        <w:rPr>
          <w:i/>
        </w:rPr>
        <w:t>orontii</w:t>
      </w:r>
      <w:r w:rsidR="00807C51">
        <w:t>.</w:t>
      </w:r>
      <w:r w:rsidR="000051E3">
        <w:t xml:space="preserve"> As soon as pre- and postpenetration defence mechanisms are impaired, Pip seems to enable the plant to mount a better disease resistance.</w:t>
      </w:r>
    </w:p>
    <w:p w:rsidR="00B517AA" w:rsidRDefault="00B517AA" w:rsidP="00B517AA">
      <w:pPr>
        <w:pStyle w:val="berschrift2"/>
        <w:rPr>
          <w:color w:val="auto"/>
          <w:lang w:val="en-US"/>
        </w:rPr>
        <w:sectPr w:rsidR="00B517AA" w:rsidSect="00B517AA">
          <w:headerReference w:type="default" r:id="rId88"/>
          <w:headerReference w:type="first" r:id="rId89"/>
          <w:type w:val="continuous"/>
          <w:pgSz w:w="11906" w:h="16838"/>
          <w:pgMar w:top="1417" w:right="1417" w:bottom="1134" w:left="1417" w:header="708" w:footer="708" w:gutter="0"/>
          <w:cols w:space="708"/>
          <w:titlePg/>
          <w:docGrid w:linePitch="360"/>
        </w:sectPr>
      </w:pPr>
    </w:p>
    <w:p w:rsidR="00286D2C" w:rsidRPr="00B068F6" w:rsidRDefault="00563EC1" w:rsidP="00B068F6">
      <w:pPr>
        <w:pStyle w:val="berschrift2"/>
        <w:spacing w:after="240"/>
        <w:rPr>
          <w:color w:val="auto"/>
          <w:lang w:val="en-US"/>
        </w:rPr>
      </w:pPr>
      <w:bookmarkStart w:id="104" w:name="_Toc435621250"/>
      <w:r>
        <w:rPr>
          <w:color w:val="auto"/>
          <w:lang w:val="en-US"/>
        </w:rPr>
        <w:lastRenderedPageBreak/>
        <w:t xml:space="preserve">6.14 </w:t>
      </w:r>
      <w:r w:rsidR="00234277">
        <w:rPr>
          <w:color w:val="auto"/>
          <w:lang w:val="en-US"/>
        </w:rPr>
        <w:t>Depende</w:t>
      </w:r>
      <w:r w:rsidR="009A36CA">
        <w:rPr>
          <w:color w:val="auto"/>
          <w:lang w:val="en-US"/>
        </w:rPr>
        <w:t>ncy of the</w:t>
      </w:r>
      <w:r w:rsidR="00B068F6" w:rsidRPr="00B068F6">
        <w:rPr>
          <w:color w:val="auto"/>
          <w:lang w:val="en-US"/>
        </w:rPr>
        <w:t xml:space="preserve"> metabolite accumulation </w:t>
      </w:r>
      <w:r w:rsidR="009A36CA">
        <w:rPr>
          <w:color w:val="auto"/>
          <w:lang w:val="en-US"/>
        </w:rPr>
        <w:t xml:space="preserve">pattern </w:t>
      </w:r>
      <w:r w:rsidR="00B068F6" w:rsidRPr="00B068F6">
        <w:rPr>
          <w:color w:val="auto"/>
          <w:lang w:val="en-US"/>
        </w:rPr>
        <w:t>on the lifestyle of the attacking pathogen</w:t>
      </w:r>
      <w:bookmarkEnd w:id="104"/>
    </w:p>
    <w:p w:rsidR="00C62CAF" w:rsidRPr="00C62CAF" w:rsidRDefault="000E49B0" w:rsidP="00C62CAF">
      <w:pPr>
        <w:spacing w:line="360" w:lineRule="auto"/>
        <w:jc w:val="both"/>
        <w:sectPr w:rsidR="00C62CAF" w:rsidRPr="00C62CAF" w:rsidSect="00B517AA">
          <w:type w:val="continuous"/>
          <w:pgSz w:w="11906" w:h="16838"/>
          <w:pgMar w:top="1417" w:right="1417" w:bottom="1134" w:left="1417" w:header="708" w:footer="708" w:gutter="0"/>
          <w:cols w:space="708"/>
          <w:titlePg/>
          <w:docGrid w:linePitch="360"/>
        </w:sectPr>
      </w:pPr>
      <w:r>
        <w:t>Table 2</w:t>
      </w:r>
      <w:r w:rsidR="00FD65FA" w:rsidRPr="00FD65FA">
        <w:t xml:space="preserve"> gives an overview of metabolites found to accumulate after infection with </w:t>
      </w:r>
      <w:r w:rsidR="00FD65FA" w:rsidRPr="00FD65FA">
        <w:rPr>
          <w:i/>
        </w:rPr>
        <w:t>Botrytis cinerea, Hyaloperonospora arabidopsidis</w:t>
      </w:r>
      <w:r w:rsidR="00C62CAF">
        <w:rPr>
          <w:i/>
        </w:rPr>
        <w:t>,</w:t>
      </w:r>
      <w:r w:rsidR="00C23DDF">
        <w:t xml:space="preserve"> or</w:t>
      </w:r>
      <w:r w:rsidR="00FD65FA" w:rsidRPr="00FD65FA">
        <w:t xml:space="preserve"> </w:t>
      </w:r>
      <w:r w:rsidR="00FD65FA" w:rsidRPr="00FD65FA">
        <w:rPr>
          <w:i/>
        </w:rPr>
        <w:t>Golovinomyces orontii</w:t>
      </w:r>
      <w:r w:rsidR="00FD65FA" w:rsidRPr="00FD65FA">
        <w:t xml:space="preserve">. For substances that showed an explicit entry in our GC-MS database the name is shown in the table, all other metabolites were called “Unknown” and numbered serially. In the table given are also the abundant ions of the mass spectra, the m/z value that was used for </w:t>
      </w:r>
      <w:r w:rsidR="009A36CA">
        <w:t>quantification</w:t>
      </w:r>
      <w:r w:rsidR="00FD65FA" w:rsidRPr="00FD65FA">
        <w:t>, the retention time</w:t>
      </w:r>
      <w:r w:rsidR="009A36CA">
        <w:t>,</w:t>
      </w:r>
      <w:r w:rsidR="00FD65FA" w:rsidRPr="00FD65FA">
        <w:t xml:space="preserve"> and the pathogen interaction</w:t>
      </w:r>
      <w:r w:rsidR="009A36CA">
        <w:t xml:space="preserve"> in which</w:t>
      </w:r>
      <w:r w:rsidR="00FD65FA" w:rsidRPr="00FD65FA">
        <w:t xml:space="preserve"> </w:t>
      </w:r>
      <w:r w:rsidR="009A36CA">
        <w:t>the substance was first detected in</w:t>
      </w:r>
      <w:r w:rsidR="00FD65FA" w:rsidRPr="00FD65FA">
        <w:t>. Boldly marked substances were taken into account for analysis of the different plant-pathogen interactions, because these substances were more than three-fold upregulated in the studied interaction. The mass spectra of these metabolites can be fo</w:t>
      </w:r>
      <w:r w:rsidR="00294C4C">
        <w:t>und in the appendix</w:t>
      </w:r>
      <w:r w:rsidR="00A60C41">
        <w:t>.</w:t>
      </w:r>
    </w:p>
    <w:p w:rsidR="00FD61C5" w:rsidRDefault="00FD61C5" w:rsidP="00940FBF">
      <w:pPr>
        <w:spacing w:after="0" w:line="360" w:lineRule="auto"/>
        <w:jc w:val="both"/>
      </w:pPr>
    </w:p>
    <w:p w:rsidR="00E03603" w:rsidRPr="006E436D" w:rsidRDefault="00E03603" w:rsidP="009A36CA">
      <w:pPr>
        <w:pStyle w:val="Beschriftung"/>
        <w:keepNext/>
        <w:spacing w:after="0" w:line="360" w:lineRule="auto"/>
        <w:jc w:val="both"/>
        <w:rPr>
          <w:color w:val="auto"/>
        </w:rPr>
      </w:pPr>
      <w:bookmarkStart w:id="105" w:name="_Toc419386446"/>
      <w:proofErr w:type="gramStart"/>
      <w:r w:rsidRPr="006E436D">
        <w:rPr>
          <w:color w:val="auto"/>
        </w:rPr>
        <w:t xml:space="preserve">Table </w:t>
      </w:r>
      <w:r w:rsidRPr="006E436D">
        <w:rPr>
          <w:color w:val="auto"/>
        </w:rPr>
        <w:fldChar w:fldCharType="begin"/>
      </w:r>
      <w:r w:rsidRPr="006E436D">
        <w:rPr>
          <w:color w:val="auto"/>
        </w:rPr>
        <w:instrText xml:space="preserve"> SEQ Table \* ARABIC </w:instrText>
      </w:r>
      <w:r w:rsidRPr="006E436D">
        <w:rPr>
          <w:color w:val="auto"/>
        </w:rPr>
        <w:fldChar w:fldCharType="separate"/>
      </w:r>
      <w:r w:rsidR="00CB17FE">
        <w:rPr>
          <w:noProof/>
          <w:color w:val="auto"/>
        </w:rPr>
        <w:t>2</w:t>
      </w:r>
      <w:r w:rsidRPr="006E436D">
        <w:rPr>
          <w:color w:val="auto"/>
        </w:rPr>
        <w:fldChar w:fldCharType="end"/>
      </w:r>
      <w:r w:rsidR="006C6340">
        <w:rPr>
          <w:color w:val="auto"/>
        </w:rPr>
        <w:t>.</w:t>
      </w:r>
      <w:proofErr w:type="gramEnd"/>
      <w:r w:rsidRPr="006E436D">
        <w:rPr>
          <w:color w:val="auto"/>
        </w:rPr>
        <w:t xml:space="preserve"> Overview of unknown compounds found in interactions </w:t>
      </w:r>
      <w:r w:rsidR="00A60C41">
        <w:rPr>
          <w:color w:val="auto"/>
        </w:rPr>
        <w:t>of</w:t>
      </w:r>
      <w:r w:rsidRPr="006E436D">
        <w:rPr>
          <w:color w:val="auto"/>
        </w:rPr>
        <w:t xml:space="preserve"> </w:t>
      </w:r>
      <w:r w:rsidRPr="006E436D">
        <w:rPr>
          <w:i/>
          <w:color w:val="auto"/>
        </w:rPr>
        <w:t>Arabidopsis thaliana</w:t>
      </w:r>
      <w:r w:rsidRPr="006E436D">
        <w:rPr>
          <w:color w:val="auto"/>
        </w:rPr>
        <w:t xml:space="preserve"> with </w:t>
      </w:r>
      <w:r w:rsidRPr="006E436D">
        <w:rPr>
          <w:i/>
          <w:color w:val="auto"/>
        </w:rPr>
        <w:t>B.</w:t>
      </w:r>
      <w:r w:rsidR="009A36CA">
        <w:rPr>
          <w:i/>
          <w:color w:val="auto"/>
        </w:rPr>
        <w:t xml:space="preserve"> </w:t>
      </w:r>
      <w:r w:rsidRPr="006E436D">
        <w:rPr>
          <w:i/>
          <w:color w:val="auto"/>
        </w:rPr>
        <w:t>cinerea</w:t>
      </w:r>
      <w:r w:rsidRPr="006E436D">
        <w:rPr>
          <w:color w:val="auto"/>
        </w:rPr>
        <w:t xml:space="preserve">, </w:t>
      </w:r>
      <w:r w:rsidRPr="006E436D">
        <w:rPr>
          <w:i/>
          <w:color w:val="auto"/>
        </w:rPr>
        <w:t>H.</w:t>
      </w:r>
      <w:r w:rsidR="009A36CA">
        <w:rPr>
          <w:i/>
          <w:color w:val="auto"/>
        </w:rPr>
        <w:t xml:space="preserve"> </w:t>
      </w:r>
      <w:r w:rsidRPr="006E436D">
        <w:rPr>
          <w:i/>
          <w:color w:val="auto"/>
        </w:rPr>
        <w:t>arabidopsidis</w:t>
      </w:r>
      <w:r w:rsidRPr="006E436D">
        <w:rPr>
          <w:color w:val="auto"/>
        </w:rPr>
        <w:t xml:space="preserve">, and </w:t>
      </w:r>
      <w:r w:rsidRPr="006E436D">
        <w:rPr>
          <w:i/>
          <w:color w:val="auto"/>
        </w:rPr>
        <w:t>G.</w:t>
      </w:r>
      <w:r w:rsidR="009A36CA">
        <w:rPr>
          <w:i/>
          <w:color w:val="auto"/>
        </w:rPr>
        <w:t xml:space="preserve"> </w:t>
      </w:r>
      <w:r w:rsidRPr="006E436D">
        <w:rPr>
          <w:i/>
          <w:color w:val="auto"/>
        </w:rPr>
        <w:t>orontii</w:t>
      </w:r>
      <w:r w:rsidRPr="006E436D">
        <w:rPr>
          <w:color w:val="auto"/>
        </w:rPr>
        <w:t>.</w:t>
      </w:r>
      <w:bookmarkEnd w:id="105"/>
      <w:r w:rsidRPr="006E436D">
        <w:rPr>
          <w:color w:val="auto"/>
        </w:rPr>
        <w:t xml:space="preserve"> </w:t>
      </w:r>
    </w:p>
    <w:p w:rsidR="00E03603" w:rsidRPr="006E436D" w:rsidRDefault="00E03603" w:rsidP="00E03603">
      <w:pPr>
        <w:pStyle w:val="Beschriftung"/>
        <w:keepNext/>
        <w:jc w:val="both"/>
        <w:rPr>
          <w:b w:val="0"/>
          <w:color w:val="auto"/>
        </w:rPr>
      </w:pPr>
      <w:r w:rsidRPr="006E436D">
        <w:rPr>
          <w:b w:val="0"/>
          <w:color w:val="auto"/>
        </w:rPr>
        <w:t>Given are the names for metabolites that showed an entry in the GC/MS database and the number of unknown compounds, respectively. Prominent ions in the chromatogram are shown in bold letters, given are also the m/z which was used for analysis, as well as the retention time and pathosystem the compound was first discovered in.</w:t>
      </w:r>
    </w:p>
    <w:tbl>
      <w:tblPr>
        <w:tblW w:w="10980" w:type="dxa"/>
        <w:jc w:val="center"/>
        <w:tblCellMar>
          <w:left w:w="70" w:type="dxa"/>
          <w:right w:w="70" w:type="dxa"/>
        </w:tblCellMar>
        <w:tblLook w:val="04A0" w:firstRow="1" w:lastRow="0" w:firstColumn="1" w:lastColumn="0" w:noHBand="0" w:noVBand="1"/>
      </w:tblPr>
      <w:tblGrid>
        <w:gridCol w:w="2800"/>
        <w:gridCol w:w="3720"/>
        <w:gridCol w:w="860"/>
        <w:gridCol w:w="2160"/>
        <w:gridCol w:w="1440"/>
      </w:tblGrid>
      <w:tr w:rsidR="000E2F33" w:rsidRPr="000E2F33" w:rsidTr="00B626F7">
        <w:trPr>
          <w:trHeight w:val="300"/>
          <w:tblHeader/>
          <w:jc w:val="center"/>
        </w:trPr>
        <w:tc>
          <w:tcPr>
            <w:tcW w:w="2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E2F33" w:rsidRPr="000E2F33" w:rsidRDefault="000E2F33" w:rsidP="000E2F33">
            <w:pPr>
              <w:spacing w:after="0" w:line="240" w:lineRule="auto"/>
              <w:jc w:val="center"/>
              <w:rPr>
                <w:rFonts w:ascii="Calibri" w:eastAsia="Times New Roman" w:hAnsi="Calibri" w:cs="Times New Roman"/>
                <w:b/>
                <w:bCs/>
                <w:color w:val="000000"/>
                <w:lang w:val="de-DE" w:eastAsia="de-DE"/>
              </w:rPr>
            </w:pPr>
            <w:r w:rsidRPr="000E2F33">
              <w:rPr>
                <w:rFonts w:ascii="Calibri" w:eastAsia="Times New Roman" w:hAnsi="Calibri" w:cs="Times New Roman"/>
                <w:b/>
                <w:bCs/>
                <w:color w:val="000000"/>
                <w:lang w:val="de-DE" w:eastAsia="de-DE"/>
              </w:rPr>
              <w:t>Name</w:t>
            </w:r>
          </w:p>
        </w:tc>
        <w:tc>
          <w:tcPr>
            <w:tcW w:w="3720" w:type="dxa"/>
            <w:tcBorders>
              <w:top w:val="single" w:sz="4" w:space="0" w:color="auto"/>
              <w:left w:val="nil"/>
              <w:bottom w:val="single" w:sz="4" w:space="0" w:color="auto"/>
              <w:right w:val="single" w:sz="4" w:space="0" w:color="auto"/>
            </w:tcBorders>
            <w:shd w:val="clear" w:color="auto" w:fill="auto"/>
            <w:noWrap/>
            <w:vAlign w:val="bottom"/>
            <w:hideMark/>
          </w:tcPr>
          <w:p w:rsidR="000E2F33" w:rsidRPr="000E2F33" w:rsidRDefault="000E2F33" w:rsidP="000E2F33">
            <w:pPr>
              <w:spacing w:after="0" w:line="240" w:lineRule="auto"/>
              <w:jc w:val="center"/>
              <w:rPr>
                <w:rFonts w:ascii="Calibri" w:eastAsia="Times New Roman" w:hAnsi="Calibri" w:cs="Times New Roman"/>
                <w:b/>
                <w:bCs/>
                <w:color w:val="000000"/>
                <w:lang w:val="de-DE" w:eastAsia="de-DE"/>
              </w:rPr>
            </w:pPr>
            <w:r w:rsidRPr="000E2F33">
              <w:rPr>
                <w:rFonts w:ascii="Calibri" w:eastAsia="Times New Roman" w:hAnsi="Calibri" w:cs="Times New Roman"/>
                <w:b/>
                <w:bCs/>
                <w:color w:val="000000"/>
                <w:lang w:val="de-DE" w:eastAsia="de-DE"/>
              </w:rPr>
              <w:t>Ions</w:t>
            </w:r>
          </w:p>
        </w:tc>
        <w:tc>
          <w:tcPr>
            <w:tcW w:w="860" w:type="dxa"/>
            <w:tcBorders>
              <w:top w:val="single" w:sz="4" w:space="0" w:color="auto"/>
              <w:left w:val="nil"/>
              <w:bottom w:val="single" w:sz="4" w:space="0" w:color="auto"/>
              <w:right w:val="single" w:sz="4" w:space="0" w:color="auto"/>
            </w:tcBorders>
            <w:shd w:val="clear" w:color="auto" w:fill="auto"/>
            <w:noWrap/>
            <w:vAlign w:val="bottom"/>
            <w:hideMark/>
          </w:tcPr>
          <w:p w:rsidR="000E2F33" w:rsidRPr="000E2F33" w:rsidRDefault="000E2F33" w:rsidP="000E2F33">
            <w:pPr>
              <w:spacing w:after="0" w:line="240" w:lineRule="auto"/>
              <w:jc w:val="center"/>
              <w:rPr>
                <w:rFonts w:ascii="Calibri" w:eastAsia="Times New Roman" w:hAnsi="Calibri" w:cs="Times New Roman"/>
                <w:b/>
                <w:bCs/>
                <w:color w:val="000000"/>
                <w:lang w:val="de-DE" w:eastAsia="de-DE"/>
              </w:rPr>
            </w:pPr>
            <w:r w:rsidRPr="000E2F33">
              <w:rPr>
                <w:rFonts w:ascii="Calibri" w:eastAsia="Times New Roman" w:hAnsi="Calibri" w:cs="Times New Roman"/>
                <w:b/>
                <w:bCs/>
                <w:color w:val="000000"/>
                <w:lang w:val="de-DE" w:eastAsia="de-DE"/>
              </w:rPr>
              <w:t>m/z</w:t>
            </w:r>
          </w:p>
        </w:tc>
        <w:tc>
          <w:tcPr>
            <w:tcW w:w="2160" w:type="dxa"/>
            <w:tcBorders>
              <w:top w:val="single" w:sz="4" w:space="0" w:color="auto"/>
              <w:left w:val="nil"/>
              <w:bottom w:val="single" w:sz="4" w:space="0" w:color="auto"/>
              <w:right w:val="single" w:sz="4" w:space="0" w:color="auto"/>
            </w:tcBorders>
            <w:shd w:val="clear" w:color="auto" w:fill="auto"/>
            <w:noWrap/>
            <w:vAlign w:val="bottom"/>
            <w:hideMark/>
          </w:tcPr>
          <w:p w:rsidR="000E2F33" w:rsidRPr="000E2F33" w:rsidRDefault="000E2F33" w:rsidP="000E2F33">
            <w:pPr>
              <w:spacing w:after="0" w:line="240" w:lineRule="auto"/>
              <w:jc w:val="center"/>
              <w:rPr>
                <w:rFonts w:ascii="Calibri" w:eastAsia="Times New Roman" w:hAnsi="Calibri" w:cs="Times New Roman"/>
                <w:b/>
                <w:bCs/>
                <w:color w:val="000000"/>
                <w:lang w:val="de-DE" w:eastAsia="de-DE"/>
              </w:rPr>
            </w:pPr>
            <w:r w:rsidRPr="000E2F33">
              <w:rPr>
                <w:rFonts w:ascii="Calibri" w:eastAsia="Times New Roman" w:hAnsi="Calibri" w:cs="Times New Roman"/>
                <w:b/>
                <w:bCs/>
                <w:color w:val="000000"/>
                <w:lang w:val="de-DE" w:eastAsia="de-DE"/>
              </w:rPr>
              <w:t>retention time [min]</w:t>
            </w:r>
          </w:p>
        </w:tc>
        <w:tc>
          <w:tcPr>
            <w:tcW w:w="1440" w:type="dxa"/>
            <w:tcBorders>
              <w:top w:val="single" w:sz="4" w:space="0" w:color="auto"/>
              <w:left w:val="nil"/>
              <w:bottom w:val="single" w:sz="4" w:space="0" w:color="auto"/>
              <w:right w:val="single" w:sz="4" w:space="0" w:color="auto"/>
            </w:tcBorders>
            <w:shd w:val="clear" w:color="auto" w:fill="auto"/>
            <w:noWrap/>
            <w:vAlign w:val="bottom"/>
            <w:hideMark/>
          </w:tcPr>
          <w:p w:rsidR="000E2F33" w:rsidRPr="000E2F33" w:rsidRDefault="000E2F33" w:rsidP="000E2F33">
            <w:pPr>
              <w:spacing w:after="0" w:line="240" w:lineRule="auto"/>
              <w:rPr>
                <w:rFonts w:ascii="Calibri" w:eastAsia="Times New Roman" w:hAnsi="Calibri" w:cs="Times New Roman"/>
                <w:b/>
                <w:bCs/>
                <w:color w:val="000000"/>
                <w:lang w:val="de-DE" w:eastAsia="de-DE"/>
              </w:rPr>
            </w:pPr>
            <w:r w:rsidRPr="000E2F33">
              <w:rPr>
                <w:rFonts w:ascii="Calibri" w:eastAsia="Times New Roman" w:hAnsi="Calibri" w:cs="Times New Roman"/>
                <w:b/>
                <w:bCs/>
                <w:color w:val="000000"/>
                <w:lang w:val="de-DE" w:eastAsia="de-DE"/>
              </w:rPr>
              <w:t>first found in</w:t>
            </w:r>
          </w:p>
        </w:tc>
      </w:tr>
      <w:tr w:rsidR="000E2F33" w:rsidRPr="000E2F33" w:rsidTr="00B626F7">
        <w:trPr>
          <w:trHeight w:val="300"/>
          <w:jc w:val="center"/>
        </w:trPr>
        <w:tc>
          <w:tcPr>
            <w:tcW w:w="2800" w:type="dxa"/>
            <w:tcBorders>
              <w:top w:val="nil"/>
              <w:left w:val="single" w:sz="4" w:space="0" w:color="auto"/>
              <w:bottom w:val="nil"/>
              <w:right w:val="single" w:sz="4" w:space="0" w:color="auto"/>
            </w:tcBorders>
            <w:shd w:val="clear" w:color="000000" w:fill="D9D9D9"/>
            <w:noWrap/>
            <w:vAlign w:val="bottom"/>
            <w:hideMark/>
          </w:tcPr>
          <w:p w:rsidR="000E2F33" w:rsidRPr="000E2F33" w:rsidRDefault="000E2F33" w:rsidP="000E2F33">
            <w:pPr>
              <w:spacing w:after="0" w:line="240" w:lineRule="auto"/>
              <w:rPr>
                <w:rFonts w:ascii="Calibri" w:eastAsia="Times New Roman" w:hAnsi="Calibri" w:cs="Times New Roman"/>
                <w:color w:val="000000"/>
                <w:lang w:val="de-DE" w:eastAsia="de-DE"/>
              </w:rPr>
            </w:pPr>
            <w:r w:rsidRPr="000E2F33">
              <w:rPr>
                <w:rFonts w:ascii="Calibri" w:eastAsia="Times New Roman" w:hAnsi="Calibri" w:cs="Times New Roman"/>
                <w:color w:val="000000"/>
                <w:lang w:val="de-DE" w:eastAsia="de-DE"/>
              </w:rPr>
              <w:t>2-Benzoylsuccinic acid</w:t>
            </w:r>
          </w:p>
        </w:tc>
        <w:tc>
          <w:tcPr>
            <w:tcW w:w="3720" w:type="dxa"/>
            <w:tcBorders>
              <w:top w:val="nil"/>
              <w:left w:val="nil"/>
              <w:bottom w:val="nil"/>
              <w:right w:val="single" w:sz="4" w:space="0" w:color="auto"/>
            </w:tcBorders>
            <w:shd w:val="clear" w:color="000000" w:fill="D9D9D9"/>
            <w:noWrap/>
            <w:vAlign w:val="center"/>
            <w:hideMark/>
          </w:tcPr>
          <w:p w:rsidR="000E2F33" w:rsidRPr="000E2F33" w:rsidRDefault="000E2F33" w:rsidP="000E2F33">
            <w:pPr>
              <w:spacing w:after="0" w:line="240" w:lineRule="auto"/>
              <w:rPr>
                <w:rFonts w:ascii="Calibri" w:eastAsia="Times New Roman" w:hAnsi="Calibri" w:cs="Times New Roman"/>
                <w:color w:val="000000"/>
                <w:lang w:val="de-DE" w:eastAsia="de-DE"/>
              </w:rPr>
            </w:pPr>
            <w:r w:rsidRPr="000E2F33">
              <w:rPr>
                <w:rFonts w:ascii="Calibri" w:eastAsia="Times New Roman" w:hAnsi="Calibri" w:cs="Times New Roman"/>
                <w:color w:val="000000"/>
                <w:lang w:val="de-DE" w:eastAsia="de-DE"/>
              </w:rPr>
              <w:t>77</w:t>
            </w:r>
            <w:r w:rsidRPr="000E2F33">
              <w:rPr>
                <w:rFonts w:ascii="Calibri" w:eastAsia="Times New Roman" w:hAnsi="Calibri" w:cs="Times New Roman"/>
                <w:b/>
                <w:bCs/>
                <w:color w:val="000000"/>
                <w:lang w:val="de-DE" w:eastAsia="de-DE"/>
              </w:rPr>
              <w:t>,105</w:t>
            </w:r>
            <w:r w:rsidRPr="000E2F33">
              <w:rPr>
                <w:rFonts w:ascii="Calibri" w:eastAsia="Times New Roman" w:hAnsi="Calibri" w:cs="Times New Roman"/>
                <w:color w:val="000000"/>
                <w:lang w:val="de-DE" w:eastAsia="de-DE"/>
              </w:rPr>
              <w:t>,207</w:t>
            </w:r>
          </w:p>
        </w:tc>
        <w:tc>
          <w:tcPr>
            <w:tcW w:w="860" w:type="dxa"/>
            <w:tcBorders>
              <w:top w:val="nil"/>
              <w:left w:val="nil"/>
              <w:bottom w:val="nil"/>
              <w:right w:val="single" w:sz="4" w:space="0" w:color="auto"/>
            </w:tcBorders>
            <w:shd w:val="clear" w:color="000000" w:fill="D9D9D9"/>
            <w:noWrap/>
            <w:vAlign w:val="bottom"/>
            <w:hideMark/>
          </w:tcPr>
          <w:p w:rsidR="000E2F33" w:rsidRPr="000E2F33" w:rsidRDefault="000E2F33" w:rsidP="000E2F33">
            <w:pPr>
              <w:spacing w:after="0" w:line="240" w:lineRule="auto"/>
              <w:jc w:val="center"/>
              <w:rPr>
                <w:rFonts w:ascii="Calibri" w:eastAsia="Times New Roman" w:hAnsi="Calibri" w:cs="Times New Roman"/>
                <w:color w:val="000000"/>
                <w:lang w:val="de-DE" w:eastAsia="de-DE"/>
              </w:rPr>
            </w:pPr>
            <w:r w:rsidRPr="000E2F33">
              <w:rPr>
                <w:rFonts w:ascii="Calibri" w:eastAsia="Times New Roman" w:hAnsi="Calibri" w:cs="Times New Roman"/>
                <w:color w:val="000000"/>
                <w:lang w:val="de-DE" w:eastAsia="de-DE"/>
              </w:rPr>
              <w:t>105</w:t>
            </w:r>
          </w:p>
        </w:tc>
        <w:tc>
          <w:tcPr>
            <w:tcW w:w="2160" w:type="dxa"/>
            <w:tcBorders>
              <w:top w:val="nil"/>
              <w:left w:val="nil"/>
              <w:bottom w:val="nil"/>
              <w:right w:val="single" w:sz="4" w:space="0" w:color="auto"/>
            </w:tcBorders>
            <w:shd w:val="clear" w:color="000000" w:fill="D9D9D9"/>
            <w:noWrap/>
            <w:vAlign w:val="bottom"/>
            <w:hideMark/>
          </w:tcPr>
          <w:p w:rsidR="000E2F33" w:rsidRPr="000E2F33" w:rsidRDefault="000E2F33" w:rsidP="000E2F33">
            <w:pPr>
              <w:spacing w:after="0" w:line="240" w:lineRule="auto"/>
              <w:jc w:val="center"/>
              <w:rPr>
                <w:rFonts w:ascii="Calibri" w:eastAsia="Times New Roman" w:hAnsi="Calibri" w:cs="Times New Roman"/>
                <w:color w:val="000000"/>
                <w:lang w:val="de-DE" w:eastAsia="de-DE"/>
              </w:rPr>
            </w:pPr>
            <w:r w:rsidRPr="000E2F33">
              <w:rPr>
                <w:rFonts w:ascii="Calibri" w:eastAsia="Times New Roman" w:hAnsi="Calibri" w:cs="Times New Roman"/>
                <w:color w:val="000000"/>
                <w:lang w:val="de-DE" w:eastAsia="de-DE"/>
              </w:rPr>
              <w:t>21.02</w:t>
            </w:r>
          </w:p>
        </w:tc>
        <w:tc>
          <w:tcPr>
            <w:tcW w:w="1440" w:type="dxa"/>
            <w:tcBorders>
              <w:top w:val="nil"/>
              <w:left w:val="nil"/>
              <w:bottom w:val="nil"/>
              <w:right w:val="single" w:sz="4" w:space="0" w:color="auto"/>
            </w:tcBorders>
            <w:shd w:val="clear" w:color="000000" w:fill="D9D9D9"/>
            <w:noWrap/>
            <w:vAlign w:val="bottom"/>
            <w:hideMark/>
          </w:tcPr>
          <w:p w:rsidR="000E2F33" w:rsidRPr="000E2F33" w:rsidRDefault="000E2F33" w:rsidP="000E2F33">
            <w:pPr>
              <w:spacing w:after="0" w:line="240" w:lineRule="auto"/>
              <w:jc w:val="center"/>
              <w:rPr>
                <w:rFonts w:ascii="Calibri" w:eastAsia="Times New Roman" w:hAnsi="Calibri" w:cs="Times New Roman"/>
                <w:i/>
                <w:iCs/>
                <w:color w:val="000000"/>
                <w:lang w:val="de-DE" w:eastAsia="de-DE"/>
              </w:rPr>
            </w:pPr>
            <w:r w:rsidRPr="000E2F33">
              <w:rPr>
                <w:rFonts w:ascii="Calibri" w:eastAsia="Times New Roman" w:hAnsi="Calibri" w:cs="Times New Roman"/>
                <w:i/>
                <w:iCs/>
                <w:color w:val="000000"/>
                <w:lang w:val="de-DE" w:eastAsia="de-DE"/>
              </w:rPr>
              <w:t>Bc</w:t>
            </w:r>
          </w:p>
        </w:tc>
      </w:tr>
      <w:tr w:rsidR="000E2F33" w:rsidRPr="000E2F33" w:rsidTr="00B626F7">
        <w:trPr>
          <w:trHeight w:val="300"/>
          <w:jc w:val="center"/>
        </w:trPr>
        <w:tc>
          <w:tcPr>
            <w:tcW w:w="2800" w:type="dxa"/>
            <w:tcBorders>
              <w:top w:val="nil"/>
              <w:left w:val="single" w:sz="4" w:space="0" w:color="auto"/>
              <w:bottom w:val="nil"/>
              <w:right w:val="single" w:sz="4" w:space="0" w:color="auto"/>
            </w:tcBorders>
            <w:shd w:val="clear" w:color="auto" w:fill="auto"/>
            <w:noWrap/>
            <w:vAlign w:val="bottom"/>
            <w:hideMark/>
          </w:tcPr>
          <w:p w:rsidR="000E2F33" w:rsidRPr="000E2F33" w:rsidRDefault="000E2F33" w:rsidP="000E2F33">
            <w:pPr>
              <w:spacing w:after="0" w:line="240" w:lineRule="auto"/>
              <w:rPr>
                <w:rFonts w:ascii="Calibri" w:eastAsia="Times New Roman" w:hAnsi="Calibri" w:cs="Times New Roman"/>
                <w:b/>
                <w:bCs/>
                <w:color w:val="000000"/>
                <w:lang w:val="de-DE" w:eastAsia="de-DE"/>
              </w:rPr>
            </w:pPr>
            <w:r w:rsidRPr="000E2F33">
              <w:rPr>
                <w:rFonts w:ascii="Calibri" w:eastAsia="Times New Roman" w:hAnsi="Calibri" w:cs="Times New Roman"/>
                <w:b/>
                <w:bCs/>
                <w:color w:val="000000"/>
                <w:lang w:val="de-DE" w:eastAsia="de-DE"/>
              </w:rPr>
              <w:t>Eicosanoic acid</w:t>
            </w:r>
          </w:p>
        </w:tc>
        <w:tc>
          <w:tcPr>
            <w:tcW w:w="3720" w:type="dxa"/>
            <w:tcBorders>
              <w:top w:val="nil"/>
              <w:left w:val="nil"/>
              <w:bottom w:val="nil"/>
              <w:right w:val="single" w:sz="4" w:space="0" w:color="auto"/>
            </w:tcBorders>
            <w:shd w:val="clear" w:color="auto" w:fill="auto"/>
            <w:noWrap/>
            <w:vAlign w:val="center"/>
            <w:hideMark/>
          </w:tcPr>
          <w:p w:rsidR="000E2F33" w:rsidRPr="000E2F33" w:rsidRDefault="000E2F33" w:rsidP="000E2F33">
            <w:pPr>
              <w:spacing w:after="0" w:line="240" w:lineRule="auto"/>
              <w:rPr>
                <w:rFonts w:ascii="Calibri" w:eastAsia="Times New Roman" w:hAnsi="Calibri" w:cs="Times New Roman"/>
                <w:color w:val="000000"/>
                <w:lang w:val="de-DE" w:eastAsia="de-DE"/>
              </w:rPr>
            </w:pPr>
            <w:r w:rsidRPr="000E2F33">
              <w:rPr>
                <w:rFonts w:ascii="Calibri" w:eastAsia="Times New Roman" w:hAnsi="Calibri" w:cs="Times New Roman"/>
                <w:b/>
                <w:bCs/>
                <w:color w:val="000000"/>
                <w:lang w:val="de-DE" w:eastAsia="de-DE"/>
              </w:rPr>
              <w:t>74, 87</w:t>
            </w:r>
            <w:r w:rsidRPr="000E2F33">
              <w:rPr>
                <w:rFonts w:ascii="Calibri" w:eastAsia="Times New Roman" w:hAnsi="Calibri" w:cs="Times New Roman"/>
                <w:color w:val="000000"/>
                <w:lang w:val="de-DE" w:eastAsia="de-DE"/>
              </w:rPr>
              <w:t xml:space="preserve">, 143, 283, </w:t>
            </w:r>
            <w:r w:rsidRPr="000E2F33">
              <w:rPr>
                <w:rFonts w:ascii="Calibri" w:eastAsia="Times New Roman" w:hAnsi="Calibri" w:cs="Times New Roman"/>
                <w:b/>
                <w:bCs/>
                <w:color w:val="000000"/>
                <w:lang w:val="de-DE" w:eastAsia="de-DE"/>
              </w:rPr>
              <w:t>326</w:t>
            </w:r>
          </w:p>
        </w:tc>
        <w:tc>
          <w:tcPr>
            <w:tcW w:w="860" w:type="dxa"/>
            <w:tcBorders>
              <w:top w:val="nil"/>
              <w:left w:val="nil"/>
              <w:bottom w:val="nil"/>
              <w:right w:val="single" w:sz="4" w:space="0" w:color="auto"/>
            </w:tcBorders>
            <w:shd w:val="clear" w:color="auto" w:fill="auto"/>
            <w:noWrap/>
            <w:vAlign w:val="bottom"/>
            <w:hideMark/>
          </w:tcPr>
          <w:p w:rsidR="000E2F33" w:rsidRPr="000E2F33" w:rsidRDefault="000E2F33" w:rsidP="000E2F33">
            <w:pPr>
              <w:spacing w:after="0" w:line="240" w:lineRule="auto"/>
              <w:jc w:val="center"/>
              <w:rPr>
                <w:rFonts w:ascii="Calibri" w:eastAsia="Times New Roman" w:hAnsi="Calibri" w:cs="Times New Roman"/>
                <w:color w:val="000000"/>
                <w:lang w:val="de-DE" w:eastAsia="de-DE"/>
              </w:rPr>
            </w:pPr>
            <w:r w:rsidRPr="000E2F33">
              <w:rPr>
                <w:rFonts w:ascii="Calibri" w:eastAsia="Times New Roman" w:hAnsi="Calibri" w:cs="Times New Roman"/>
                <w:color w:val="000000"/>
                <w:lang w:val="de-DE" w:eastAsia="de-DE"/>
              </w:rPr>
              <w:t>74</w:t>
            </w:r>
          </w:p>
        </w:tc>
        <w:tc>
          <w:tcPr>
            <w:tcW w:w="2160" w:type="dxa"/>
            <w:tcBorders>
              <w:top w:val="nil"/>
              <w:left w:val="nil"/>
              <w:bottom w:val="nil"/>
              <w:right w:val="single" w:sz="4" w:space="0" w:color="auto"/>
            </w:tcBorders>
            <w:shd w:val="clear" w:color="auto" w:fill="auto"/>
            <w:noWrap/>
            <w:vAlign w:val="bottom"/>
            <w:hideMark/>
          </w:tcPr>
          <w:p w:rsidR="000E2F33" w:rsidRPr="000E2F33" w:rsidRDefault="000E2F33" w:rsidP="000E2F33">
            <w:pPr>
              <w:spacing w:after="0" w:line="240" w:lineRule="auto"/>
              <w:jc w:val="center"/>
              <w:rPr>
                <w:rFonts w:ascii="Calibri" w:eastAsia="Times New Roman" w:hAnsi="Calibri" w:cs="Times New Roman"/>
                <w:color w:val="000000"/>
                <w:lang w:val="de-DE" w:eastAsia="de-DE"/>
              </w:rPr>
            </w:pPr>
            <w:r w:rsidRPr="000E2F33">
              <w:rPr>
                <w:rFonts w:ascii="Calibri" w:eastAsia="Times New Roman" w:hAnsi="Calibri" w:cs="Times New Roman"/>
                <w:color w:val="000000"/>
                <w:lang w:val="de-DE" w:eastAsia="de-DE"/>
              </w:rPr>
              <w:t>26.6</w:t>
            </w:r>
          </w:p>
        </w:tc>
        <w:tc>
          <w:tcPr>
            <w:tcW w:w="1440" w:type="dxa"/>
            <w:tcBorders>
              <w:top w:val="nil"/>
              <w:left w:val="nil"/>
              <w:bottom w:val="nil"/>
              <w:right w:val="single" w:sz="4" w:space="0" w:color="auto"/>
            </w:tcBorders>
            <w:shd w:val="clear" w:color="auto" w:fill="auto"/>
            <w:noWrap/>
            <w:vAlign w:val="bottom"/>
            <w:hideMark/>
          </w:tcPr>
          <w:p w:rsidR="000E2F33" w:rsidRPr="000E2F33" w:rsidRDefault="000E2F33" w:rsidP="000E2F33">
            <w:pPr>
              <w:spacing w:after="0" w:line="240" w:lineRule="auto"/>
              <w:jc w:val="center"/>
              <w:rPr>
                <w:rFonts w:ascii="Calibri" w:eastAsia="Times New Roman" w:hAnsi="Calibri" w:cs="Times New Roman"/>
                <w:i/>
                <w:iCs/>
                <w:color w:val="000000"/>
                <w:lang w:val="de-DE" w:eastAsia="de-DE"/>
              </w:rPr>
            </w:pPr>
            <w:r w:rsidRPr="000E2F33">
              <w:rPr>
                <w:rFonts w:ascii="Calibri" w:eastAsia="Times New Roman" w:hAnsi="Calibri" w:cs="Times New Roman"/>
                <w:i/>
                <w:iCs/>
                <w:color w:val="000000"/>
                <w:lang w:val="de-DE" w:eastAsia="de-DE"/>
              </w:rPr>
              <w:t>Go</w:t>
            </w:r>
          </w:p>
        </w:tc>
      </w:tr>
      <w:tr w:rsidR="000E2F33" w:rsidRPr="000E2F33" w:rsidTr="00B626F7">
        <w:trPr>
          <w:trHeight w:val="300"/>
          <w:jc w:val="center"/>
        </w:trPr>
        <w:tc>
          <w:tcPr>
            <w:tcW w:w="2800" w:type="dxa"/>
            <w:tcBorders>
              <w:top w:val="nil"/>
              <w:left w:val="single" w:sz="4" w:space="0" w:color="auto"/>
              <w:bottom w:val="nil"/>
              <w:right w:val="single" w:sz="4" w:space="0" w:color="auto"/>
            </w:tcBorders>
            <w:shd w:val="clear" w:color="000000" w:fill="D9D9D9"/>
            <w:noWrap/>
            <w:vAlign w:val="bottom"/>
            <w:hideMark/>
          </w:tcPr>
          <w:p w:rsidR="000E2F33" w:rsidRPr="000E2F33" w:rsidRDefault="000E2F33" w:rsidP="000E2F33">
            <w:pPr>
              <w:spacing w:after="0" w:line="240" w:lineRule="auto"/>
              <w:rPr>
                <w:rFonts w:ascii="Calibri" w:eastAsia="Times New Roman" w:hAnsi="Calibri" w:cs="Times New Roman"/>
                <w:color w:val="000000"/>
                <w:lang w:val="de-DE" w:eastAsia="de-DE"/>
              </w:rPr>
            </w:pPr>
            <w:r w:rsidRPr="000E2F33">
              <w:rPr>
                <w:rFonts w:ascii="Calibri" w:eastAsia="Times New Roman" w:hAnsi="Calibri" w:cs="Times New Roman"/>
                <w:color w:val="000000"/>
                <w:lang w:val="de-DE" w:eastAsia="de-DE"/>
              </w:rPr>
              <w:t>Hexacosanoic acid</w:t>
            </w:r>
          </w:p>
        </w:tc>
        <w:tc>
          <w:tcPr>
            <w:tcW w:w="3720" w:type="dxa"/>
            <w:tcBorders>
              <w:top w:val="nil"/>
              <w:left w:val="nil"/>
              <w:bottom w:val="nil"/>
              <w:right w:val="single" w:sz="4" w:space="0" w:color="auto"/>
            </w:tcBorders>
            <w:shd w:val="clear" w:color="000000" w:fill="D9D9D9"/>
            <w:noWrap/>
            <w:vAlign w:val="center"/>
            <w:hideMark/>
          </w:tcPr>
          <w:p w:rsidR="000E2F33" w:rsidRPr="000E2F33" w:rsidRDefault="000E2F33" w:rsidP="000E2F33">
            <w:pPr>
              <w:spacing w:after="0" w:line="240" w:lineRule="auto"/>
              <w:rPr>
                <w:rFonts w:ascii="Calibri" w:eastAsia="Times New Roman" w:hAnsi="Calibri" w:cs="Times New Roman"/>
                <w:color w:val="000000"/>
                <w:lang w:val="de-DE" w:eastAsia="de-DE"/>
              </w:rPr>
            </w:pPr>
            <w:r w:rsidRPr="000E2F33">
              <w:rPr>
                <w:rFonts w:ascii="Calibri" w:eastAsia="Times New Roman" w:hAnsi="Calibri" w:cs="Times New Roman"/>
                <w:color w:val="000000"/>
                <w:lang w:val="de-DE" w:eastAsia="de-DE"/>
              </w:rPr>
              <w:t>55,74,97,143,410</w:t>
            </w:r>
          </w:p>
        </w:tc>
        <w:tc>
          <w:tcPr>
            <w:tcW w:w="860" w:type="dxa"/>
            <w:tcBorders>
              <w:top w:val="nil"/>
              <w:left w:val="nil"/>
              <w:bottom w:val="nil"/>
              <w:right w:val="single" w:sz="4" w:space="0" w:color="auto"/>
            </w:tcBorders>
            <w:shd w:val="clear" w:color="000000" w:fill="D9D9D9"/>
            <w:noWrap/>
            <w:vAlign w:val="bottom"/>
            <w:hideMark/>
          </w:tcPr>
          <w:p w:rsidR="000E2F33" w:rsidRPr="000E2F33" w:rsidRDefault="000E2F33" w:rsidP="000E2F33">
            <w:pPr>
              <w:spacing w:after="0" w:line="240" w:lineRule="auto"/>
              <w:jc w:val="center"/>
              <w:rPr>
                <w:rFonts w:ascii="Calibri" w:eastAsia="Times New Roman" w:hAnsi="Calibri" w:cs="Times New Roman"/>
                <w:color w:val="000000"/>
                <w:lang w:val="de-DE" w:eastAsia="de-DE"/>
              </w:rPr>
            </w:pPr>
            <w:r w:rsidRPr="000E2F33">
              <w:rPr>
                <w:rFonts w:ascii="Calibri" w:eastAsia="Times New Roman" w:hAnsi="Calibri" w:cs="Times New Roman"/>
                <w:color w:val="000000"/>
                <w:lang w:val="de-DE" w:eastAsia="de-DE"/>
              </w:rPr>
              <w:t>410</w:t>
            </w:r>
          </w:p>
        </w:tc>
        <w:tc>
          <w:tcPr>
            <w:tcW w:w="2160" w:type="dxa"/>
            <w:tcBorders>
              <w:top w:val="nil"/>
              <w:left w:val="nil"/>
              <w:bottom w:val="nil"/>
              <w:right w:val="single" w:sz="4" w:space="0" w:color="auto"/>
            </w:tcBorders>
            <w:shd w:val="clear" w:color="000000" w:fill="D9D9D9"/>
            <w:noWrap/>
            <w:vAlign w:val="bottom"/>
            <w:hideMark/>
          </w:tcPr>
          <w:p w:rsidR="000E2F33" w:rsidRPr="000E2F33" w:rsidRDefault="000E2F33" w:rsidP="000E2F33">
            <w:pPr>
              <w:spacing w:after="0" w:line="240" w:lineRule="auto"/>
              <w:jc w:val="center"/>
              <w:rPr>
                <w:rFonts w:ascii="Calibri" w:eastAsia="Times New Roman" w:hAnsi="Calibri" w:cs="Times New Roman"/>
                <w:color w:val="000000"/>
                <w:lang w:val="de-DE" w:eastAsia="de-DE"/>
              </w:rPr>
            </w:pPr>
            <w:r w:rsidRPr="000E2F33">
              <w:rPr>
                <w:rFonts w:ascii="Calibri" w:eastAsia="Times New Roman" w:hAnsi="Calibri" w:cs="Times New Roman"/>
                <w:color w:val="000000"/>
                <w:lang w:val="de-DE" w:eastAsia="de-DE"/>
              </w:rPr>
              <w:t>30.45</w:t>
            </w:r>
          </w:p>
        </w:tc>
        <w:tc>
          <w:tcPr>
            <w:tcW w:w="1440" w:type="dxa"/>
            <w:tcBorders>
              <w:top w:val="nil"/>
              <w:left w:val="nil"/>
              <w:bottom w:val="nil"/>
              <w:right w:val="single" w:sz="4" w:space="0" w:color="auto"/>
            </w:tcBorders>
            <w:shd w:val="clear" w:color="000000" w:fill="D9D9D9"/>
            <w:noWrap/>
            <w:vAlign w:val="bottom"/>
            <w:hideMark/>
          </w:tcPr>
          <w:p w:rsidR="000E2F33" w:rsidRPr="000E2F33" w:rsidRDefault="000E2F33" w:rsidP="000E2F33">
            <w:pPr>
              <w:spacing w:after="0" w:line="240" w:lineRule="auto"/>
              <w:jc w:val="center"/>
              <w:rPr>
                <w:rFonts w:ascii="Calibri" w:eastAsia="Times New Roman" w:hAnsi="Calibri" w:cs="Times New Roman"/>
                <w:i/>
                <w:iCs/>
                <w:color w:val="000000"/>
                <w:lang w:val="de-DE" w:eastAsia="de-DE"/>
              </w:rPr>
            </w:pPr>
            <w:r w:rsidRPr="000E2F33">
              <w:rPr>
                <w:rFonts w:ascii="Calibri" w:eastAsia="Times New Roman" w:hAnsi="Calibri" w:cs="Times New Roman"/>
                <w:i/>
                <w:iCs/>
                <w:color w:val="000000"/>
                <w:lang w:val="de-DE" w:eastAsia="de-DE"/>
              </w:rPr>
              <w:t>Hpa</w:t>
            </w:r>
          </w:p>
        </w:tc>
      </w:tr>
      <w:tr w:rsidR="000E2F33" w:rsidRPr="000E2F33" w:rsidTr="00B626F7">
        <w:trPr>
          <w:trHeight w:val="300"/>
          <w:jc w:val="center"/>
        </w:trPr>
        <w:tc>
          <w:tcPr>
            <w:tcW w:w="2800" w:type="dxa"/>
            <w:tcBorders>
              <w:top w:val="nil"/>
              <w:left w:val="single" w:sz="4" w:space="0" w:color="auto"/>
              <w:bottom w:val="nil"/>
              <w:right w:val="single" w:sz="4" w:space="0" w:color="auto"/>
            </w:tcBorders>
            <w:shd w:val="clear" w:color="auto" w:fill="auto"/>
            <w:noWrap/>
            <w:vAlign w:val="bottom"/>
            <w:hideMark/>
          </w:tcPr>
          <w:p w:rsidR="000E2F33" w:rsidRPr="000E2F33" w:rsidRDefault="000E2F33" w:rsidP="000E2F33">
            <w:pPr>
              <w:spacing w:after="0" w:line="240" w:lineRule="auto"/>
              <w:rPr>
                <w:rFonts w:ascii="Calibri" w:eastAsia="Times New Roman" w:hAnsi="Calibri" w:cs="Times New Roman"/>
                <w:b/>
                <w:bCs/>
                <w:color w:val="000000"/>
                <w:lang w:val="de-DE" w:eastAsia="de-DE"/>
              </w:rPr>
            </w:pPr>
            <w:r w:rsidRPr="000E2F33">
              <w:rPr>
                <w:rFonts w:ascii="Calibri" w:eastAsia="Times New Roman" w:hAnsi="Calibri" w:cs="Times New Roman"/>
                <w:b/>
                <w:bCs/>
                <w:color w:val="000000"/>
                <w:lang w:val="de-DE" w:eastAsia="de-DE"/>
              </w:rPr>
              <w:t>Hydroxyterephthalic acid</w:t>
            </w:r>
          </w:p>
        </w:tc>
        <w:tc>
          <w:tcPr>
            <w:tcW w:w="3720" w:type="dxa"/>
            <w:tcBorders>
              <w:top w:val="nil"/>
              <w:left w:val="nil"/>
              <w:bottom w:val="nil"/>
              <w:right w:val="single" w:sz="4" w:space="0" w:color="auto"/>
            </w:tcBorders>
            <w:shd w:val="clear" w:color="auto" w:fill="auto"/>
            <w:noWrap/>
            <w:vAlign w:val="center"/>
            <w:hideMark/>
          </w:tcPr>
          <w:p w:rsidR="000E2F33" w:rsidRPr="000E2F33" w:rsidRDefault="000E2F33" w:rsidP="000E2F33">
            <w:pPr>
              <w:spacing w:after="0" w:line="240" w:lineRule="auto"/>
              <w:rPr>
                <w:rFonts w:ascii="Calibri" w:eastAsia="Times New Roman" w:hAnsi="Calibri" w:cs="Times New Roman"/>
                <w:color w:val="000000"/>
                <w:lang w:val="de-DE" w:eastAsia="de-DE"/>
              </w:rPr>
            </w:pPr>
            <w:r w:rsidRPr="000E2F33">
              <w:rPr>
                <w:rFonts w:ascii="Calibri" w:eastAsia="Times New Roman" w:hAnsi="Calibri" w:cs="Times New Roman"/>
                <w:color w:val="000000"/>
                <w:lang w:val="de-DE" w:eastAsia="de-DE"/>
              </w:rPr>
              <w:t>119,127,</w:t>
            </w:r>
            <w:r w:rsidRPr="000E2F33">
              <w:rPr>
                <w:rFonts w:ascii="Calibri" w:eastAsia="Times New Roman" w:hAnsi="Calibri" w:cs="Times New Roman"/>
                <w:b/>
                <w:bCs/>
                <w:color w:val="000000"/>
                <w:lang w:val="de-DE" w:eastAsia="de-DE"/>
              </w:rPr>
              <w:t>147,178</w:t>
            </w:r>
            <w:r w:rsidRPr="000E2F33">
              <w:rPr>
                <w:rFonts w:ascii="Calibri" w:eastAsia="Times New Roman" w:hAnsi="Calibri" w:cs="Times New Roman"/>
                <w:color w:val="000000"/>
                <w:lang w:val="de-DE" w:eastAsia="de-DE"/>
              </w:rPr>
              <w:t>,210</w:t>
            </w:r>
          </w:p>
        </w:tc>
        <w:tc>
          <w:tcPr>
            <w:tcW w:w="860" w:type="dxa"/>
            <w:tcBorders>
              <w:top w:val="nil"/>
              <w:left w:val="nil"/>
              <w:bottom w:val="nil"/>
              <w:right w:val="single" w:sz="4" w:space="0" w:color="auto"/>
            </w:tcBorders>
            <w:shd w:val="clear" w:color="auto" w:fill="auto"/>
            <w:noWrap/>
            <w:vAlign w:val="bottom"/>
            <w:hideMark/>
          </w:tcPr>
          <w:p w:rsidR="000E2F33" w:rsidRPr="000E2F33" w:rsidRDefault="000E2F33" w:rsidP="000E2F33">
            <w:pPr>
              <w:spacing w:after="0" w:line="240" w:lineRule="auto"/>
              <w:jc w:val="center"/>
              <w:rPr>
                <w:rFonts w:ascii="Calibri" w:eastAsia="Times New Roman" w:hAnsi="Calibri" w:cs="Times New Roman"/>
                <w:color w:val="000000"/>
                <w:lang w:val="de-DE" w:eastAsia="de-DE"/>
              </w:rPr>
            </w:pPr>
            <w:r w:rsidRPr="000E2F33">
              <w:rPr>
                <w:rFonts w:ascii="Calibri" w:eastAsia="Times New Roman" w:hAnsi="Calibri" w:cs="Times New Roman"/>
                <w:color w:val="000000"/>
                <w:lang w:val="de-DE" w:eastAsia="de-DE"/>
              </w:rPr>
              <w:t>178</w:t>
            </w:r>
          </w:p>
        </w:tc>
        <w:tc>
          <w:tcPr>
            <w:tcW w:w="2160" w:type="dxa"/>
            <w:tcBorders>
              <w:top w:val="nil"/>
              <w:left w:val="nil"/>
              <w:bottom w:val="nil"/>
              <w:right w:val="single" w:sz="4" w:space="0" w:color="auto"/>
            </w:tcBorders>
            <w:shd w:val="clear" w:color="auto" w:fill="auto"/>
            <w:noWrap/>
            <w:vAlign w:val="bottom"/>
            <w:hideMark/>
          </w:tcPr>
          <w:p w:rsidR="000E2F33" w:rsidRPr="000E2F33" w:rsidRDefault="000E2F33" w:rsidP="000E2F33">
            <w:pPr>
              <w:spacing w:after="0" w:line="240" w:lineRule="auto"/>
              <w:jc w:val="center"/>
              <w:rPr>
                <w:rFonts w:ascii="Calibri" w:eastAsia="Times New Roman" w:hAnsi="Calibri" w:cs="Times New Roman"/>
                <w:color w:val="000000"/>
                <w:lang w:val="de-DE" w:eastAsia="de-DE"/>
              </w:rPr>
            </w:pPr>
            <w:r w:rsidRPr="000E2F33">
              <w:rPr>
                <w:rFonts w:ascii="Calibri" w:eastAsia="Times New Roman" w:hAnsi="Calibri" w:cs="Times New Roman"/>
                <w:color w:val="000000"/>
                <w:lang w:val="de-DE" w:eastAsia="de-DE"/>
              </w:rPr>
              <w:t>18.1</w:t>
            </w:r>
          </w:p>
        </w:tc>
        <w:tc>
          <w:tcPr>
            <w:tcW w:w="1440" w:type="dxa"/>
            <w:tcBorders>
              <w:top w:val="nil"/>
              <w:left w:val="nil"/>
              <w:bottom w:val="nil"/>
              <w:right w:val="single" w:sz="4" w:space="0" w:color="auto"/>
            </w:tcBorders>
            <w:shd w:val="clear" w:color="auto" w:fill="auto"/>
            <w:noWrap/>
            <w:vAlign w:val="bottom"/>
            <w:hideMark/>
          </w:tcPr>
          <w:p w:rsidR="000E2F33" w:rsidRPr="000E2F33" w:rsidRDefault="000E2F33" w:rsidP="000E2F33">
            <w:pPr>
              <w:spacing w:after="0" w:line="240" w:lineRule="auto"/>
              <w:jc w:val="center"/>
              <w:rPr>
                <w:rFonts w:ascii="Calibri" w:eastAsia="Times New Roman" w:hAnsi="Calibri" w:cs="Times New Roman"/>
                <w:i/>
                <w:iCs/>
                <w:color w:val="000000"/>
                <w:lang w:val="de-DE" w:eastAsia="de-DE"/>
              </w:rPr>
            </w:pPr>
            <w:r w:rsidRPr="000E2F33">
              <w:rPr>
                <w:rFonts w:ascii="Calibri" w:eastAsia="Times New Roman" w:hAnsi="Calibri" w:cs="Times New Roman"/>
                <w:i/>
                <w:iCs/>
                <w:color w:val="000000"/>
                <w:lang w:val="de-DE" w:eastAsia="de-DE"/>
              </w:rPr>
              <w:t>Bc</w:t>
            </w:r>
          </w:p>
        </w:tc>
      </w:tr>
      <w:tr w:rsidR="000E2F33" w:rsidRPr="000E2F33" w:rsidTr="00B626F7">
        <w:trPr>
          <w:trHeight w:val="300"/>
          <w:jc w:val="center"/>
        </w:trPr>
        <w:tc>
          <w:tcPr>
            <w:tcW w:w="2800" w:type="dxa"/>
            <w:tcBorders>
              <w:top w:val="nil"/>
              <w:left w:val="single" w:sz="4" w:space="0" w:color="auto"/>
              <w:bottom w:val="nil"/>
              <w:right w:val="single" w:sz="4" w:space="0" w:color="auto"/>
            </w:tcBorders>
            <w:shd w:val="clear" w:color="000000" w:fill="D9D9D9"/>
            <w:noWrap/>
            <w:vAlign w:val="bottom"/>
            <w:hideMark/>
          </w:tcPr>
          <w:p w:rsidR="000E2F33" w:rsidRPr="000E2F33" w:rsidRDefault="000E2F33" w:rsidP="000E2F33">
            <w:pPr>
              <w:spacing w:after="0" w:line="240" w:lineRule="auto"/>
              <w:rPr>
                <w:rFonts w:ascii="Calibri" w:eastAsia="Times New Roman" w:hAnsi="Calibri" w:cs="Times New Roman"/>
                <w:color w:val="000000"/>
                <w:lang w:val="de-DE" w:eastAsia="de-DE"/>
              </w:rPr>
            </w:pPr>
            <w:r w:rsidRPr="000E2F33">
              <w:rPr>
                <w:rFonts w:ascii="Calibri" w:eastAsia="Times New Roman" w:hAnsi="Calibri" w:cs="Times New Roman"/>
                <w:color w:val="000000"/>
                <w:lang w:val="de-DE" w:eastAsia="de-DE"/>
              </w:rPr>
              <w:t>Isophthalic acid</w:t>
            </w:r>
          </w:p>
        </w:tc>
        <w:tc>
          <w:tcPr>
            <w:tcW w:w="3720" w:type="dxa"/>
            <w:tcBorders>
              <w:top w:val="nil"/>
              <w:left w:val="nil"/>
              <w:bottom w:val="nil"/>
              <w:right w:val="single" w:sz="4" w:space="0" w:color="auto"/>
            </w:tcBorders>
            <w:shd w:val="clear" w:color="000000" w:fill="D9D9D9"/>
            <w:noWrap/>
            <w:vAlign w:val="center"/>
            <w:hideMark/>
          </w:tcPr>
          <w:p w:rsidR="000E2F33" w:rsidRPr="000E2F33" w:rsidRDefault="000E2F33" w:rsidP="000E2F33">
            <w:pPr>
              <w:spacing w:after="0" w:line="240" w:lineRule="auto"/>
              <w:rPr>
                <w:rFonts w:ascii="Calibri" w:eastAsia="Times New Roman" w:hAnsi="Calibri" w:cs="Times New Roman"/>
                <w:color w:val="000000"/>
                <w:lang w:val="de-DE" w:eastAsia="de-DE"/>
              </w:rPr>
            </w:pPr>
            <w:r w:rsidRPr="000E2F33">
              <w:rPr>
                <w:rFonts w:ascii="Calibri" w:eastAsia="Times New Roman" w:hAnsi="Calibri" w:cs="Times New Roman"/>
                <w:color w:val="000000"/>
                <w:lang w:val="de-DE" w:eastAsia="de-DE"/>
              </w:rPr>
              <w:t>135,</w:t>
            </w:r>
            <w:r w:rsidRPr="000E2F33">
              <w:rPr>
                <w:rFonts w:ascii="Calibri" w:eastAsia="Times New Roman" w:hAnsi="Calibri" w:cs="Times New Roman"/>
                <w:b/>
                <w:bCs/>
                <w:color w:val="000000"/>
                <w:lang w:val="de-DE" w:eastAsia="de-DE"/>
              </w:rPr>
              <w:t>163</w:t>
            </w:r>
            <w:r w:rsidRPr="000E2F33">
              <w:rPr>
                <w:rFonts w:ascii="Calibri" w:eastAsia="Times New Roman" w:hAnsi="Calibri" w:cs="Times New Roman"/>
                <w:color w:val="000000"/>
                <w:lang w:val="de-DE" w:eastAsia="de-DE"/>
              </w:rPr>
              <w:t>,194</w:t>
            </w:r>
          </w:p>
        </w:tc>
        <w:tc>
          <w:tcPr>
            <w:tcW w:w="860" w:type="dxa"/>
            <w:tcBorders>
              <w:top w:val="nil"/>
              <w:left w:val="nil"/>
              <w:bottom w:val="nil"/>
              <w:right w:val="single" w:sz="4" w:space="0" w:color="auto"/>
            </w:tcBorders>
            <w:shd w:val="clear" w:color="000000" w:fill="D9D9D9"/>
            <w:noWrap/>
            <w:vAlign w:val="bottom"/>
            <w:hideMark/>
          </w:tcPr>
          <w:p w:rsidR="000E2F33" w:rsidRPr="000E2F33" w:rsidRDefault="000E2F33" w:rsidP="000E2F33">
            <w:pPr>
              <w:spacing w:after="0" w:line="240" w:lineRule="auto"/>
              <w:jc w:val="center"/>
              <w:rPr>
                <w:rFonts w:ascii="Calibri" w:eastAsia="Times New Roman" w:hAnsi="Calibri" w:cs="Times New Roman"/>
                <w:color w:val="000000"/>
                <w:lang w:val="de-DE" w:eastAsia="de-DE"/>
              </w:rPr>
            </w:pPr>
            <w:r w:rsidRPr="000E2F33">
              <w:rPr>
                <w:rFonts w:ascii="Calibri" w:eastAsia="Times New Roman" w:hAnsi="Calibri" w:cs="Times New Roman"/>
                <w:color w:val="000000"/>
                <w:lang w:val="de-DE" w:eastAsia="de-DE"/>
              </w:rPr>
              <w:t>163</w:t>
            </w:r>
          </w:p>
        </w:tc>
        <w:tc>
          <w:tcPr>
            <w:tcW w:w="2160" w:type="dxa"/>
            <w:tcBorders>
              <w:top w:val="nil"/>
              <w:left w:val="nil"/>
              <w:bottom w:val="nil"/>
              <w:right w:val="single" w:sz="4" w:space="0" w:color="auto"/>
            </w:tcBorders>
            <w:shd w:val="clear" w:color="000000" w:fill="D9D9D9"/>
            <w:noWrap/>
            <w:vAlign w:val="bottom"/>
            <w:hideMark/>
          </w:tcPr>
          <w:p w:rsidR="000E2F33" w:rsidRPr="000E2F33" w:rsidRDefault="000E2F33" w:rsidP="000E2F33">
            <w:pPr>
              <w:spacing w:after="0" w:line="240" w:lineRule="auto"/>
              <w:jc w:val="center"/>
              <w:rPr>
                <w:rFonts w:ascii="Calibri" w:eastAsia="Times New Roman" w:hAnsi="Calibri" w:cs="Times New Roman"/>
                <w:color w:val="000000"/>
                <w:lang w:val="de-DE" w:eastAsia="de-DE"/>
              </w:rPr>
            </w:pPr>
            <w:r w:rsidRPr="000E2F33">
              <w:rPr>
                <w:rFonts w:ascii="Calibri" w:eastAsia="Times New Roman" w:hAnsi="Calibri" w:cs="Times New Roman"/>
                <w:color w:val="000000"/>
                <w:lang w:val="de-DE" w:eastAsia="de-DE"/>
              </w:rPr>
              <w:t>16.6</w:t>
            </w:r>
          </w:p>
        </w:tc>
        <w:tc>
          <w:tcPr>
            <w:tcW w:w="1440" w:type="dxa"/>
            <w:tcBorders>
              <w:top w:val="nil"/>
              <w:left w:val="nil"/>
              <w:bottom w:val="nil"/>
              <w:right w:val="single" w:sz="4" w:space="0" w:color="auto"/>
            </w:tcBorders>
            <w:shd w:val="clear" w:color="000000" w:fill="D9D9D9"/>
            <w:noWrap/>
            <w:vAlign w:val="bottom"/>
            <w:hideMark/>
          </w:tcPr>
          <w:p w:rsidR="000E2F33" w:rsidRPr="000E2F33" w:rsidRDefault="000E2F33" w:rsidP="000E2F33">
            <w:pPr>
              <w:spacing w:after="0" w:line="240" w:lineRule="auto"/>
              <w:jc w:val="center"/>
              <w:rPr>
                <w:rFonts w:ascii="Calibri" w:eastAsia="Times New Roman" w:hAnsi="Calibri" w:cs="Times New Roman"/>
                <w:i/>
                <w:iCs/>
                <w:color w:val="000000"/>
                <w:lang w:val="de-DE" w:eastAsia="de-DE"/>
              </w:rPr>
            </w:pPr>
            <w:r w:rsidRPr="000E2F33">
              <w:rPr>
                <w:rFonts w:ascii="Calibri" w:eastAsia="Times New Roman" w:hAnsi="Calibri" w:cs="Times New Roman"/>
                <w:i/>
                <w:iCs/>
                <w:color w:val="000000"/>
                <w:lang w:val="de-DE" w:eastAsia="de-DE"/>
              </w:rPr>
              <w:t>Bc</w:t>
            </w:r>
          </w:p>
        </w:tc>
      </w:tr>
      <w:tr w:rsidR="000E2F33" w:rsidRPr="000E2F33" w:rsidTr="00B626F7">
        <w:trPr>
          <w:trHeight w:val="300"/>
          <w:jc w:val="center"/>
        </w:trPr>
        <w:tc>
          <w:tcPr>
            <w:tcW w:w="2800" w:type="dxa"/>
            <w:tcBorders>
              <w:top w:val="nil"/>
              <w:left w:val="single" w:sz="4" w:space="0" w:color="auto"/>
              <w:bottom w:val="nil"/>
              <w:right w:val="single" w:sz="4" w:space="0" w:color="auto"/>
            </w:tcBorders>
            <w:shd w:val="clear" w:color="auto" w:fill="auto"/>
            <w:noWrap/>
            <w:vAlign w:val="bottom"/>
            <w:hideMark/>
          </w:tcPr>
          <w:p w:rsidR="000E2F33" w:rsidRPr="000E2F33" w:rsidRDefault="000E2F33" w:rsidP="000E2F33">
            <w:pPr>
              <w:spacing w:after="0" w:line="240" w:lineRule="auto"/>
              <w:rPr>
                <w:rFonts w:ascii="Calibri" w:eastAsia="Times New Roman" w:hAnsi="Calibri" w:cs="Times New Roman"/>
                <w:b/>
                <w:bCs/>
                <w:color w:val="000000"/>
                <w:lang w:val="de-DE" w:eastAsia="de-DE"/>
              </w:rPr>
            </w:pPr>
            <w:r w:rsidRPr="000E2F33">
              <w:rPr>
                <w:rFonts w:ascii="Calibri" w:eastAsia="Times New Roman" w:hAnsi="Calibri" w:cs="Times New Roman"/>
                <w:b/>
                <w:bCs/>
                <w:color w:val="000000"/>
                <w:lang w:val="de-DE" w:eastAsia="de-DE"/>
              </w:rPr>
              <w:t>Neophytadien</w:t>
            </w:r>
          </w:p>
        </w:tc>
        <w:tc>
          <w:tcPr>
            <w:tcW w:w="3720" w:type="dxa"/>
            <w:tcBorders>
              <w:top w:val="nil"/>
              <w:left w:val="nil"/>
              <w:bottom w:val="nil"/>
              <w:right w:val="single" w:sz="4" w:space="0" w:color="auto"/>
            </w:tcBorders>
            <w:shd w:val="clear" w:color="auto" w:fill="auto"/>
            <w:noWrap/>
            <w:vAlign w:val="center"/>
            <w:hideMark/>
          </w:tcPr>
          <w:p w:rsidR="000E2F33" w:rsidRPr="000E2F33" w:rsidRDefault="000E2F33" w:rsidP="000E2F33">
            <w:pPr>
              <w:spacing w:after="0" w:line="240" w:lineRule="auto"/>
              <w:rPr>
                <w:rFonts w:ascii="Calibri" w:eastAsia="Times New Roman" w:hAnsi="Calibri" w:cs="Times New Roman"/>
                <w:color w:val="000000"/>
                <w:lang w:val="de-DE" w:eastAsia="de-DE"/>
              </w:rPr>
            </w:pPr>
            <w:r w:rsidRPr="000E2F33">
              <w:rPr>
                <w:rFonts w:ascii="Calibri" w:eastAsia="Times New Roman" w:hAnsi="Calibri" w:cs="Times New Roman"/>
                <w:color w:val="000000"/>
                <w:lang w:val="de-DE" w:eastAsia="de-DE"/>
              </w:rPr>
              <w:t>55,67,</w:t>
            </w:r>
            <w:r w:rsidRPr="000E2F33">
              <w:rPr>
                <w:rFonts w:ascii="Calibri" w:eastAsia="Times New Roman" w:hAnsi="Calibri" w:cs="Times New Roman"/>
                <w:b/>
                <w:bCs/>
                <w:color w:val="000000"/>
                <w:lang w:val="de-DE" w:eastAsia="de-DE"/>
              </w:rPr>
              <w:t>68,82,95</w:t>
            </w:r>
            <w:r w:rsidRPr="000E2F33">
              <w:rPr>
                <w:rFonts w:ascii="Calibri" w:eastAsia="Times New Roman" w:hAnsi="Calibri" w:cs="Times New Roman"/>
                <w:color w:val="000000"/>
                <w:lang w:val="de-DE" w:eastAsia="de-DE"/>
              </w:rPr>
              <w:t>,109,</w:t>
            </w:r>
            <w:r w:rsidRPr="000E2F33">
              <w:rPr>
                <w:rFonts w:ascii="Calibri" w:eastAsia="Times New Roman" w:hAnsi="Calibri" w:cs="Times New Roman"/>
                <w:b/>
                <w:bCs/>
                <w:color w:val="000000"/>
                <w:lang w:val="de-DE" w:eastAsia="de-DE"/>
              </w:rPr>
              <w:t>123</w:t>
            </w:r>
            <w:r w:rsidRPr="000E2F33">
              <w:rPr>
                <w:rFonts w:ascii="Calibri" w:eastAsia="Times New Roman" w:hAnsi="Calibri" w:cs="Times New Roman"/>
                <w:color w:val="000000"/>
                <w:lang w:val="de-DE" w:eastAsia="de-DE"/>
              </w:rPr>
              <w:t>,226</w:t>
            </w:r>
          </w:p>
        </w:tc>
        <w:tc>
          <w:tcPr>
            <w:tcW w:w="860" w:type="dxa"/>
            <w:tcBorders>
              <w:top w:val="nil"/>
              <w:left w:val="nil"/>
              <w:bottom w:val="nil"/>
              <w:right w:val="single" w:sz="4" w:space="0" w:color="auto"/>
            </w:tcBorders>
            <w:shd w:val="clear" w:color="auto" w:fill="auto"/>
            <w:noWrap/>
            <w:vAlign w:val="bottom"/>
            <w:hideMark/>
          </w:tcPr>
          <w:p w:rsidR="000E2F33" w:rsidRPr="000E2F33" w:rsidRDefault="000E2F33" w:rsidP="000E2F33">
            <w:pPr>
              <w:spacing w:after="0" w:line="240" w:lineRule="auto"/>
              <w:jc w:val="center"/>
              <w:rPr>
                <w:rFonts w:ascii="Calibri" w:eastAsia="Times New Roman" w:hAnsi="Calibri" w:cs="Times New Roman"/>
                <w:color w:val="000000"/>
                <w:lang w:val="de-DE" w:eastAsia="de-DE"/>
              </w:rPr>
            </w:pPr>
            <w:r w:rsidRPr="000E2F33">
              <w:rPr>
                <w:rFonts w:ascii="Calibri" w:eastAsia="Times New Roman" w:hAnsi="Calibri" w:cs="Times New Roman"/>
                <w:color w:val="000000"/>
                <w:lang w:val="de-DE" w:eastAsia="de-DE"/>
              </w:rPr>
              <w:t>68</w:t>
            </w:r>
          </w:p>
        </w:tc>
        <w:tc>
          <w:tcPr>
            <w:tcW w:w="2160" w:type="dxa"/>
            <w:tcBorders>
              <w:top w:val="nil"/>
              <w:left w:val="nil"/>
              <w:bottom w:val="nil"/>
              <w:right w:val="single" w:sz="4" w:space="0" w:color="auto"/>
            </w:tcBorders>
            <w:shd w:val="clear" w:color="auto" w:fill="auto"/>
            <w:noWrap/>
            <w:vAlign w:val="bottom"/>
            <w:hideMark/>
          </w:tcPr>
          <w:p w:rsidR="000E2F33" w:rsidRPr="000E2F33" w:rsidRDefault="000E2F33" w:rsidP="000E2F33">
            <w:pPr>
              <w:spacing w:after="0" w:line="240" w:lineRule="auto"/>
              <w:jc w:val="center"/>
              <w:rPr>
                <w:rFonts w:ascii="Calibri" w:eastAsia="Times New Roman" w:hAnsi="Calibri" w:cs="Times New Roman"/>
                <w:color w:val="000000"/>
                <w:lang w:val="de-DE" w:eastAsia="de-DE"/>
              </w:rPr>
            </w:pPr>
            <w:r w:rsidRPr="000E2F33">
              <w:rPr>
                <w:rFonts w:ascii="Calibri" w:eastAsia="Times New Roman" w:hAnsi="Calibri" w:cs="Times New Roman"/>
                <w:color w:val="000000"/>
                <w:lang w:val="de-DE" w:eastAsia="de-DE"/>
              </w:rPr>
              <w:t>21.17</w:t>
            </w:r>
          </w:p>
        </w:tc>
        <w:tc>
          <w:tcPr>
            <w:tcW w:w="1440" w:type="dxa"/>
            <w:tcBorders>
              <w:top w:val="nil"/>
              <w:left w:val="nil"/>
              <w:bottom w:val="nil"/>
              <w:right w:val="single" w:sz="4" w:space="0" w:color="auto"/>
            </w:tcBorders>
            <w:shd w:val="clear" w:color="auto" w:fill="auto"/>
            <w:noWrap/>
            <w:vAlign w:val="bottom"/>
            <w:hideMark/>
          </w:tcPr>
          <w:p w:rsidR="000E2F33" w:rsidRPr="000E2F33" w:rsidRDefault="000E2F33" w:rsidP="000E2F33">
            <w:pPr>
              <w:spacing w:after="0" w:line="240" w:lineRule="auto"/>
              <w:jc w:val="center"/>
              <w:rPr>
                <w:rFonts w:ascii="Calibri" w:eastAsia="Times New Roman" w:hAnsi="Calibri" w:cs="Times New Roman"/>
                <w:i/>
                <w:iCs/>
                <w:color w:val="000000"/>
                <w:lang w:val="de-DE" w:eastAsia="de-DE"/>
              </w:rPr>
            </w:pPr>
            <w:r w:rsidRPr="000E2F33">
              <w:rPr>
                <w:rFonts w:ascii="Calibri" w:eastAsia="Times New Roman" w:hAnsi="Calibri" w:cs="Times New Roman"/>
                <w:i/>
                <w:iCs/>
                <w:color w:val="000000"/>
                <w:lang w:val="de-DE" w:eastAsia="de-DE"/>
              </w:rPr>
              <w:t>Bc</w:t>
            </w:r>
          </w:p>
        </w:tc>
      </w:tr>
      <w:tr w:rsidR="000E2F33" w:rsidRPr="000E2F33" w:rsidTr="00B626F7">
        <w:trPr>
          <w:trHeight w:val="300"/>
          <w:jc w:val="center"/>
        </w:trPr>
        <w:tc>
          <w:tcPr>
            <w:tcW w:w="2800" w:type="dxa"/>
            <w:tcBorders>
              <w:top w:val="nil"/>
              <w:left w:val="single" w:sz="4" w:space="0" w:color="auto"/>
              <w:bottom w:val="nil"/>
              <w:right w:val="single" w:sz="4" w:space="0" w:color="auto"/>
            </w:tcBorders>
            <w:shd w:val="clear" w:color="000000" w:fill="D9D9D9"/>
            <w:noWrap/>
            <w:vAlign w:val="bottom"/>
            <w:hideMark/>
          </w:tcPr>
          <w:p w:rsidR="000E2F33" w:rsidRPr="000E2F33" w:rsidRDefault="000E2F33" w:rsidP="000E2F33">
            <w:pPr>
              <w:spacing w:after="0" w:line="240" w:lineRule="auto"/>
              <w:rPr>
                <w:rFonts w:ascii="Calibri" w:eastAsia="Times New Roman" w:hAnsi="Calibri" w:cs="Times New Roman"/>
                <w:color w:val="000000"/>
                <w:lang w:val="de-DE" w:eastAsia="de-DE"/>
              </w:rPr>
            </w:pPr>
            <w:r w:rsidRPr="000E2F33">
              <w:rPr>
                <w:rFonts w:ascii="Calibri" w:eastAsia="Times New Roman" w:hAnsi="Calibri" w:cs="Times New Roman"/>
                <w:color w:val="000000"/>
                <w:lang w:val="de-DE" w:eastAsia="de-DE"/>
              </w:rPr>
              <w:t>Phytol</w:t>
            </w:r>
          </w:p>
        </w:tc>
        <w:tc>
          <w:tcPr>
            <w:tcW w:w="3720" w:type="dxa"/>
            <w:tcBorders>
              <w:top w:val="nil"/>
              <w:left w:val="nil"/>
              <w:bottom w:val="nil"/>
              <w:right w:val="single" w:sz="4" w:space="0" w:color="auto"/>
            </w:tcBorders>
            <w:shd w:val="clear" w:color="000000" w:fill="D9D9D9"/>
            <w:noWrap/>
            <w:vAlign w:val="center"/>
            <w:hideMark/>
          </w:tcPr>
          <w:p w:rsidR="000E2F33" w:rsidRPr="000E2F33" w:rsidRDefault="000E2F33" w:rsidP="000E2F33">
            <w:pPr>
              <w:spacing w:after="0" w:line="240" w:lineRule="auto"/>
              <w:rPr>
                <w:rFonts w:ascii="Calibri" w:eastAsia="Times New Roman" w:hAnsi="Calibri" w:cs="Times New Roman"/>
                <w:color w:val="000000"/>
                <w:lang w:val="de-DE" w:eastAsia="de-DE"/>
              </w:rPr>
            </w:pPr>
            <w:r w:rsidRPr="000E2F33">
              <w:rPr>
                <w:rFonts w:ascii="Calibri" w:eastAsia="Times New Roman" w:hAnsi="Calibri" w:cs="Times New Roman"/>
                <w:color w:val="000000"/>
                <w:lang w:val="de-DE" w:eastAsia="de-DE"/>
              </w:rPr>
              <w:t xml:space="preserve">73, </w:t>
            </w:r>
            <w:r w:rsidRPr="000E2F33">
              <w:rPr>
                <w:rFonts w:ascii="Calibri" w:eastAsia="Times New Roman" w:hAnsi="Calibri" w:cs="Times New Roman"/>
                <w:b/>
                <w:bCs/>
                <w:color w:val="000000"/>
                <w:lang w:val="de-DE" w:eastAsia="de-DE"/>
              </w:rPr>
              <w:t>75, 143</w:t>
            </w:r>
          </w:p>
        </w:tc>
        <w:tc>
          <w:tcPr>
            <w:tcW w:w="860" w:type="dxa"/>
            <w:tcBorders>
              <w:top w:val="nil"/>
              <w:left w:val="nil"/>
              <w:bottom w:val="nil"/>
              <w:right w:val="single" w:sz="4" w:space="0" w:color="auto"/>
            </w:tcBorders>
            <w:shd w:val="clear" w:color="000000" w:fill="D9D9D9"/>
            <w:noWrap/>
            <w:vAlign w:val="bottom"/>
            <w:hideMark/>
          </w:tcPr>
          <w:p w:rsidR="000E2F33" w:rsidRPr="000E2F33" w:rsidRDefault="000E2F33" w:rsidP="000E2F33">
            <w:pPr>
              <w:spacing w:after="0" w:line="240" w:lineRule="auto"/>
              <w:jc w:val="center"/>
              <w:rPr>
                <w:rFonts w:ascii="Calibri" w:eastAsia="Times New Roman" w:hAnsi="Calibri" w:cs="Times New Roman"/>
                <w:color w:val="000000"/>
                <w:lang w:val="de-DE" w:eastAsia="de-DE"/>
              </w:rPr>
            </w:pPr>
            <w:r w:rsidRPr="000E2F33">
              <w:rPr>
                <w:rFonts w:ascii="Calibri" w:eastAsia="Times New Roman" w:hAnsi="Calibri" w:cs="Times New Roman"/>
                <w:color w:val="000000"/>
                <w:lang w:val="de-DE" w:eastAsia="de-DE"/>
              </w:rPr>
              <w:t>143</w:t>
            </w:r>
          </w:p>
        </w:tc>
        <w:tc>
          <w:tcPr>
            <w:tcW w:w="2160" w:type="dxa"/>
            <w:tcBorders>
              <w:top w:val="nil"/>
              <w:left w:val="nil"/>
              <w:bottom w:val="nil"/>
              <w:right w:val="single" w:sz="4" w:space="0" w:color="auto"/>
            </w:tcBorders>
            <w:shd w:val="clear" w:color="000000" w:fill="D9D9D9"/>
            <w:noWrap/>
            <w:vAlign w:val="bottom"/>
            <w:hideMark/>
          </w:tcPr>
          <w:p w:rsidR="000E2F33" w:rsidRPr="000E2F33" w:rsidRDefault="000E2F33" w:rsidP="000E2F33">
            <w:pPr>
              <w:spacing w:after="0" w:line="240" w:lineRule="auto"/>
              <w:jc w:val="center"/>
              <w:rPr>
                <w:rFonts w:ascii="Calibri" w:eastAsia="Times New Roman" w:hAnsi="Calibri" w:cs="Times New Roman"/>
                <w:color w:val="000000"/>
                <w:lang w:val="de-DE" w:eastAsia="de-DE"/>
              </w:rPr>
            </w:pPr>
            <w:r w:rsidRPr="000E2F33">
              <w:rPr>
                <w:rFonts w:ascii="Calibri" w:eastAsia="Times New Roman" w:hAnsi="Calibri" w:cs="Times New Roman"/>
                <w:color w:val="000000"/>
                <w:lang w:val="de-DE" w:eastAsia="de-DE"/>
              </w:rPr>
              <w:t>24.82</w:t>
            </w:r>
          </w:p>
        </w:tc>
        <w:tc>
          <w:tcPr>
            <w:tcW w:w="1440" w:type="dxa"/>
            <w:tcBorders>
              <w:top w:val="nil"/>
              <w:left w:val="nil"/>
              <w:bottom w:val="nil"/>
              <w:right w:val="single" w:sz="4" w:space="0" w:color="auto"/>
            </w:tcBorders>
            <w:shd w:val="clear" w:color="000000" w:fill="D9D9D9"/>
            <w:noWrap/>
            <w:vAlign w:val="bottom"/>
            <w:hideMark/>
          </w:tcPr>
          <w:p w:rsidR="000E2F33" w:rsidRPr="000E2F33" w:rsidRDefault="000E2F33" w:rsidP="000E2F33">
            <w:pPr>
              <w:spacing w:after="0" w:line="240" w:lineRule="auto"/>
              <w:jc w:val="center"/>
              <w:rPr>
                <w:rFonts w:ascii="Calibri" w:eastAsia="Times New Roman" w:hAnsi="Calibri" w:cs="Times New Roman"/>
                <w:i/>
                <w:iCs/>
                <w:color w:val="000000"/>
                <w:lang w:val="de-DE" w:eastAsia="de-DE"/>
              </w:rPr>
            </w:pPr>
            <w:r w:rsidRPr="000E2F33">
              <w:rPr>
                <w:rFonts w:ascii="Calibri" w:eastAsia="Times New Roman" w:hAnsi="Calibri" w:cs="Times New Roman"/>
                <w:i/>
                <w:iCs/>
                <w:color w:val="000000"/>
                <w:lang w:val="de-DE" w:eastAsia="de-DE"/>
              </w:rPr>
              <w:t>Bc</w:t>
            </w:r>
          </w:p>
        </w:tc>
      </w:tr>
      <w:tr w:rsidR="000E2F33" w:rsidRPr="000E2F33" w:rsidTr="00B626F7">
        <w:trPr>
          <w:trHeight w:val="300"/>
          <w:jc w:val="center"/>
        </w:trPr>
        <w:tc>
          <w:tcPr>
            <w:tcW w:w="2800" w:type="dxa"/>
            <w:tcBorders>
              <w:top w:val="nil"/>
              <w:left w:val="single" w:sz="4" w:space="0" w:color="auto"/>
              <w:bottom w:val="nil"/>
              <w:right w:val="single" w:sz="4" w:space="0" w:color="auto"/>
            </w:tcBorders>
            <w:shd w:val="clear" w:color="auto" w:fill="auto"/>
            <w:noWrap/>
            <w:vAlign w:val="bottom"/>
            <w:hideMark/>
          </w:tcPr>
          <w:p w:rsidR="000E2F33" w:rsidRPr="000E2F33" w:rsidRDefault="000E2F33" w:rsidP="000E2F33">
            <w:pPr>
              <w:spacing w:after="0" w:line="240" w:lineRule="auto"/>
              <w:rPr>
                <w:rFonts w:ascii="Calibri" w:eastAsia="Times New Roman" w:hAnsi="Calibri" w:cs="Times New Roman"/>
                <w:color w:val="000000"/>
                <w:lang w:val="de-DE" w:eastAsia="de-DE"/>
              </w:rPr>
            </w:pPr>
            <w:r w:rsidRPr="000E2F33">
              <w:rPr>
                <w:rFonts w:ascii="Calibri" w:eastAsia="Times New Roman" w:hAnsi="Calibri" w:cs="Times New Roman"/>
                <w:color w:val="000000"/>
                <w:lang w:val="de-DE" w:eastAsia="de-DE"/>
              </w:rPr>
              <w:t>Tetracosanoic acid</w:t>
            </w:r>
          </w:p>
        </w:tc>
        <w:tc>
          <w:tcPr>
            <w:tcW w:w="3720" w:type="dxa"/>
            <w:tcBorders>
              <w:top w:val="nil"/>
              <w:left w:val="nil"/>
              <w:bottom w:val="nil"/>
              <w:right w:val="single" w:sz="4" w:space="0" w:color="auto"/>
            </w:tcBorders>
            <w:shd w:val="clear" w:color="auto" w:fill="auto"/>
            <w:noWrap/>
            <w:vAlign w:val="center"/>
            <w:hideMark/>
          </w:tcPr>
          <w:p w:rsidR="000E2F33" w:rsidRPr="000E2F33" w:rsidRDefault="000E2F33" w:rsidP="000E2F33">
            <w:pPr>
              <w:spacing w:after="0" w:line="240" w:lineRule="auto"/>
              <w:rPr>
                <w:rFonts w:ascii="Calibri" w:eastAsia="Times New Roman" w:hAnsi="Calibri" w:cs="Times New Roman"/>
                <w:color w:val="000000"/>
                <w:lang w:val="de-DE" w:eastAsia="de-DE"/>
              </w:rPr>
            </w:pPr>
            <w:r w:rsidRPr="000E2F33">
              <w:rPr>
                <w:rFonts w:ascii="Calibri" w:eastAsia="Times New Roman" w:hAnsi="Calibri" w:cs="Times New Roman"/>
                <w:color w:val="000000"/>
                <w:lang w:val="de-DE" w:eastAsia="de-DE"/>
              </w:rPr>
              <w:t>57,74,87,143,339,382</w:t>
            </w:r>
          </w:p>
        </w:tc>
        <w:tc>
          <w:tcPr>
            <w:tcW w:w="860" w:type="dxa"/>
            <w:tcBorders>
              <w:top w:val="nil"/>
              <w:left w:val="nil"/>
              <w:bottom w:val="nil"/>
              <w:right w:val="single" w:sz="4" w:space="0" w:color="auto"/>
            </w:tcBorders>
            <w:shd w:val="clear" w:color="auto" w:fill="auto"/>
            <w:noWrap/>
            <w:vAlign w:val="bottom"/>
            <w:hideMark/>
          </w:tcPr>
          <w:p w:rsidR="000E2F33" w:rsidRPr="000E2F33" w:rsidRDefault="000E2F33" w:rsidP="000E2F33">
            <w:pPr>
              <w:spacing w:after="0" w:line="240" w:lineRule="auto"/>
              <w:jc w:val="center"/>
              <w:rPr>
                <w:rFonts w:ascii="Calibri" w:eastAsia="Times New Roman" w:hAnsi="Calibri" w:cs="Times New Roman"/>
                <w:color w:val="000000"/>
                <w:lang w:val="de-DE" w:eastAsia="de-DE"/>
              </w:rPr>
            </w:pPr>
            <w:r w:rsidRPr="000E2F33">
              <w:rPr>
                <w:rFonts w:ascii="Calibri" w:eastAsia="Times New Roman" w:hAnsi="Calibri" w:cs="Times New Roman"/>
                <w:color w:val="000000"/>
                <w:lang w:val="de-DE" w:eastAsia="de-DE"/>
              </w:rPr>
              <w:t>382</w:t>
            </w:r>
          </w:p>
        </w:tc>
        <w:tc>
          <w:tcPr>
            <w:tcW w:w="2160" w:type="dxa"/>
            <w:tcBorders>
              <w:top w:val="nil"/>
              <w:left w:val="nil"/>
              <w:bottom w:val="nil"/>
              <w:right w:val="single" w:sz="4" w:space="0" w:color="auto"/>
            </w:tcBorders>
            <w:shd w:val="clear" w:color="auto" w:fill="auto"/>
            <w:noWrap/>
            <w:vAlign w:val="bottom"/>
            <w:hideMark/>
          </w:tcPr>
          <w:p w:rsidR="000E2F33" w:rsidRPr="000E2F33" w:rsidRDefault="000E2F33" w:rsidP="000E2F33">
            <w:pPr>
              <w:spacing w:after="0" w:line="240" w:lineRule="auto"/>
              <w:jc w:val="center"/>
              <w:rPr>
                <w:rFonts w:ascii="Calibri" w:eastAsia="Times New Roman" w:hAnsi="Calibri" w:cs="Times New Roman"/>
                <w:color w:val="000000"/>
                <w:lang w:val="de-DE" w:eastAsia="de-DE"/>
              </w:rPr>
            </w:pPr>
            <w:r w:rsidRPr="000E2F33">
              <w:rPr>
                <w:rFonts w:ascii="Calibri" w:eastAsia="Times New Roman" w:hAnsi="Calibri" w:cs="Times New Roman"/>
                <w:color w:val="000000"/>
                <w:lang w:val="de-DE" w:eastAsia="de-DE"/>
              </w:rPr>
              <w:t>29.57</w:t>
            </w:r>
          </w:p>
        </w:tc>
        <w:tc>
          <w:tcPr>
            <w:tcW w:w="1440" w:type="dxa"/>
            <w:tcBorders>
              <w:top w:val="nil"/>
              <w:left w:val="nil"/>
              <w:bottom w:val="nil"/>
              <w:right w:val="single" w:sz="4" w:space="0" w:color="auto"/>
            </w:tcBorders>
            <w:shd w:val="clear" w:color="auto" w:fill="auto"/>
            <w:noWrap/>
            <w:vAlign w:val="bottom"/>
            <w:hideMark/>
          </w:tcPr>
          <w:p w:rsidR="000E2F33" w:rsidRPr="000E2F33" w:rsidRDefault="000E2F33" w:rsidP="000E2F33">
            <w:pPr>
              <w:spacing w:after="0" w:line="240" w:lineRule="auto"/>
              <w:jc w:val="center"/>
              <w:rPr>
                <w:rFonts w:ascii="Calibri" w:eastAsia="Times New Roman" w:hAnsi="Calibri" w:cs="Times New Roman"/>
                <w:i/>
                <w:iCs/>
                <w:color w:val="000000"/>
                <w:lang w:val="de-DE" w:eastAsia="de-DE"/>
              </w:rPr>
            </w:pPr>
            <w:r w:rsidRPr="000E2F33">
              <w:rPr>
                <w:rFonts w:ascii="Calibri" w:eastAsia="Times New Roman" w:hAnsi="Calibri" w:cs="Times New Roman"/>
                <w:i/>
                <w:iCs/>
                <w:color w:val="000000"/>
                <w:lang w:val="de-DE" w:eastAsia="de-DE"/>
              </w:rPr>
              <w:t>Hpa</w:t>
            </w:r>
          </w:p>
        </w:tc>
      </w:tr>
      <w:tr w:rsidR="000E2F33" w:rsidRPr="000E2F33" w:rsidTr="00B626F7">
        <w:trPr>
          <w:trHeight w:val="300"/>
          <w:jc w:val="center"/>
        </w:trPr>
        <w:tc>
          <w:tcPr>
            <w:tcW w:w="2800" w:type="dxa"/>
            <w:tcBorders>
              <w:top w:val="nil"/>
              <w:left w:val="single" w:sz="4" w:space="0" w:color="auto"/>
              <w:bottom w:val="nil"/>
              <w:right w:val="single" w:sz="4" w:space="0" w:color="auto"/>
            </w:tcBorders>
            <w:shd w:val="clear" w:color="000000" w:fill="D9D9D9"/>
            <w:noWrap/>
            <w:vAlign w:val="bottom"/>
            <w:hideMark/>
          </w:tcPr>
          <w:p w:rsidR="000E2F33" w:rsidRPr="000E2F33" w:rsidRDefault="000E2F33" w:rsidP="000E2F33">
            <w:pPr>
              <w:spacing w:after="0" w:line="240" w:lineRule="auto"/>
              <w:rPr>
                <w:rFonts w:ascii="Calibri" w:eastAsia="Times New Roman" w:hAnsi="Calibri" w:cs="Times New Roman"/>
                <w:color w:val="000000"/>
                <w:lang w:val="de-DE" w:eastAsia="de-DE"/>
              </w:rPr>
            </w:pPr>
            <w:r w:rsidRPr="000E2F33">
              <w:rPr>
                <w:rFonts w:ascii="Calibri" w:eastAsia="Times New Roman" w:hAnsi="Calibri" w:cs="Times New Roman"/>
                <w:color w:val="000000"/>
                <w:lang w:val="de-DE" w:eastAsia="de-DE"/>
              </w:rPr>
              <w:t>trans-Phytol</w:t>
            </w:r>
          </w:p>
        </w:tc>
        <w:tc>
          <w:tcPr>
            <w:tcW w:w="3720" w:type="dxa"/>
            <w:tcBorders>
              <w:top w:val="nil"/>
              <w:left w:val="nil"/>
              <w:bottom w:val="nil"/>
              <w:right w:val="single" w:sz="4" w:space="0" w:color="auto"/>
            </w:tcBorders>
            <w:shd w:val="clear" w:color="000000" w:fill="D9D9D9"/>
            <w:noWrap/>
            <w:vAlign w:val="center"/>
            <w:hideMark/>
          </w:tcPr>
          <w:p w:rsidR="000E2F33" w:rsidRPr="000E2F33" w:rsidRDefault="000E2F33" w:rsidP="000E2F33">
            <w:pPr>
              <w:spacing w:after="0" w:line="240" w:lineRule="auto"/>
              <w:rPr>
                <w:rFonts w:ascii="Calibri" w:eastAsia="Times New Roman" w:hAnsi="Calibri" w:cs="Times New Roman"/>
                <w:color w:val="000000"/>
                <w:lang w:val="de-DE" w:eastAsia="de-DE"/>
              </w:rPr>
            </w:pPr>
            <w:r w:rsidRPr="000E2F33">
              <w:rPr>
                <w:rFonts w:ascii="Calibri" w:eastAsia="Times New Roman" w:hAnsi="Calibri" w:cs="Times New Roman"/>
                <w:color w:val="000000"/>
                <w:lang w:val="de-DE" w:eastAsia="de-DE"/>
              </w:rPr>
              <w:t>55,67,68,69,</w:t>
            </w:r>
            <w:r w:rsidRPr="000E2F33">
              <w:rPr>
                <w:rFonts w:ascii="Calibri" w:eastAsia="Times New Roman" w:hAnsi="Calibri" w:cs="Times New Roman"/>
                <w:b/>
                <w:bCs/>
                <w:color w:val="000000"/>
                <w:lang w:val="de-DE" w:eastAsia="de-DE"/>
              </w:rPr>
              <w:t>81,95</w:t>
            </w:r>
            <w:r w:rsidRPr="000E2F33">
              <w:rPr>
                <w:rFonts w:ascii="Calibri" w:eastAsia="Times New Roman" w:hAnsi="Calibri" w:cs="Times New Roman"/>
                <w:color w:val="000000"/>
                <w:lang w:val="de-DE" w:eastAsia="de-DE"/>
              </w:rPr>
              <w:t>,109,</w:t>
            </w:r>
            <w:r w:rsidRPr="000E2F33">
              <w:rPr>
                <w:rFonts w:ascii="Calibri" w:eastAsia="Times New Roman" w:hAnsi="Calibri" w:cs="Times New Roman"/>
                <w:b/>
                <w:bCs/>
                <w:color w:val="000000"/>
                <w:lang w:val="de-DE" w:eastAsia="de-DE"/>
              </w:rPr>
              <w:t>123</w:t>
            </w:r>
            <w:r w:rsidRPr="000E2F33">
              <w:rPr>
                <w:rFonts w:ascii="Calibri" w:eastAsia="Times New Roman" w:hAnsi="Calibri" w:cs="Times New Roman"/>
                <w:color w:val="000000"/>
                <w:lang w:val="de-DE" w:eastAsia="de-DE"/>
              </w:rPr>
              <w:t>,278</w:t>
            </w:r>
          </w:p>
        </w:tc>
        <w:tc>
          <w:tcPr>
            <w:tcW w:w="860" w:type="dxa"/>
            <w:tcBorders>
              <w:top w:val="nil"/>
              <w:left w:val="nil"/>
              <w:bottom w:val="nil"/>
              <w:right w:val="single" w:sz="4" w:space="0" w:color="auto"/>
            </w:tcBorders>
            <w:shd w:val="clear" w:color="000000" w:fill="D9D9D9"/>
            <w:noWrap/>
            <w:vAlign w:val="bottom"/>
            <w:hideMark/>
          </w:tcPr>
          <w:p w:rsidR="000E2F33" w:rsidRPr="000E2F33" w:rsidRDefault="000E2F33" w:rsidP="000E2F33">
            <w:pPr>
              <w:spacing w:after="0" w:line="240" w:lineRule="auto"/>
              <w:jc w:val="center"/>
              <w:rPr>
                <w:rFonts w:ascii="Calibri" w:eastAsia="Times New Roman" w:hAnsi="Calibri" w:cs="Times New Roman"/>
                <w:color w:val="000000"/>
                <w:lang w:val="de-DE" w:eastAsia="de-DE"/>
              </w:rPr>
            </w:pPr>
            <w:r w:rsidRPr="000E2F33">
              <w:rPr>
                <w:rFonts w:ascii="Calibri" w:eastAsia="Times New Roman" w:hAnsi="Calibri" w:cs="Times New Roman"/>
                <w:color w:val="000000"/>
                <w:lang w:val="de-DE" w:eastAsia="de-DE"/>
              </w:rPr>
              <w:t>81</w:t>
            </w:r>
          </w:p>
        </w:tc>
        <w:tc>
          <w:tcPr>
            <w:tcW w:w="2160" w:type="dxa"/>
            <w:tcBorders>
              <w:top w:val="nil"/>
              <w:left w:val="nil"/>
              <w:bottom w:val="nil"/>
              <w:right w:val="single" w:sz="4" w:space="0" w:color="auto"/>
            </w:tcBorders>
            <w:shd w:val="clear" w:color="000000" w:fill="D9D9D9"/>
            <w:noWrap/>
            <w:vAlign w:val="bottom"/>
            <w:hideMark/>
          </w:tcPr>
          <w:p w:rsidR="000E2F33" w:rsidRPr="000E2F33" w:rsidRDefault="000E2F33" w:rsidP="000E2F33">
            <w:pPr>
              <w:spacing w:after="0" w:line="240" w:lineRule="auto"/>
              <w:jc w:val="center"/>
              <w:rPr>
                <w:rFonts w:ascii="Calibri" w:eastAsia="Times New Roman" w:hAnsi="Calibri" w:cs="Times New Roman"/>
                <w:color w:val="000000"/>
                <w:lang w:val="de-DE" w:eastAsia="de-DE"/>
              </w:rPr>
            </w:pPr>
            <w:r w:rsidRPr="000E2F33">
              <w:rPr>
                <w:rFonts w:ascii="Calibri" w:eastAsia="Times New Roman" w:hAnsi="Calibri" w:cs="Times New Roman"/>
                <w:color w:val="000000"/>
                <w:lang w:val="de-DE" w:eastAsia="de-DE"/>
              </w:rPr>
              <w:t>21.7</w:t>
            </w:r>
          </w:p>
        </w:tc>
        <w:tc>
          <w:tcPr>
            <w:tcW w:w="1440" w:type="dxa"/>
            <w:tcBorders>
              <w:top w:val="nil"/>
              <w:left w:val="nil"/>
              <w:bottom w:val="nil"/>
              <w:right w:val="single" w:sz="4" w:space="0" w:color="auto"/>
            </w:tcBorders>
            <w:shd w:val="clear" w:color="000000" w:fill="D9D9D9"/>
            <w:noWrap/>
            <w:vAlign w:val="bottom"/>
            <w:hideMark/>
          </w:tcPr>
          <w:p w:rsidR="000E2F33" w:rsidRPr="000E2F33" w:rsidRDefault="000E2F33" w:rsidP="000E2F33">
            <w:pPr>
              <w:spacing w:after="0" w:line="240" w:lineRule="auto"/>
              <w:jc w:val="center"/>
              <w:rPr>
                <w:rFonts w:ascii="Calibri" w:eastAsia="Times New Roman" w:hAnsi="Calibri" w:cs="Times New Roman"/>
                <w:i/>
                <w:iCs/>
                <w:color w:val="000000"/>
                <w:lang w:val="de-DE" w:eastAsia="de-DE"/>
              </w:rPr>
            </w:pPr>
            <w:r w:rsidRPr="000E2F33">
              <w:rPr>
                <w:rFonts w:ascii="Calibri" w:eastAsia="Times New Roman" w:hAnsi="Calibri" w:cs="Times New Roman"/>
                <w:i/>
                <w:iCs/>
                <w:color w:val="000000"/>
                <w:lang w:val="de-DE" w:eastAsia="de-DE"/>
              </w:rPr>
              <w:t>Bc</w:t>
            </w:r>
          </w:p>
        </w:tc>
      </w:tr>
      <w:tr w:rsidR="000E2F33" w:rsidRPr="000E2F33" w:rsidTr="00B626F7">
        <w:trPr>
          <w:trHeight w:val="300"/>
          <w:jc w:val="center"/>
        </w:trPr>
        <w:tc>
          <w:tcPr>
            <w:tcW w:w="2800" w:type="dxa"/>
            <w:tcBorders>
              <w:top w:val="nil"/>
              <w:left w:val="single" w:sz="4" w:space="0" w:color="auto"/>
              <w:bottom w:val="nil"/>
              <w:right w:val="single" w:sz="4" w:space="0" w:color="auto"/>
            </w:tcBorders>
            <w:shd w:val="clear" w:color="auto" w:fill="auto"/>
            <w:noWrap/>
            <w:vAlign w:val="bottom"/>
            <w:hideMark/>
          </w:tcPr>
          <w:p w:rsidR="000E2F33" w:rsidRPr="000E2F33" w:rsidRDefault="000E2F33" w:rsidP="000E2F33">
            <w:pPr>
              <w:spacing w:after="0" w:line="240" w:lineRule="auto"/>
              <w:rPr>
                <w:rFonts w:ascii="Calibri" w:eastAsia="Times New Roman" w:hAnsi="Calibri" w:cs="Times New Roman"/>
                <w:b/>
                <w:bCs/>
                <w:color w:val="000000"/>
                <w:lang w:val="de-DE" w:eastAsia="de-DE"/>
              </w:rPr>
            </w:pPr>
            <w:r w:rsidRPr="000E2F33">
              <w:rPr>
                <w:rFonts w:ascii="Calibri" w:eastAsia="Times New Roman" w:hAnsi="Calibri" w:cs="Times New Roman"/>
                <w:b/>
                <w:bCs/>
                <w:color w:val="000000"/>
                <w:lang w:val="de-DE" w:eastAsia="de-DE"/>
              </w:rPr>
              <w:t>Unknown 1</w:t>
            </w:r>
          </w:p>
        </w:tc>
        <w:tc>
          <w:tcPr>
            <w:tcW w:w="3720" w:type="dxa"/>
            <w:tcBorders>
              <w:top w:val="nil"/>
              <w:left w:val="nil"/>
              <w:bottom w:val="nil"/>
              <w:right w:val="single" w:sz="4" w:space="0" w:color="auto"/>
            </w:tcBorders>
            <w:shd w:val="clear" w:color="auto" w:fill="auto"/>
            <w:noWrap/>
            <w:vAlign w:val="center"/>
            <w:hideMark/>
          </w:tcPr>
          <w:p w:rsidR="000E2F33" w:rsidRPr="000E2F33" w:rsidRDefault="000E2F33" w:rsidP="000E2F33">
            <w:pPr>
              <w:spacing w:after="0" w:line="240" w:lineRule="auto"/>
              <w:rPr>
                <w:rFonts w:ascii="Calibri" w:eastAsia="Times New Roman" w:hAnsi="Calibri" w:cs="Times New Roman"/>
                <w:color w:val="000000"/>
                <w:lang w:val="de-DE" w:eastAsia="de-DE"/>
              </w:rPr>
            </w:pPr>
            <w:r w:rsidRPr="000E2F33">
              <w:rPr>
                <w:rFonts w:ascii="Calibri" w:eastAsia="Times New Roman" w:hAnsi="Calibri" w:cs="Times New Roman"/>
                <w:b/>
                <w:bCs/>
                <w:color w:val="000000"/>
                <w:lang w:val="de-DE" w:eastAsia="de-DE"/>
              </w:rPr>
              <w:t>55,83,97,111</w:t>
            </w:r>
            <w:r w:rsidRPr="000E2F33">
              <w:rPr>
                <w:rFonts w:ascii="Calibri" w:eastAsia="Times New Roman" w:hAnsi="Calibri" w:cs="Times New Roman"/>
                <w:color w:val="000000"/>
                <w:lang w:val="de-DE" w:eastAsia="de-DE"/>
              </w:rPr>
              <w:t>,222,264,265,296</w:t>
            </w:r>
          </w:p>
        </w:tc>
        <w:tc>
          <w:tcPr>
            <w:tcW w:w="860" w:type="dxa"/>
            <w:tcBorders>
              <w:top w:val="nil"/>
              <w:left w:val="nil"/>
              <w:bottom w:val="nil"/>
              <w:right w:val="single" w:sz="4" w:space="0" w:color="auto"/>
            </w:tcBorders>
            <w:shd w:val="clear" w:color="auto" w:fill="auto"/>
            <w:noWrap/>
            <w:vAlign w:val="bottom"/>
            <w:hideMark/>
          </w:tcPr>
          <w:p w:rsidR="000E2F33" w:rsidRPr="000E2F33" w:rsidRDefault="000E2F33" w:rsidP="000E2F33">
            <w:pPr>
              <w:spacing w:after="0" w:line="240" w:lineRule="auto"/>
              <w:jc w:val="center"/>
              <w:rPr>
                <w:rFonts w:ascii="Calibri" w:eastAsia="Times New Roman" w:hAnsi="Calibri" w:cs="Times New Roman"/>
                <w:color w:val="000000"/>
                <w:lang w:val="de-DE" w:eastAsia="de-DE"/>
              </w:rPr>
            </w:pPr>
            <w:r w:rsidRPr="000E2F33">
              <w:rPr>
                <w:rFonts w:ascii="Calibri" w:eastAsia="Times New Roman" w:hAnsi="Calibri" w:cs="Times New Roman"/>
                <w:color w:val="000000"/>
                <w:lang w:val="de-DE" w:eastAsia="de-DE"/>
              </w:rPr>
              <w:t>55</w:t>
            </w:r>
          </w:p>
        </w:tc>
        <w:tc>
          <w:tcPr>
            <w:tcW w:w="2160" w:type="dxa"/>
            <w:tcBorders>
              <w:top w:val="nil"/>
              <w:left w:val="nil"/>
              <w:bottom w:val="nil"/>
              <w:right w:val="single" w:sz="4" w:space="0" w:color="auto"/>
            </w:tcBorders>
            <w:shd w:val="clear" w:color="auto" w:fill="auto"/>
            <w:noWrap/>
            <w:vAlign w:val="bottom"/>
            <w:hideMark/>
          </w:tcPr>
          <w:p w:rsidR="000E2F33" w:rsidRPr="000E2F33" w:rsidRDefault="000E2F33" w:rsidP="000E2F33">
            <w:pPr>
              <w:spacing w:after="0" w:line="240" w:lineRule="auto"/>
              <w:jc w:val="center"/>
              <w:rPr>
                <w:rFonts w:ascii="Calibri" w:eastAsia="Times New Roman" w:hAnsi="Calibri" w:cs="Times New Roman"/>
                <w:color w:val="000000"/>
                <w:lang w:val="de-DE" w:eastAsia="de-DE"/>
              </w:rPr>
            </w:pPr>
            <w:r w:rsidRPr="000E2F33">
              <w:rPr>
                <w:rFonts w:ascii="Calibri" w:eastAsia="Times New Roman" w:hAnsi="Calibri" w:cs="Times New Roman"/>
                <w:color w:val="000000"/>
                <w:lang w:val="de-DE" w:eastAsia="de-DE"/>
              </w:rPr>
              <w:t>24.4</w:t>
            </w:r>
          </w:p>
        </w:tc>
        <w:tc>
          <w:tcPr>
            <w:tcW w:w="1440" w:type="dxa"/>
            <w:tcBorders>
              <w:top w:val="nil"/>
              <w:left w:val="nil"/>
              <w:bottom w:val="nil"/>
              <w:right w:val="single" w:sz="4" w:space="0" w:color="auto"/>
            </w:tcBorders>
            <w:shd w:val="clear" w:color="auto" w:fill="auto"/>
            <w:noWrap/>
            <w:vAlign w:val="bottom"/>
            <w:hideMark/>
          </w:tcPr>
          <w:p w:rsidR="000E2F33" w:rsidRPr="000E2F33" w:rsidRDefault="000E2F33" w:rsidP="000E2F33">
            <w:pPr>
              <w:spacing w:after="0" w:line="240" w:lineRule="auto"/>
              <w:jc w:val="center"/>
              <w:rPr>
                <w:rFonts w:ascii="Calibri" w:eastAsia="Times New Roman" w:hAnsi="Calibri" w:cs="Times New Roman"/>
                <w:i/>
                <w:iCs/>
                <w:color w:val="000000"/>
                <w:lang w:val="de-DE" w:eastAsia="de-DE"/>
              </w:rPr>
            </w:pPr>
            <w:r w:rsidRPr="000E2F33">
              <w:rPr>
                <w:rFonts w:ascii="Calibri" w:eastAsia="Times New Roman" w:hAnsi="Calibri" w:cs="Times New Roman"/>
                <w:i/>
                <w:iCs/>
                <w:color w:val="000000"/>
                <w:lang w:val="de-DE" w:eastAsia="de-DE"/>
              </w:rPr>
              <w:t>Bc</w:t>
            </w:r>
          </w:p>
        </w:tc>
      </w:tr>
      <w:tr w:rsidR="000E2F33" w:rsidRPr="000E2F33" w:rsidTr="00B626F7">
        <w:trPr>
          <w:trHeight w:val="300"/>
          <w:jc w:val="center"/>
        </w:trPr>
        <w:tc>
          <w:tcPr>
            <w:tcW w:w="2800" w:type="dxa"/>
            <w:tcBorders>
              <w:top w:val="nil"/>
              <w:left w:val="single" w:sz="4" w:space="0" w:color="auto"/>
              <w:bottom w:val="nil"/>
              <w:right w:val="single" w:sz="4" w:space="0" w:color="auto"/>
            </w:tcBorders>
            <w:shd w:val="clear" w:color="000000" w:fill="D9D9D9"/>
            <w:noWrap/>
            <w:vAlign w:val="bottom"/>
            <w:hideMark/>
          </w:tcPr>
          <w:p w:rsidR="000E2F33" w:rsidRPr="000E2F33" w:rsidRDefault="000E2F33" w:rsidP="000E2F33">
            <w:pPr>
              <w:spacing w:after="0" w:line="240" w:lineRule="auto"/>
              <w:rPr>
                <w:rFonts w:ascii="Calibri" w:eastAsia="Times New Roman" w:hAnsi="Calibri" w:cs="Times New Roman"/>
                <w:b/>
                <w:bCs/>
                <w:color w:val="000000"/>
                <w:lang w:val="de-DE" w:eastAsia="de-DE"/>
              </w:rPr>
            </w:pPr>
            <w:r w:rsidRPr="000E2F33">
              <w:rPr>
                <w:rFonts w:ascii="Calibri" w:eastAsia="Times New Roman" w:hAnsi="Calibri" w:cs="Times New Roman"/>
                <w:b/>
                <w:bCs/>
                <w:color w:val="000000"/>
                <w:lang w:val="de-DE" w:eastAsia="de-DE"/>
              </w:rPr>
              <w:t>Unknown 2</w:t>
            </w:r>
          </w:p>
        </w:tc>
        <w:tc>
          <w:tcPr>
            <w:tcW w:w="3720" w:type="dxa"/>
            <w:tcBorders>
              <w:top w:val="nil"/>
              <w:left w:val="nil"/>
              <w:bottom w:val="nil"/>
              <w:right w:val="single" w:sz="4" w:space="0" w:color="auto"/>
            </w:tcBorders>
            <w:shd w:val="clear" w:color="000000" w:fill="D9D9D9"/>
            <w:noWrap/>
            <w:vAlign w:val="center"/>
            <w:hideMark/>
          </w:tcPr>
          <w:p w:rsidR="000E2F33" w:rsidRPr="000E2F33" w:rsidRDefault="000E2F33" w:rsidP="000E2F33">
            <w:pPr>
              <w:spacing w:after="0" w:line="240" w:lineRule="auto"/>
              <w:rPr>
                <w:rFonts w:ascii="Calibri" w:eastAsia="Times New Roman" w:hAnsi="Calibri" w:cs="Times New Roman"/>
                <w:color w:val="000000"/>
                <w:lang w:val="de-DE" w:eastAsia="de-DE"/>
              </w:rPr>
            </w:pPr>
            <w:r w:rsidRPr="000E2F33">
              <w:rPr>
                <w:rFonts w:ascii="Calibri" w:eastAsia="Times New Roman" w:hAnsi="Calibri" w:cs="Times New Roman"/>
                <w:color w:val="000000"/>
                <w:lang w:val="de-DE" w:eastAsia="de-DE"/>
              </w:rPr>
              <w:t>54,</w:t>
            </w:r>
            <w:r w:rsidRPr="000E2F33">
              <w:rPr>
                <w:rFonts w:ascii="Calibri" w:eastAsia="Times New Roman" w:hAnsi="Calibri" w:cs="Times New Roman"/>
                <w:b/>
                <w:bCs/>
                <w:color w:val="000000"/>
                <w:lang w:val="de-DE" w:eastAsia="de-DE"/>
              </w:rPr>
              <w:t>67,81,82,95</w:t>
            </w:r>
            <w:r w:rsidRPr="000E2F33">
              <w:rPr>
                <w:rFonts w:ascii="Calibri" w:eastAsia="Times New Roman" w:hAnsi="Calibri" w:cs="Times New Roman"/>
                <w:color w:val="000000"/>
                <w:lang w:val="de-DE" w:eastAsia="de-DE"/>
              </w:rPr>
              <w:t>,109,123</w:t>
            </w:r>
          </w:p>
        </w:tc>
        <w:tc>
          <w:tcPr>
            <w:tcW w:w="860" w:type="dxa"/>
            <w:tcBorders>
              <w:top w:val="nil"/>
              <w:left w:val="nil"/>
              <w:bottom w:val="nil"/>
              <w:right w:val="single" w:sz="4" w:space="0" w:color="auto"/>
            </w:tcBorders>
            <w:shd w:val="clear" w:color="000000" w:fill="D9D9D9"/>
            <w:noWrap/>
            <w:vAlign w:val="bottom"/>
            <w:hideMark/>
          </w:tcPr>
          <w:p w:rsidR="000E2F33" w:rsidRPr="000E2F33" w:rsidRDefault="000E2F33" w:rsidP="000E2F33">
            <w:pPr>
              <w:spacing w:after="0" w:line="240" w:lineRule="auto"/>
              <w:jc w:val="center"/>
              <w:rPr>
                <w:rFonts w:ascii="Calibri" w:eastAsia="Times New Roman" w:hAnsi="Calibri" w:cs="Times New Roman"/>
                <w:color w:val="000000"/>
                <w:lang w:val="de-DE" w:eastAsia="de-DE"/>
              </w:rPr>
            </w:pPr>
            <w:r w:rsidRPr="000E2F33">
              <w:rPr>
                <w:rFonts w:ascii="Calibri" w:eastAsia="Times New Roman" w:hAnsi="Calibri" w:cs="Times New Roman"/>
                <w:color w:val="000000"/>
                <w:lang w:val="de-DE" w:eastAsia="de-DE"/>
              </w:rPr>
              <w:t>67</w:t>
            </w:r>
          </w:p>
        </w:tc>
        <w:tc>
          <w:tcPr>
            <w:tcW w:w="2160" w:type="dxa"/>
            <w:tcBorders>
              <w:top w:val="nil"/>
              <w:left w:val="nil"/>
              <w:bottom w:val="nil"/>
              <w:right w:val="single" w:sz="4" w:space="0" w:color="auto"/>
            </w:tcBorders>
            <w:shd w:val="clear" w:color="000000" w:fill="D9D9D9"/>
            <w:noWrap/>
            <w:vAlign w:val="bottom"/>
            <w:hideMark/>
          </w:tcPr>
          <w:p w:rsidR="000E2F33" w:rsidRPr="000E2F33" w:rsidRDefault="000E2F33" w:rsidP="000E2F33">
            <w:pPr>
              <w:spacing w:after="0" w:line="240" w:lineRule="auto"/>
              <w:jc w:val="center"/>
              <w:rPr>
                <w:rFonts w:ascii="Calibri" w:eastAsia="Times New Roman" w:hAnsi="Calibri" w:cs="Times New Roman"/>
                <w:color w:val="000000"/>
                <w:lang w:val="de-DE" w:eastAsia="de-DE"/>
              </w:rPr>
            </w:pPr>
            <w:r w:rsidRPr="000E2F33">
              <w:rPr>
                <w:rFonts w:ascii="Calibri" w:eastAsia="Times New Roman" w:hAnsi="Calibri" w:cs="Times New Roman"/>
                <w:color w:val="000000"/>
                <w:lang w:val="de-DE" w:eastAsia="de-DE"/>
              </w:rPr>
              <w:t>24.3</w:t>
            </w:r>
          </w:p>
        </w:tc>
        <w:tc>
          <w:tcPr>
            <w:tcW w:w="1440" w:type="dxa"/>
            <w:tcBorders>
              <w:top w:val="nil"/>
              <w:left w:val="nil"/>
              <w:bottom w:val="nil"/>
              <w:right w:val="single" w:sz="4" w:space="0" w:color="auto"/>
            </w:tcBorders>
            <w:shd w:val="clear" w:color="000000" w:fill="D9D9D9"/>
            <w:noWrap/>
            <w:vAlign w:val="bottom"/>
            <w:hideMark/>
          </w:tcPr>
          <w:p w:rsidR="000E2F33" w:rsidRPr="000E2F33" w:rsidRDefault="000E2F33" w:rsidP="000E2F33">
            <w:pPr>
              <w:spacing w:after="0" w:line="240" w:lineRule="auto"/>
              <w:jc w:val="center"/>
              <w:rPr>
                <w:rFonts w:ascii="Calibri" w:eastAsia="Times New Roman" w:hAnsi="Calibri" w:cs="Times New Roman"/>
                <w:i/>
                <w:iCs/>
                <w:color w:val="000000"/>
                <w:lang w:val="de-DE" w:eastAsia="de-DE"/>
              </w:rPr>
            </w:pPr>
            <w:r w:rsidRPr="000E2F33">
              <w:rPr>
                <w:rFonts w:ascii="Calibri" w:eastAsia="Times New Roman" w:hAnsi="Calibri" w:cs="Times New Roman"/>
                <w:i/>
                <w:iCs/>
                <w:color w:val="000000"/>
                <w:lang w:val="de-DE" w:eastAsia="de-DE"/>
              </w:rPr>
              <w:t>Bc</w:t>
            </w:r>
          </w:p>
        </w:tc>
      </w:tr>
      <w:tr w:rsidR="000E2F33" w:rsidRPr="000E2F33" w:rsidTr="00B626F7">
        <w:trPr>
          <w:trHeight w:val="300"/>
          <w:jc w:val="center"/>
        </w:trPr>
        <w:tc>
          <w:tcPr>
            <w:tcW w:w="2800" w:type="dxa"/>
            <w:tcBorders>
              <w:top w:val="nil"/>
              <w:left w:val="single" w:sz="4" w:space="0" w:color="auto"/>
              <w:bottom w:val="nil"/>
              <w:right w:val="single" w:sz="4" w:space="0" w:color="auto"/>
            </w:tcBorders>
            <w:shd w:val="clear" w:color="auto" w:fill="auto"/>
            <w:noWrap/>
            <w:vAlign w:val="bottom"/>
            <w:hideMark/>
          </w:tcPr>
          <w:p w:rsidR="000E2F33" w:rsidRPr="000E2F33" w:rsidRDefault="000E2F33" w:rsidP="000E2F33">
            <w:pPr>
              <w:spacing w:after="0" w:line="240" w:lineRule="auto"/>
              <w:rPr>
                <w:rFonts w:ascii="Calibri" w:eastAsia="Times New Roman" w:hAnsi="Calibri" w:cs="Times New Roman"/>
                <w:b/>
                <w:bCs/>
                <w:color w:val="000000"/>
                <w:lang w:val="de-DE" w:eastAsia="de-DE"/>
              </w:rPr>
            </w:pPr>
            <w:r w:rsidRPr="000E2F33">
              <w:rPr>
                <w:rFonts w:ascii="Calibri" w:eastAsia="Times New Roman" w:hAnsi="Calibri" w:cs="Times New Roman"/>
                <w:b/>
                <w:bCs/>
                <w:color w:val="000000"/>
                <w:lang w:val="de-DE" w:eastAsia="de-DE"/>
              </w:rPr>
              <w:t>Unknown 3</w:t>
            </w:r>
          </w:p>
        </w:tc>
        <w:tc>
          <w:tcPr>
            <w:tcW w:w="3720" w:type="dxa"/>
            <w:tcBorders>
              <w:top w:val="nil"/>
              <w:left w:val="nil"/>
              <w:bottom w:val="nil"/>
              <w:right w:val="single" w:sz="4" w:space="0" w:color="auto"/>
            </w:tcBorders>
            <w:shd w:val="clear" w:color="auto" w:fill="auto"/>
            <w:noWrap/>
            <w:vAlign w:val="center"/>
            <w:hideMark/>
          </w:tcPr>
          <w:p w:rsidR="000E2F33" w:rsidRPr="000E2F33" w:rsidRDefault="000E2F33" w:rsidP="000E2F33">
            <w:pPr>
              <w:spacing w:after="0" w:line="240" w:lineRule="auto"/>
              <w:rPr>
                <w:rFonts w:ascii="Calibri" w:eastAsia="Times New Roman" w:hAnsi="Calibri" w:cs="Times New Roman"/>
                <w:color w:val="000000"/>
                <w:lang w:val="de-DE" w:eastAsia="de-DE"/>
              </w:rPr>
            </w:pPr>
            <w:r w:rsidRPr="000E2F33">
              <w:rPr>
                <w:rFonts w:ascii="Calibri" w:eastAsia="Times New Roman" w:hAnsi="Calibri" w:cs="Times New Roman"/>
                <w:color w:val="000000"/>
                <w:lang w:val="de-DE" w:eastAsia="de-DE"/>
              </w:rPr>
              <w:t xml:space="preserve">83, 125, 149, </w:t>
            </w:r>
            <w:r w:rsidRPr="000E2F33">
              <w:rPr>
                <w:rFonts w:ascii="Calibri" w:eastAsia="Times New Roman" w:hAnsi="Calibri" w:cs="Times New Roman"/>
                <w:b/>
                <w:bCs/>
                <w:color w:val="000000"/>
                <w:lang w:val="de-DE" w:eastAsia="de-DE"/>
              </w:rPr>
              <w:t xml:space="preserve">210, 234 </w:t>
            </w:r>
          </w:p>
        </w:tc>
        <w:tc>
          <w:tcPr>
            <w:tcW w:w="860" w:type="dxa"/>
            <w:tcBorders>
              <w:top w:val="nil"/>
              <w:left w:val="nil"/>
              <w:bottom w:val="nil"/>
              <w:right w:val="single" w:sz="4" w:space="0" w:color="auto"/>
            </w:tcBorders>
            <w:shd w:val="clear" w:color="auto" w:fill="auto"/>
            <w:noWrap/>
            <w:vAlign w:val="bottom"/>
            <w:hideMark/>
          </w:tcPr>
          <w:p w:rsidR="000E2F33" w:rsidRPr="000E2F33" w:rsidRDefault="000E2F33" w:rsidP="000E2F33">
            <w:pPr>
              <w:spacing w:after="0" w:line="240" w:lineRule="auto"/>
              <w:jc w:val="center"/>
              <w:rPr>
                <w:rFonts w:ascii="Calibri" w:eastAsia="Times New Roman" w:hAnsi="Calibri" w:cs="Times New Roman"/>
                <w:color w:val="000000"/>
                <w:lang w:val="de-DE" w:eastAsia="de-DE"/>
              </w:rPr>
            </w:pPr>
            <w:r w:rsidRPr="000E2F33">
              <w:rPr>
                <w:rFonts w:ascii="Calibri" w:eastAsia="Times New Roman" w:hAnsi="Calibri" w:cs="Times New Roman"/>
                <w:color w:val="000000"/>
                <w:lang w:val="de-DE" w:eastAsia="de-DE"/>
              </w:rPr>
              <w:t>210</w:t>
            </w:r>
          </w:p>
        </w:tc>
        <w:tc>
          <w:tcPr>
            <w:tcW w:w="2160" w:type="dxa"/>
            <w:tcBorders>
              <w:top w:val="nil"/>
              <w:left w:val="nil"/>
              <w:bottom w:val="nil"/>
              <w:right w:val="single" w:sz="4" w:space="0" w:color="auto"/>
            </w:tcBorders>
            <w:shd w:val="clear" w:color="auto" w:fill="auto"/>
            <w:noWrap/>
            <w:vAlign w:val="bottom"/>
            <w:hideMark/>
          </w:tcPr>
          <w:p w:rsidR="000E2F33" w:rsidRPr="000E2F33" w:rsidRDefault="000E2F33" w:rsidP="000E2F33">
            <w:pPr>
              <w:spacing w:after="0" w:line="240" w:lineRule="auto"/>
              <w:jc w:val="center"/>
              <w:rPr>
                <w:rFonts w:ascii="Calibri" w:eastAsia="Times New Roman" w:hAnsi="Calibri" w:cs="Times New Roman"/>
                <w:color w:val="000000"/>
                <w:lang w:val="de-DE" w:eastAsia="de-DE"/>
              </w:rPr>
            </w:pPr>
            <w:r w:rsidRPr="000E2F33">
              <w:rPr>
                <w:rFonts w:ascii="Calibri" w:eastAsia="Times New Roman" w:hAnsi="Calibri" w:cs="Times New Roman"/>
                <w:color w:val="000000"/>
                <w:lang w:val="de-DE" w:eastAsia="de-DE"/>
              </w:rPr>
              <w:t>24.17</w:t>
            </w:r>
          </w:p>
        </w:tc>
        <w:tc>
          <w:tcPr>
            <w:tcW w:w="1440" w:type="dxa"/>
            <w:tcBorders>
              <w:top w:val="nil"/>
              <w:left w:val="nil"/>
              <w:bottom w:val="nil"/>
              <w:right w:val="single" w:sz="4" w:space="0" w:color="auto"/>
            </w:tcBorders>
            <w:shd w:val="clear" w:color="auto" w:fill="auto"/>
            <w:noWrap/>
            <w:vAlign w:val="bottom"/>
            <w:hideMark/>
          </w:tcPr>
          <w:p w:rsidR="000E2F33" w:rsidRPr="000E2F33" w:rsidRDefault="000E2F33" w:rsidP="000E2F33">
            <w:pPr>
              <w:spacing w:after="0" w:line="240" w:lineRule="auto"/>
              <w:jc w:val="center"/>
              <w:rPr>
                <w:rFonts w:ascii="Calibri" w:eastAsia="Times New Roman" w:hAnsi="Calibri" w:cs="Times New Roman"/>
                <w:i/>
                <w:iCs/>
                <w:color w:val="000000"/>
                <w:lang w:val="de-DE" w:eastAsia="de-DE"/>
              </w:rPr>
            </w:pPr>
            <w:r w:rsidRPr="000E2F33">
              <w:rPr>
                <w:rFonts w:ascii="Calibri" w:eastAsia="Times New Roman" w:hAnsi="Calibri" w:cs="Times New Roman"/>
                <w:i/>
                <w:iCs/>
                <w:color w:val="000000"/>
                <w:lang w:val="de-DE" w:eastAsia="de-DE"/>
              </w:rPr>
              <w:t>Bc</w:t>
            </w:r>
          </w:p>
        </w:tc>
      </w:tr>
      <w:tr w:rsidR="000E2F33" w:rsidRPr="000E2F33" w:rsidTr="00B626F7">
        <w:trPr>
          <w:trHeight w:val="300"/>
          <w:jc w:val="center"/>
        </w:trPr>
        <w:tc>
          <w:tcPr>
            <w:tcW w:w="2800" w:type="dxa"/>
            <w:tcBorders>
              <w:top w:val="nil"/>
              <w:left w:val="single" w:sz="4" w:space="0" w:color="auto"/>
              <w:bottom w:val="nil"/>
              <w:right w:val="single" w:sz="4" w:space="0" w:color="auto"/>
            </w:tcBorders>
            <w:shd w:val="clear" w:color="000000" w:fill="D9D9D9"/>
            <w:noWrap/>
            <w:vAlign w:val="bottom"/>
            <w:hideMark/>
          </w:tcPr>
          <w:p w:rsidR="000E2F33" w:rsidRPr="000E2F33" w:rsidRDefault="000E2F33" w:rsidP="000E2F33">
            <w:pPr>
              <w:spacing w:after="0" w:line="240" w:lineRule="auto"/>
              <w:rPr>
                <w:rFonts w:ascii="Calibri" w:eastAsia="Times New Roman" w:hAnsi="Calibri" w:cs="Times New Roman"/>
                <w:color w:val="000000"/>
                <w:lang w:val="de-DE" w:eastAsia="de-DE"/>
              </w:rPr>
            </w:pPr>
            <w:r w:rsidRPr="000E2F33">
              <w:rPr>
                <w:rFonts w:ascii="Calibri" w:eastAsia="Times New Roman" w:hAnsi="Calibri" w:cs="Times New Roman"/>
                <w:color w:val="000000"/>
                <w:lang w:val="de-DE" w:eastAsia="de-DE"/>
              </w:rPr>
              <w:t>Unknown 4</w:t>
            </w:r>
          </w:p>
        </w:tc>
        <w:tc>
          <w:tcPr>
            <w:tcW w:w="3720" w:type="dxa"/>
            <w:tcBorders>
              <w:top w:val="nil"/>
              <w:left w:val="nil"/>
              <w:bottom w:val="nil"/>
              <w:right w:val="single" w:sz="4" w:space="0" w:color="auto"/>
            </w:tcBorders>
            <w:shd w:val="clear" w:color="000000" w:fill="D9D9D9"/>
            <w:noWrap/>
            <w:vAlign w:val="center"/>
            <w:hideMark/>
          </w:tcPr>
          <w:p w:rsidR="000E2F33" w:rsidRPr="000E2F33" w:rsidRDefault="000E2F33" w:rsidP="000E2F33">
            <w:pPr>
              <w:spacing w:after="0" w:line="240" w:lineRule="auto"/>
              <w:rPr>
                <w:rFonts w:ascii="Calibri" w:eastAsia="Times New Roman" w:hAnsi="Calibri" w:cs="Times New Roman"/>
                <w:color w:val="000000"/>
                <w:lang w:val="de-DE" w:eastAsia="de-DE"/>
              </w:rPr>
            </w:pPr>
            <w:r w:rsidRPr="000E2F33">
              <w:rPr>
                <w:rFonts w:ascii="Calibri" w:eastAsia="Times New Roman" w:hAnsi="Calibri" w:cs="Times New Roman"/>
                <w:color w:val="000000"/>
                <w:lang w:val="de-DE" w:eastAsia="de-DE"/>
              </w:rPr>
              <w:t>55,</w:t>
            </w:r>
            <w:r w:rsidRPr="000E2F33">
              <w:rPr>
                <w:rFonts w:ascii="Calibri" w:eastAsia="Times New Roman" w:hAnsi="Calibri" w:cs="Times New Roman"/>
                <w:b/>
                <w:bCs/>
                <w:color w:val="000000"/>
                <w:lang w:val="de-DE" w:eastAsia="de-DE"/>
              </w:rPr>
              <w:t>74</w:t>
            </w:r>
            <w:r w:rsidRPr="000E2F33">
              <w:rPr>
                <w:rFonts w:ascii="Calibri" w:eastAsia="Times New Roman" w:hAnsi="Calibri" w:cs="Times New Roman"/>
                <w:color w:val="000000"/>
                <w:lang w:val="de-DE" w:eastAsia="de-DE"/>
              </w:rPr>
              <w:t>,97,143,</w:t>
            </w:r>
            <w:r w:rsidRPr="000E2F33">
              <w:rPr>
                <w:rFonts w:ascii="Calibri" w:eastAsia="Times New Roman" w:hAnsi="Calibri" w:cs="Times New Roman"/>
                <w:b/>
                <w:bCs/>
                <w:color w:val="000000"/>
                <w:lang w:val="de-DE" w:eastAsia="de-DE"/>
              </w:rPr>
              <w:t>494</w:t>
            </w:r>
          </w:p>
        </w:tc>
        <w:tc>
          <w:tcPr>
            <w:tcW w:w="860" w:type="dxa"/>
            <w:tcBorders>
              <w:top w:val="nil"/>
              <w:left w:val="nil"/>
              <w:bottom w:val="nil"/>
              <w:right w:val="single" w:sz="4" w:space="0" w:color="auto"/>
            </w:tcBorders>
            <w:shd w:val="clear" w:color="000000" w:fill="D9D9D9"/>
            <w:noWrap/>
            <w:vAlign w:val="bottom"/>
            <w:hideMark/>
          </w:tcPr>
          <w:p w:rsidR="000E2F33" w:rsidRPr="000E2F33" w:rsidRDefault="000E2F33" w:rsidP="000E2F33">
            <w:pPr>
              <w:spacing w:after="0" w:line="240" w:lineRule="auto"/>
              <w:jc w:val="center"/>
              <w:rPr>
                <w:rFonts w:ascii="Calibri" w:eastAsia="Times New Roman" w:hAnsi="Calibri" w:cs="Times New Roman"/>
                <w:color w:val="000000"/>
                <w:lang w:val="de-DE" w:eastAsia="de-DE"/>
              </w:rPr>
            </w:pPr>
            <w:r w:rsidRPr="000E2F33">
              <w:rPr>
                <w:rFonts w:ascii="Calibri" w:eastAsia="Times New Roman" w:hAnsi="Calibri" w:cs="Times New Roman"/>
                <w:color w:val="000000"/>
                <w:lang w:val="de-DE" w:eastAsia="de-DE"/>
              </w:rPr>
              <w:t>494</w:t>
            </w:r>
          </w:p>
        </w:tc>
        <w:tc>
          <w:tcPr>
            <w:tcW w:w="2160" w:type="dxa"/>
            <w:tcBorders>
              <w:top w:val="nil"/>
              <w:left w:val="nil"/>
              <w:bottom w:val="nil"/>
              <w:right w:val="single" w:sz="4" w:space="0" w:color="auto"/>
            </w:tcBorders>
            <w:shd w:val="clear" w:color="000000" w:fill="D9D9D9"/>
            <w:noWrap/>
            <w:vAlign w:val="bottom"/>
            <w:hideMark/>
          </w:tcPr>
          <w:p w:rsidR="000E2F33" w:rsidRPr="000E2F33" w:rsidRDefault="000E2F33" w:rsidP="000E2F33">
            <w:pPr>
              <w:spacing w:after="0" w:line="240" w:lineRule="auto"/>
              <w:jc w:val="center"/>
              <w:rPr>
                <w:rFonts w:ascii="Calibri" w:eastAsia="Times New Roman" w:hAnsi="Calibri" w:cs="Times New Roman"/>
                <w:color w:val="000000"/>
                <w:lang w:val="de-DE" w:eastAsia="de-DE"/>
              </w:rPr>
            </w:pPr>
            <w:r w:rsidRPr="000E2F33">
              <w:rPr>
                <w:rFonts w:ascii="Calibri" w:eastAsia="Times New Roman" w:hAnsi="Calibri" w:cs="Times New Roman"/>
                <w:color w:val="000000"/>
                <w:lang w:val="de-DE" w:eastAsia="de-DE"/>
              </w:rPr>
              <w:t>33.37</w:t>
            </w:r>
          </w:p>
        </w:tc>
        <w:tc>
          <w:tcPr>
            <w:tcW w:w="1440" w:type="dxa"/>
            <w:tcBorders>
              <w:top w:val="nil"/>
              <w:left w:val="nil"/>
              <w:bottom w:val="nil"/>
              <w:right w:val="single" w:sz="4" w:space="0" w:color="auto"/>
            </w:tcBorders>
            <w:shd w:val="clear" w:color="000000" w:fill="D9D9D9"/>
            <w:noWrap/>
            <w:vAlign w:val="bottom"/>
            <w:hideMark/>
          </w:tcPr>
          <w:p w:rsidR="000E2F33" w:rsidRPr="000E2F33" w:rsidRDefault="000E2F33" w:rsidP="000E2F33">
            <w:pPr>
              <w:spacing w:after="0" w:line="240" w:lineRule="auto"/>
              <w:jc w:val="center"/>
              <w:rPr>
                <w:rFonts w:ascii="Calibri" w:eastAsia="Times New Roman" w:hAnsi="Calibri" w:cs="Times New Roman"/>
                <w:i/>
                <w:iCs/>
                <w:color w:val="000000"/>
                <w:lang w:val="de-DE" w:eastAsia="de-DE"/>
              </w:rPr>
            </w:pPr>
            <w:r w:rsidRPr="000E2F33">
              <w:rPr>
                <w:rFonts w:ascii="Calibri" w:eastAsia="Times New Roman" w:hAnsi="Calibri" w:cs="Times New Roman"/>
                <w:i/>
                <w:iCs/>
                <w:color w:val="000000"/>
                <w:lang w:val="de-DE" w:eastAsia="de-DE"/>
              </w:rPr>
              <w:t>Bc</w:t>
            </w:r>
          </w:p>
        </w:tc>
      </w:tr>
      <w:tr w:rsidR="000E2F33" w:rsidRPr="000E2F33" w:rsidTr="00B626F7">
        <w:trPr>
          <w:trHeight w:val="300"/>
          <w:jc w:val="center"/>
        </w:trPr>
        <w:tc>
          <w:tcPr>
            <w:tcW w:w="2800" w:type="dxa"/>
            <w:tcBorders>
              <w:top w:val="nil"/>
              <w:left w:val="single" w:sz="4" w:space="0" w:color="auto"/>
              <w:bottom w:val="nil"/>
              <w:right w:val="single" w:sz="4" w:space="0" w:color="auto"/>
            </w:tcBorders>
            <w:shd w:val="clear" w:color="auto" w:fill="auto"/>
            <w:noWrap/>
            <w:vAlign w:val="bottom"/>
            <w:hideMark/>
          </w:tcPr>
          <w:p w:rsidR="000E2F33" w:rsidRPr="000E2F33" w:rsidRDefault="000E2F33" w:rsidP="000E2F33">
            <w:pPr>
              <w:spacing w:after="0" w:line="240" w:lineRule="auto"/>
              <w:rPr>
                <w:rFonts w:ascii="Calibri" w:eastAsia="Times New Roman" w:hAnsi="Calibri" w:cs="Times New Roman"/>
                <w:color w:val="000000"/>
                <w:lang w:val="de-DE" w:eastAsia="de-DE"/>
              </w:rPr>
            </w:pPr>
            <w:r w:rsidRPr="000E2F33">
              <w:rPr>
                <w:rFonts w:ascii="Calibri" w:eastAsia="Times New Roman" w:hAnsi="Calibri" w:cs="Times New Roman"/>
                <w:color w:val="000000"/>
                <w:lang w:val="de-DE" w:eastAsia="de-DE"/>
              </w:rPr>
              <w:t>Unknown 5</w:t>
            </w:r>
          </w:p>
        </w:tc>
        <w:tc>
          <w:tcPr>
            <w:tcW w:w="3720" w:type="dxa"/>
            <w:tcBorders>
              <w:top w:val="nil"/>
              <w:left w:val="nil"/>
              <w:bottom w:val="nil"/>
              <w:right w:val="single" w:sz="4" w:space="0" w:color="auto"/>
            </w:tcBorders>
            <w:shd w:val="clear" w:color="auto" w:fill="auto"/>
            <w:noWrap/>
            <w:vAlign w:val="center"/>
            <w:hideMark/>
          </w:tcPr>
          <w:p w:rsidR="000E2F33" w:rsidRPr="000E2F33" w:rsidRDefault="000E2F33" w:rsidP="000E2F33">
            <w:pPr>
              <w:spacing w:after="0" w:line="240" w:lineRule="auto"/>
              <w:rPr>
                <w:rFonts w:ascii="Calibri" w:eastAsia="Times New Roman" w:hAnsi="Calibri" w:cs="Times New Roman"/>
                <w:color w:val="000000"/>
                <w:lang w:val="de-DE" w:eastAsia="de-DE"/>
              </w:rPr>
            </w:pPr>
            <w:r w:rsidRPr="000E2F33">
              <w:rPr>
                <w:rFonts w:ascii="Calibri" w:eastAsia="Times New Roman" w:hAnsi="Calibri" w:cs="Times New Roman"/>
                <w:b/>
                <w:bCs/>
                <w:color w:val="000000"/>
                <w:lang w:val="de-DE" w:eastAsia="de-DE"/>
              </w:rPr>
              <w:t>55,81,263</w:t>
            </w:r>
            <w:r w:rsidRPr="000E2F33">
              <w:rPr>
                <w:rFonts w:ascii="Calibri" w:eastAsia="Times New Roman" w:hAnsi="Calibri" w:cs="Times New Roman"/>
                <w:color w:val="000000"/>
                <w:lang w:val="de-DE" w:eastAsia="de-DE"/>
              </w:rPr>
              <w:t>,322</w:t>
            </w:r>
          </w:p>
        </w:tc>
        <w:tc>
          <w:tcPr>
            <w:tcW w:w="860" w:type="dxa"/>
            <w:tcBorders>
              <w:top w:val="nil"/>
              <w:left w:val="nil"/>
              <w:bottom w:val="nil"/>
              <w:right w:val="single" w:sz="4" w:space="0" w:color="auto"/>
            </w:tcBorders>
            <w:shd w:val="clear" w:color="auto" w:fill="auto"/>
            <w:noWrap/>
            <w:vAlign w:val="bottom"/>
            <w:hideMark/>
          </w:tcPr>
          <w:p w:rsidR="000E2F33" w:rsidRPr="000E2F33" w:rsidRDefault="000E2F33" w:rsidP="000E2F33">
            <w:pPr>
              <w:spacing w:after="0" w:line="240" w:lineRule="auto"/>
              <w:jc w:val="center"/>
              <w:rPr>
                <w:rFonts w:ascii="Calibri" w:eastAsia="Times New Roman" w:hAnsi="Calibri" w:cs="Times New Roman"/>
                <w:color w:val="000000"/>
                <w:lang w:val="de-DE" w:eastAsia="de-DE"/>
              </w:rPr>
            </w:pPr>
            <w:r w:rsidRPr="000E2F33">
              <w:rPr>
                <w:rFonts w:ascii="Calibri" w:eastAsia="Times New Roman" w:hAnsi="Calibri" w:cs="Times New Roman"/>
                <w:color w:val="000000"/>
                <w:lang w:val="de-DE" w:eastAsia="de-DE"/>
              </w:rPr>
              <w:t>263</w:t>
            </w:r>
          </w:p>
        </w:tc>
        <w:tc>
          <w:tcPr>
            <w:tcW w:w="2160" w:type="dxa"/>
            <w:tcBorders>
              <w:top w:val="nil"/>
              <w:left w:val="nil"/>
              <w:bottom w:val="nil"/>
              <w:right w:val="single" w:sz="4" w:space="0" w:color="auto"/>
            </w:tcBorders>
            <w:shd w:val="clear" w:color="auto" w:fill="auto"/>
            <w:noWrap/>
            <w:vAlign w:val="bottom"/>
            <w:hideMark/>
          </w:tcPr>
          <w:p w:rsidR="000E2F33" w:rsidRPr="000E2F33" w:rsidRDefault="000E2F33" w:rsidP="000E2F33">
            <w:pPr>
              <w:spacing w:after="0" w:line="240" w:lineRule="auto"/>
              <w:jc w:val="center"/>
              <w:rPr>
                <w:rFonts w:ascii="Calibri" w:eastAsia="Times New Roman" w:hAnsi="Calibri" w:cs="Times New Roman"/>
                <w:color w:val="000000"/>
                <w:lang w:val="de-DE" w:eastAsia="de-DE"/>
              </w:rPr>
            </w:pPr>
            <w:r w:rsidRPr="000E2F33">
              <w:rPr>
                <w:rFonts w:ascii="Calibri" w:eastAsia="Times New Roman" w:hAnsi="Calibri" w:cs="Times New Roman"/>
                <w:color w:val="000000"/>
                <w:lang w:val="de-DE" w:eastAsia="de-DE"/>
              </w:rPr>
              <w:t>26.15</w:t>
            </w:r>
          </w:p>
        </w:tc>
        <w:tc>
          <w:tcPr>
            <w:tcW w:w="1440" w:type="dxa"/>
            <w:tcBorders>
              <w:top w:val="nil"/>
              <w:left w:val="nil"/>
              <w:bottom w:val="nil"/>
              <w:right w:val="single" w:sz="4" w:space="0" w:color="auto"/>
            </w:tcBorders>
            <w:shd w:val="clear" w:color="auto" w:fill="auto"/>
            <w:noWrap/>
            <w:vAlign w:val="bottom"/>
            <w:hideMark/>
          </w:tcPr>
          <w:p w:rsidR="000E2F33" w:rsidRPr="000E2F33" w:rsidRDefault="000E2F33" w:rsidP="000E2F33">
            <w:pPr>
              <w:spacing w:after="0" w:line="240" w:lineRule="auto"/>
              <w:jc w:val="center"/>
              <w:rPr>
                <w:rFonts w:ascii="Calibri" w:eastAsia="Times New Roman" w:hAnsi="Calibri" w:cs="Times New Roman"/>
                <w:i/>
                <w:iCs/>
                <w:color w:val="000000"/>
                <w:lang w:val="de-DE" w:eastAsia="de-DE"/>
              </w:rPr>
            </w:pPr>
            <w:r w:rsidRPr="000E2F33">
              <w:rPr>
                <w:rFonts w:ascii="Calibri" w:eastAsia="Times New Roman" w:hAnsi="Calibri" w:cs="Times New Roman"/>
                <w:i/>
                <w:iCs/>
                <w:color w:val="000000"/>
                <w:lang w:val="de-DE" w:eastAsia="de-DE"/>
              </w:rPr>
              <w:t>Bc</w:t>
            </w:r>
          </w:p>
        </w:tc>
      </w:tr>
      <w:tr w:rsidR="000E2F33" w:rsidRPr="000E2F33" w:rsidTr="00B626F7">
        <w:trPr>
          <w:trHeight w:val="300"/>
          <w:jc w:val="center"/>
        </w:trPr>
        <w:tc>
          <w:tcPr>
            <w:tcW w:w="2800" w:type="dxa"/>
            <w:tcBorders>
              <w:top w:val="nil"/>
              <w:left w:val="single" w:sz="4" w:space="0" w:color="auto"/>
              <w:bottom w:val="nil"/>
              <w:right w:val="single" w:sz="4" w:space="0" w:color="auto"/>
            </w:tcBorders>
            <w:shd w:val="clear" w:color="000000" w:fill="D9D9D9"/>
            <w:noWrap/>
            <w:vAlign w:val="bottom"/>
            <w:hideMark/>
          </w:tcPr>
          <w:p w:rsidR="000E2F33" w:rsidRPr="000E2F33" w:rsidRDefault="000E2F33" w:rsidP="000E2F33">
            <w:pPr>
              <w:spacing w:after="0" w:line="240" w:lineRule="auto"/>
              <w:rPr>
                <w:rFonts w:ascii="Calibri" w:eastAsia="Times New Roman" w:hAnsi="Calibri" w:cs="Times New Roman"/>
                <w:color w:val="000000"/>
                <w:lang w:val="de-DE" w:eastAsia="de-DE"/>
              </w:rPr>
            </w:pPr>
            <w:r w:rsidRPr="000E2F33">
              <w:rPr>
                <w:rFonts w:ascii="Calibri" w:eastAsia="Times New Roman" w:hAnsi="Calibri" w:cs="Times New Roman"/>
                <w:color w:val="000000"/>
                <w:lang w:val="de-DE" w:eastAsia="de-DE"/>
              </w:rPr>
              <w:t>Unknown 6</w:t>
            </w:r>
          </w:p>
        </w:tc>
        <w:tc>
          <w:tcPr>
            <w:tcW w:w="3720" w:type="dxa"/>
            <w:tcBorders>
              <w:top w:val="nil"/>
              <w:left w:val="nil"/>
              <w:bottom w:val="nil"/>
              <w:right w:val="single" w:sz="4" w:space="0" w:color="auto"/>
            </w:tcBorders>
            <w:shd w:val="clear" w:color="000000" w:fill="D9D9D9"/>
            <w:noWrap/>
            <w:vAlign w:val="center"/>
            <w:hideMark/>
          </w:tcPr>
          <w:p w:rsidR="000E2F33" w:rsidRPr="000E2F33" w:rsidRDefault="000E2F33" w:rsidP="000E2F33">
            <w:pPr>
              <w:spacing w:after="0" w:line="240" w:lineRule="auto"/>
              <w:rPr>
                <w:rFonts w:ascii="Calibri" w:eastAsia="Times New Roman" w:hAnsi="Calibri" w:cs="Times New Roman"/>
                <w:color w:val="000000"/>
                <w:lang w:val="de-DE" w:eastAsia="de-DE"/>
              </w:rPr>
            </w:pPr>
            <w:r w:rsidRPr="000E2F33">
              <w:rPr>
                <w:rFonts w:ascii="Calibri" w:eastAsia="Times New Roman" w:hAnsi="Calibri" w:cs="Times New Roman"/>
                <w:color w:val="000000"/>
                <w:lang w:val="de-DE" w:eastAsia="de-DE"/>
              </w:rPr>
              <w:t>264</w:t>
            </w:r>
            <w:r w:rsidRPr="000E2F33">
              <w:rPr>
                <w:rFonts w:ascii="Calibri" w:eastAsia="Times New Roman" w:hAnsi="Calibri" w:cs="Times New Roman"/>
                <w:b/>
                <w:bCs/>
                <w:color w:val="000000"/>
                <w:lang w:val="de-DE" w:eastAsia="de-DE"/>
              </w:rPr>
              <w:t>,265</w:t>
            </w:r>
            <w:r w:rsidRPr="000E2F33">
              <w:rPr>
                <w:rFonts w:ascii="Calibri" w:eastAsia="Times New Roman" w:hAnsi="Calibri" w:cs="Times New Roman"/>
                <w:color w:val="000000"/>
                <w:lang w:val="de-DE" w:eastAsia="de-DE"/>
              </w:rPr>
              <w:t>,281</w:t>
            </w:r>
          </w:p>
        </w:tc>
        <w:tc>
          <w:tcPr>
            <w:tcW w:w="860" w:type="dxa"/>
            <w:tcBorders>
              <w:top w:val="nil"/>
              <w:left w:val="nil"/>
              <w:bottom w:val="nil"/>
              <w:right w:val="single" w:sz="4" w:space="0" w:color="auto"/>
            </w:tcBorders>
            <w:shd w:val="clear" w:color="000000" w:fill="D9D9D9"/>
            <w:noWrap/>
            <w:vAlign w:val="bottom"/>
            <w:hideMark/>
          </w:tcPr>
          <w:p w:rsidR="000E2F33" w:rsidRPr="000E2F33" w:rsidRDefault="000E2F33" w:rsidP="000E2F33">
            <w:pPr>
              <w:spacing w:after="0" w:line="240" w:lineRule="auto"/>
              <w:jc w:val="center"/>
              <w:rPr>
                <w:rFonts w:ascii="Calibri" w:eastAsia="Times New Roman" w:hAnsi="Calibri" w:cs="Times New Roman"/>
                <w:color w:val="000000"/>
                <w:lang w:val="de-DE" w:eastAsia="de-DE"/>
              </w:rPr>
            </w:pPr>
            <w:r w:rsidRPr="000E2F33">
              <w:rPr>
                <w:rFonts w:ascii="Calibri" w:eastAsia="Times New Roman" w:hAnsi="Calibri" w:cs="Times New Roman"/>
                <w:color w:val="000000"/>
                <w:lang w:val="de-DE" w:eastAsia="de-DE"/>
              </w:rPr>
              <w:t>265</w:t>
            </w:r>
          </w:p>
        </w:tc>
        <w:tc>
          <w:tcPr>
            <w:tcW w:w="2160" w:type="dxa"/>
            <w:tcBorders>
              <w:top w:val="nil"/>
              <w:left w:val="nil"/>
              <w:bottom w:val="nil"/>
              <w:right w:val="single" w:sz="4" w:space="0" w:color="auto"/>
            </w:tcBorders>
            <w:shd w:val="clear" w:color="000000" w:fill="D9D9D9"/>
            <w:noWrap/>
            <w:vAlign w:val="bottom"/>
            <w:hideMark/>
          </w:tcPr>
          <w:p w:rsidR="000E2F33" w:rsidRPr="000E2F33" w:rsidRDefault="000E2F33" w:rsidP="000E2F33">
            <w:pPr>
              <w:spacing w:after="0" w:line="240" w:lineRule="auto"/>
              <w:jc w:val="center"/>
              <w:rPr>
                <w:rFonts w:ascii="Calibri" w:eastAsia="Times New Roman" w:hAnsi="Calibri" w:cs="Times New Roman"/>
                <w:color w:val="000000"/>
                <w:lang w:val="de-DE" w:eastAsia="de-DE"/>
              </w:rPr>
            </w:pPr>
            <w:r w:rsidRPr="000E2F33">
              <w:rPr>
                <w:rFonts w:ascii="Calibri" w:eastAsia="Times New Roman" w:hAnsi="Calibri" w:cs="Times New Roman"/>
                <w:color w:val="000000"/>
                <w:lang w:val="de-DE" w:eastAsia="de-DE"/>
              </w:rPr>
              <w:t>26.22</w:t>
            </w:r>
          </w:p>
        </w:tc>
        <w:tc>
          <w:tcPr>
            <w:tcW w:w="1440" w:type="dxa"/>
            <w:tcBorders>
              <w:top w:val="nil"/>
              <w:left w:val="nil"/>
              <w:bottom w:val="nil"/>
              <w:right w:val="single" w:sz="4" w:space="0" w:color="auto"/>
            </w:tcBorders>
            <w:shd w:val="clear" w:color="000000" w:fill="D9D9D9"/>
            <w:noWrap/>
            <w:vAlign w:val="bottom"/>
            <w:hideMark/>
          </w:tcPr>
          <w:p w:rsidR="000E2F33" w:rsidRPr="000E2F33" w:rsidRDefault="000E2F33" w:rsidP="000E2F33">
            <w:pPr>
              <w:spacing w:after="0" w:line="240" w:lineRule="auto"/>
              <w:jc w:val="center"/>
              <w:rPr>
                <w:rFonts w:ascii="Calibri" w:eastAsia="Times New Roman" w:hAnsi="Calibri" w:cs="Times New Roman"/>
                <w:i/>
                <w:iCs/>
                <w:color w:val="000000"/>
                <w:lang w:val="de-DE" w:eastAsia="de-DE"/>
              </w:rPr>
            </w:pPr>
            <w:r w:rsidRPr="000E2F33">
              <w:rPr>
                <w:rFonts w:ascii="Calibri" w:eastAsia="Times New Roman" w:hAnsi="Calibri" w:cs="Times New Roman"/>
                <w:i/>
                <w:iCs/>
                <w:color w:val="000000"/>
                <w:lang w:val="de-DE" w:eastAsia="de-DE"/>
              </w:rPr>
              <w:t>Bc</w:t>
            </w:r>
          </w:p>
        </w:tc>
      </w:tr>
      <w:tr w:rsidR="000E2F33" w:rsidRPr="000E2F33" w:rsidTr="00B626F7">
        <w:trPr>
          <w:trHeight w:val="300"/>
          <w:jc w:val="center"/>
        </w:trPr>
        <w:tc>
          <w:tcPr>
            <w:tcW w:w="2800" w:type="dxa"/>
            <w:tcBorders>
              <w:top w:val="nil"/>
              <w:left w:val="single" w:sz="4" w:space="0" w:color="auto"/>
              <w:bottom w:val="nil"/>
              <w:right w:val="single" w:sz="4" w:space="0" w:color="auto"/>
            </w:tcBorders>
            <w:shd w:val="clear" w:color="auto" w:fill="auto"/>
            <w:noWrap/>
            <w:vAlign w:val="bottom"/>
            <w:hideMark/>
          </w:tcPr>
          <w:p w:rsidR="000E2F33" w:rsidRPr="000E2F33" w:rsidRDefault="000E2F33" w:rsidP="000E2F33">
            <w:pPr>
              <w:spacing w:after="0" w:line="240" w:lineRule="auto"/>
              <w:rPr>
                <w:rFonts w:ascii="Calibri" w:eastAsia="Times New Roman" w:hAnsi="Calibri" w:cs="Times New Roman"/>
                <w:color w:val="000000"/>
                <w:lang w:val="de-DE" w:eastAsia="de-DE"/>
              </w:rPr>
            </w:pPr>
            <w:r w:rsidRPr="000E2F33">
              <w:rPr>
                <w:rFonts w:ascii="Calibri" w:eastAsia="Times New Roman" w:hAnsi="Calibri" w:cs="Times New Roman"/>
                <w:color w:val="000000"/>
                <w:lang w:val="de-DE" w:eastAsia="de-DE"/>
              </w:rPr>
              <w:t>Unknown 8</w:t>
            </w:r>
          </w:p>
        </w:tc>
        <w:tc>
          <w:tcPr>
            <w:tcW w:w="3720" w:type="dxa"/>
            <w:tcBorders>
              <w:top w:val="nil"/>
              <w:left w:val="nil"/>
              <w:bottom w:val="nil"/>
              <w:right w:val="single" w:sz="4" w:space="0" w:color="auto"/>
            </w:tcBorders>
            <w:shd w:val="clear" w:color="auto" w:fill="auto"/>
            <w:noWrap/>
            <w:vAlign w:val="center"/>
            <w:hideMark/>
          </w:tcPr>
          <w:p w:rsidR="000E2F33" w:rsidRPr="000E2F33" w:rsidRDefault="000E2F33" w:rsidP="000E2F33">
            <w:pPr>
              <w:spacing w:after="0" w:line="240" w:lineRule="auto"/>
              <w:rPr>
                <w:rFonts w:ascii="Calibri" w:eastAsia="Times New Roman" w:hAnsi="Calibri" w:cs="Times New Roman"/>
                <w:color w:val="000000"/>
                <w:lang w:val="de-DE" w:eastAsia="de-DE"/>
              </w:rPr>
            </w:pPr>
            <w:r w:rsidRPr="000E2F33">
              <w:rPr>
                <w:rFonts w:ascii="Calibri" w:eastAsia="Times New Roman" w:hAnsi="Calibri" w:cs="Times New Roman"/>
                <w:b/>
                <w:bCs/>
                <w:color w:val="000000"/>
                <w:lang w:val="de-DE" w:eastAsia="de-DE"/>
              </w:rPr>
              <w:t>59</w:t>
            </w:r>
            <w:r w:rsidRPr="000E2F33">
              <w:rPr>
                <w:rFonts w:ascii="Calibri" w:eastAsia="Times New Roman" w:hAnsi="Calibri" w:cs="Times New Roman"/>
                <w:color w:val="000000"/>
                <w:lang w:val="de-DE" w:eastAsia="de-DE"/>
              </w:rPr>
              <w:t xml:space="preserve">, 68, 83, 95, </w:t>
            </w:r>
            <w:r w:rsidRPr="000E2F33">
              <w:rPr>
                <w:rFonts w:ascii="Calibri" w:eastAsia="Times New Roman" w:hAnsi="Calibri" w:cs="Times New Roman"/>
                <w:b/>
                <w:bCs/>
                <w:color w:val="000000"/>
                <w:lang w:val="de-DE" w:eastAsia="de-DE"/>
              </w:rPr>
              <w:t>127</w:t>
            </w:r>
            <w:r w:rsidRPr="000E2F33">
              <w:rPr>
                <w:rFonts w:ascii="Calibri" w:eastAsia="Times New Roman" w:hAnsi="Calibri" w:cs="Times New Roman"/>
                <w:color w:val="000000"/>
                <w:lang w:val="de-DE" w:eastAsia="de-DE"/>
              </w:rPr>
              <w:t xml:space="preserve">, </w:t>
            </w:r>
            <w:r w:rsidRPr="000E2F33">
              <w:rPr>
                <w:rFonts w:ascii="Calibri" w:eastAsia="Times New Roman" w:hAnsi="Calibri" w:cs="Times New Roman"/>
                <w:b/>
                <w:bCs/>
                <w:color w:val="000000"/>
                <w:lang w:val="de-DE" w:eastAsia="de-DE"/>
              </w:rPr>
              <w:t>151</w:t>
            </w:r>
            <w:r w:rsidRPr="000E2F33">
              <w:rPr>
                <w:rFonts w:ascii="Calibri" w:eastAsia="Times New Roman" w:hAnsi="Calibri" w:cs="Times New Roman"/>
                <w:color w:val="000000"/>
                <w:lang w:val="de-DE" w:eastAsia="de-DE"/>
              </w:rPr>
              <w:t>, 154, 168</w:t>
            </w:r>
          </w:p>
        </w:tc>
        <w:tc>
          <w:tcPr>
            <w:tcW w:w="860" w:type="dxa"/>
            <w:tcBorders>
              <w:top w:val="nil"/>
              <w:left w:val="nil"/>
              <w:bottom w:val="nil"/>
              <w:right w:val="single" w:sz="4" w:space="0" w:color="auto"/>
            </w:tcBorders>
            <w:shd w:val="clear" w:color="auto" w:fill="auto"/>
            <w:noWrap/>
            <w:vAlign w:val="bottom"/>
            <w:hideMark/>
          </w:tcPr>
          <w:p w:rsidR="000E2F33" w:rsidRPr="000E2F33" w:rsidRDefault="000E2F33" w:rsidP="000E2F33">
            <w:pPr>
              <w:spacing w:after="0" w:line="240" w:lineRule="auto"/>
              <w:jc w:val="center"/>
              <w:rPr>
                <w:rFonts w:ascii="Calibri" w:eastAsia="Times New Roman" w:hAnsi="Calibri" w:cs="Times New Roman"/>
                <w:color w:val="000000"/>
                <w:lang w:val="de-DE" w:eastAsia="de-DE"/>
              </w:rPr>
            </w:pPr>
            <w:r w:rsidRPr="000E2F33">
              <w:rPr>
                <w:rFonts w:ascii="Calibri" w:eastAsia="Times New Roman" w:hAnsi="Calibri" w:cs="Times New Roman"/>
                <w:color w:val="000000"/>
                <w:lang w:val="de-DE" w:eastAsia="de-DE"/>
              </w:rPr>
              <w:t>151</w:t>
            </w:r>
          </w:p>
        </w:tc>
        <w:tc>
          <w:tcPr>
            <w:tcW w:w="2160" w:type="dxa"/>
            <w:tcBorders>
              <w:top w:val="nil"/>
              <w:left w:val="nil"/>
              <w:bottom w:val="nil"/>
              <w:right w:val="single" w:sz="4" w:space="0" w:color="auto"/>
            </w:tcBorders>
            <w:shd w:val="clear" w:color="auto" w:fill="auto"/>
            <w:noWrap/>
            <w:vAlign w:val="bottom"/>
            <w:hideMark/>
          </w:tcPr>
          <w:p w:rsidR="000E2F33" w:rsidRPr="000E2F33" w:rsidRDefault="000E2F33" w:rsidP="000E2F33">
            <w:pPr>
              <w:spacing w:after="0" w:line="240" w:lineRule="auto"/>
              <w:jc w:val="center"/>
              <w:rPr>
                <w:rFonts w:ascii="Calibri" w:eastAsia="Times New Roman" w:hAnsi="Calibri" w:cs="Times New Roman"/>
                <w:color w:val="000000"/>
                <w:lang w:val="de-DE" w:eastAsia="de-DE"/>
              </w:rPr>
            </w:pPr>
            <w:r w:rsidRPr="000E2F33">
              <w:rPr>
                <w:rFonts w:ascii="Calibri" w:eastAsia="Times New Roman" w:hAnsi="Calibri" w:cs="Times New Roman"/>
                <w:color w:val="000000"/>
                <w:lang w:val="de-DE" w:eastAsia="de-DE"/>
              </w:rPr>
              <w:t>14.96</w:t>
            </w:r>
          </w:p>
        </w:tc>
        <w:tc>
          <w:tcPr>
            <w:tcW w:w="1440" w:type="dxa"/>
            <w:tcBorders>
              <w:top w:val="nil"/>
              <w:left w:val="nil"/>
              <w:bottom w:val="nil"/>
              <w:right w:val="single" w:sz="4" w:space="0" w:color="auto"/>
            </w:tcBorders>
            <w:shd w:val="clear" w:color="auto" w:fill="auto"/>
            <w:noWrap/>
            <w:vAlign w:val="bottom"/>
            <w:hideMark/>
          </w:tcPr>
          <w:p w:rsidR="000E2F33" w:rsidRPr="000E2F33" w:rsidRDefault="000E2F33" w:rsidP="000E2F33">
            <w:pPr>
              <w:spacing w:after="0" w:line="240" w:lineRule="auto"/>
              <w:jc w:val="center"/>
              <w:rPr>
                <w:rFonts w:ascii="Calibri" w:eastAsia="Times New Roman" w:hAnsi="Calibri" w:cs="Times New Roman"/>
                <w:i/>
                <w:iCs/>
                <w:color w:val="000000"/>
                <w:lang w:val="de-DE" w:eastAsia="de-DE"/>
              </w:rPr>
            </w:pPr>
            <w:r w:rsidRPr="000E2F33">
              <w:rPr>
                <w:rFonts w:ascii="Calibri" w:eastAsia="Times New Roman" w:hAnsi="Calibri" w:cs="Times New Roman"/>
                <w:i/>
                <w:iCs/>
                <w:color w:val="000000"/>
                <w:lang w:val="de-DE" w:eastAsia="de-DE"/>
              </w:rPr>
              <w:t>Bc</w:t>
            </w:r>
          </w:p>
        </w:tc>
      </w:tr>
      <w:tr w:rsidR="000E2F33" w:rsidRPr="000E2F33" w:rsidTr="00B626F7">
        <w:trPr>
          <w:trHeight w:val="300"/>
          <w:jc w:val="center"/>
        </w:trPr>
        <w:tc>
          <w:tcPr>
            <w:tcW w:w="2800" w:type="dxa"/>
            <w:tcBorders>
              <w:top w:val="nil"/>
              <w:left w:val="single" w:sz="4" w:space="0" w:color="auto"/>
              <w:bottom w:val="nil"/>
              <w:right w:val="single" w:sz="4" w:space="0" w:color="auto"/>
            </w:tcBorders>
            <w:shd w:val="clear" w:color="000000" w:fill="D9D9D9"/>
            <w:noWrap/>
            <w:vAlign w:val="bottom"/>
            <w:hideMark/>
          </w:tcPr>
          <w:p w:rsidR="000E2F33" w:rsidRPr="000E2F33" w:rsidRDefault="000E2F33" w:rsidP="000E2F33">
            <w:pPr>
              <w:spacing w:after="0" w:line="240" w:lineRule="auto"/>
              <w:rPr>
                <w:rFonts w:ascii="Calibri" w:eastAsia="Times New Roman" w:hAnsi="Calibri" w:cs="Times New Roman"/>
                <w:b/>
                <w:bCs/>
                <w:color w:val="000000"/>
                <w:lang w:val="de-DE" w:eastAsia="de-DE"/>
              </w:rPr>
            </w:pPr>
            <w:r w:rsidRPr="000E2F33">
              <w:rPr>
                <w:rFonts w:ascii="Calibri" w:eastAsia="Times New Roman" w:hAnsi="Calibri" w:cs="Times New Roman"/>
                <w:b/>
                <w:bCs/>
                <w:color w:val="000000"/>
                <w:lang w:val="de-DE" w:eastAsia="de-DE"/>
              </w:rPr>
              <w:t>Unknown 9</w:t>
            </w:r>
          </w:p>
        </w:tc>
        <w:tc>
          <w:tcPr>
            <w:tcW w:w="3720" w:type="dxa"/>
            <w:tcBorders>
              <w:top w:val="nil"/>
              <w:left w:val="nil"/>
              <w:bottom w:val="nil"/>
              <w:right w:val="single" w:sz="4" w:space="0" w:color="auto"/>
            </w:tcBorders>
            <w:shd w:val="clear" w:color="000000" w:fill="D9D9D9"/>
            <w:noWrap/>
            <w:vAlign w:val="center"/>
            <w:hideMark/>
          </w:tcPr>
          <w:p w:rsidR="000E2F33" w:rsidRPr="000E2F33" w:rsidRDefault="000E2F33" w:rsidP="000E2F33">
            <w:pPr>
              <w:spacing w:after="0" w:line="240" w:lineRule="auto"/>
              <w:rPr>
                <w:rFonts w:ascii="Calibri" w:eastAsia="Times New Roman" w:hAnsi="Calibri" w:cs="Times New Roman"/>
                <w:b/>
                <w:bCs/>
                <w:color w:val="000000"/>
                <w:lang w:val="de-DE" w:eastAsia="de-DE"/>
              </w:rPr>
            </w:pPr>
            <w:r w:rsidRPr="000E2F33">
              <w:rPr>
                <w:rFonts w:ascii="Calibri" w:eastAsia="Times New Roman" w:hAnsi="Calibri" w:cs="Times New Roman"/>
                <w:b/>
                <w:bCs/>
                <w:color w:val="000000"/>
                <w:lang w:val="de-DE" w:eastAsia="de-DE"/>
              </w:rPr>
              <w:t>91, 230</w:t>
            </w:r>
          </w:p>
        </w:tc>
        <w:tc>
          <w:tcPr>
            <w:tcW w:w="860" w:type="dxa"/>
            <w:tcBorders>
              <w:top w:val="nil"/>
              <w:left w:val="nil"/>
              <w:bottom w:val="nil"/>
              <w:right w:val="single" w:sz="4" w:space="0" w:color="auto"/>
            </w:tcBorders>
            <w:shd w:val="clear" w:color="000000" w:fill="D9D9D9"/>
            <w:noWrap/>
            <w:vAlign w:val="bottom"/>
            <w:hideMark/>
          </w:tcPr>
          <w:p w:rsidR="000E2F33" w:rsidRPr="000E2F33" w:rsidRDefault="000E2F33" w:rsidP="000E2F33">
            <w:pPr>
              <w:spacing w:after="0" w:line="240" w:lineRule="auto"/>
              <w:jc w:val="center"/>
              <w:rPr>
                <w:rFonts w:ascii="Calibri" w:eastAsia="Times New Roman" w:hAnsi="Calibri" w:cs="Times New Roman"/>
                <w:color w:val="000000"/>
                <w:lang w:val="de-DE" w:eastAsia="de-DE"/>
              </w:rPr>
            </w:pPr>
            <w:r w:rsidRPr="000E2F33">
              <w:rPr>
                <w:rFonts w:ascii="Calibri" w:eastAsia="Times New Roman" w:hAnsi="Calibri" w:cs="Times New Roman"/>
                <w:color w:val="000000"/>
                <w:lang w:val="de-DE" w:eastAsia="de-DE"/>
              </w:rPr>
              <w:t>230</w:t>
            </w:r>
          </w:p>
        </w:tc>
        <w:tc>
          <w:tcPr>
            <w:tcW w:w="2160" w:type="dxa"/>
            <w:tcBorders>
              <w:top w:val="nil"/>
              <w:left w:val="nil"/>
              <w:bottom w:val="nil"/>
              <w:right w:val="single" w:sz="4" w:space="0" w:color="auto"/>
            </w:tcBorders>
            <w:shd w:val="clear" w:color="000000" w:fill="D9D9D9"/>
            <w:noWrap/>
            <w:vAlign w:val="bottom"/>
            <w:hideMark/>
          </w:tcPr>
          <w:p w:rsidR="000E2F33" w:rsidRPr="000E2F33" w:rsidRDefault="000E2F33" w:rsidP="000E2F33">
            <w:pPr>
              <w:spacing w:after="0" w:line="240" w:lineRule="auto"/>
              <w:jc w:val="center"/>
              <w:rPr>
                <w:rFonts w:ascii="Calibri" w:eastAsia="Times New Roman" w:hAnsi="Calibri" w:cs="Times New Roman"/>
                <w:color w:val="000000"/>
                <w:lang w:val="de-DE" w:eastAsia="de-DE"/>
              </w:rPr>
            </w:pPr>
            <w:r w:rsidRPr="000E2F33">
              <w:rPr>
                <w:rFonts w:ascii="Calibri" w:eastAsia="Times New Roman" w:hAnsi="Calibri" w:cs="Times New Roman"/>
                <w:color w:val="000000"/>
                <w:lang w:val="de-DE" w:eastAsia="de-DE"/>
              </w:rPr>
              <w:t>22.48</w:t>
            </w:r>
          </w:p>
        </w:tc>
        <w:tc>
          <w:tcPr>
            <w:tcW w:w="1440" w:type="dxa"/>
            <w:tcBorders>
              <w:top w:val="nil"/>
              <w:left w:val="nil"/>
              <w:bottom w:val="nil"/>
              <w:right w:val="single" w:sz="4" w:space="0" w:color="auto"/>
            </w:tcBorders>
            <w:shd w:val="clear" w:color="000000" w:fill="D9D9D9"/>
            <w:noWrap/>
            <w:vAlign w:val="bottom"/>
            <w:hideMark/>
          </w:tcPr>
          <w:p w:rsidR="000E2F33" w:rsidRPr="000E2F33" w:rsidRDefault="000E2F33" w:rsidP="000E2F33">
            <w:pPr>
              <w:spacing w:after="0" w:line="240" w:lineRule="auto"/>
              <w:jc w:val="center"/>
              <w:rPr>
                <w:rFonts w:ascii="Calibri" w:eastAsia="Times New Roman" w:hAnsi="Calibri" w:cs="Times New Roman"/>
                <w:i/>
                <w:iCs/>
                <w:color w:val="000000"/>
                <w:lang w:val="de-DE" w:eastAsia="de-DE"/>
              </w:rPr>
            </w:pPr>
            <w:r w:rsidRPr="000E2F33">
              <w:rPr>
                <w:rFonts w:ascii="Calibri" w:eastAsia="Times New Roman" w:hAnsi="Calibri" w:cs="Times New Roman"/>
                <w:i/>
                <w:iCs/>
                <w:color w:val="000000"/>
                <w:lang w:val="de-DE" w:eastAsia="de-DE"/>
              </w:rPr>
              <w:t>Bc</w:t>
            </w:r>
          </w:p>
        </w:tc>
      </w:tr>
      <w:tr w:rsidR="000E2F33" w:rsidRPr="000E2F33" w:rsidTr="00B626F7">
        <w:trPr>
          <w:trHeight w:val="300"/>
          <w:jc w:val="center"/>
        </w:trPr>
        <w:tc>
          <w:tcPr>
            <w:tcW w:w="2800" w:type="dxa"/>
            <w:tcBorders>
              <w:top w:val="nil"/>
              <w:left w:val="single" w:sz="4" w:space="0" w:color="auto"/>
              <w:bottom w:val="nil"/>
              <w:right w:val="single" w:sz="4" w:space="0" w:color="auto"/>
            </w:tcBorders>
            <w:shd w:val="clear" w:color="auto" w:fill="auto"/>
            <w:noWrap/>
            <w:vAlign w:val="bottom"/>
            <w:hideMark/>
          </w:tcPr>
          <w:p w:rsidR="000E2F33" w:rsidRPr="000E2F33" w:rsidRDefault="000E2F33" w:rsidP="000E2F33">
            <w:pPr>
              <w:spacing w:after="0" w:line="240" w:lineRule="auto"/>
              <w:rPr>
                <w:rFonts w:ascii="Calibri" w:eastAsia="Times New Roman" w:hAnsi="Calibri" w:cs="Times New Roman"/>
                <w:color w:val="000000"/>
                <w:lang w:val="de-DE" w:eastAsia="de-DE"/>
              </w:rPr>
            </w:pPr>
            <w:r w:rsidRPr="000E2F33">
              <w:rPr>
                <w:rFonts w:ascii="Calibri" w:eastAsia="Times New Roman" w:hAnsi="Calibri" w:cs="Times New Roman"/>
                <w:color w:val="000000"/>
                <w:lang w:val="de-DE" w:eastAsia="de-DE"/>
              </w:rPr>
              <w:t>Unknown 10</w:t>
            </w:r>
          </w:p>
        </w:tc>
        <w:tc>
          <w:tcPr>
            <w:tcW w:w="3720" w:type="dxa"/>
            <w:tcBorders>
              <w:top w:val="nil"/>
              <w:left w:val="nil"/>
              <w:bottom w:val="nil"/>
              <w:right w:val="single" w:sz="4" w:space="0" w:color="auto"/>
            </w:tcBorders>
            <w:shd w:val="clear" w:color="auto" w:fill="auto"/>
            <w:noWrap/>
            <w:vAlign w:val="center"/>
            <w:hideMark/>
          </w:tcPr>
          <w:p w:rsidR="000E2F33" w:rsidRPr="000E2F33" w:rsidRDefault="000E2F33" w:rsidP="000E2F33">
            <w:pPr>
              <w:spacing w:after="0" w:line="240" w:lineRule="auto"/>
              <w:rPr>
                <w:rFonts w:ascii="Calibri" w:eastAsia="Times New Roman" w:hAnsi="Calibri" w:cs="Times New Roman"/>
                <w:color w:val="000000"/>
                <w:lang w:val="de-DE" w:eastAsia="de-DE"/>
              </w:rPr>
            </w:pPr>
            <w:r w:rsidRPr="000E2F33">
              <w:rPr>
                <w:rFonts w:ascii="Calibri" w:eastAsia="Times New Roman" w:hAnsi="Calibri" w:cs="Times New Roman"/>
                <w:color w:val="000000"/>
                <w:lang w:val="de-DE" w:eastAsia="de-DE"/>
              </w:rPr>
              <w:t xml:space="preserve">91, </w:t>
            </w:r>
            <w:r w:rsidRPr="000E2F33">
              <w:rPr>
                <w:rFonts w:ascii="Calibri" w:eastAsia="Times New Roman" w:hAnsi="Calibri" w:cs="Times New Roman"/>
                <w:b/>
                <w:bCs/>
                <w:color w:val="000000"/>
                <w:lang w:val="de-DE" w:eastAsia="de-DE"/>
              </w:rPr>
              <w:t>105, 119</w:t>
            </w:r>
            <w:r w:rsidRPr="000E2F33">
              <w:rPr>
                <w:rFonts w:ascii="Calibri" w:eastAsia="Times New Roman" w:hAnsi="Calibri" w:cs="Times New Roman"/>
                <w:color w:val="000000"/>
                <w:lang w:val="de-DE" w:eastAsia="de-DE"/>
              </w:rPr>
              <w:t>, 132,</w:t>
            </w:r>
            <w:r w:rsidRPr="000E2F33">
              <w:rPr>
                <w:rFonts w:ascii="Calibri" w:eastAsia="Times New Roman" w:hAnsi="Calibri" w:cs="Times New Roman"/>
                <w:b/>
                <w:bCs/>
                <w:color w:val="000000"/>
                <w:lang w:val="de-DE" w:eastAsia="de-DE"/>
              </w:rPr>
              <w:t xml:space="preserve"> 133</w:t>
            </w:r>
            <w:r w:rsidRPr="000E2F33">
              <w:rPr>
                <w:rFonts w:ascii="Calibri" w:eastAsia="Times New Roman" w:hAnsi="Calibri" w:cs="Times New Roman"/>
                <w:color w:val="000000"/>
                <w:lang w:val="de-DE" w:eastAsia="de-DE"/>
              </w:rPr>
              <w:t>, 161</w:t>
            </w:r>
          </w:p>
        </w:tc>
        <w:tc>
          <w:tcPr>
            <w:tcW w:w="860" w:type="dxa"/>
            <w:tcBorders>
              <w:top w:val="nil"/>
              <w:left w:val="nil"/>
              <w:bottom w:val="nil"/>
              <w:right w:val="single" w:sz="4" w:space="0" w:color="auto"/>
            </w:tcBorders>
            <w:shd w:val="clear" w:color="auto" w:fill="auto"/>
            <w:noWrap/>
            <w:vAlign w:val="bottom"/>
            <w:hideMark/>
          </w:tcPr>
          <w:p w:rsidR="000E2F33" w:rsidRPr="000E2F33" w:rsidRDefault="000E2F33" w:rsidP="000E2F33">
            <w:pPr>
              <w:spacing w:after="0" w:line="240" w:lineRule="auto"/>
              <w:jc w:val="center"/>
              <w:rPr>
                <w:rFonts w:ascii="Calibri" w:eastAsia="Times New Roman" w:hAnsi="Calibri" w:cs="Times New Roman"/>
                <w:color w:val="000000"/>
                <w:lang w:val="de-DE" w:eastAsia="de-DE"/>
              </w:rPr>
            </w:pPr>
            <w:r w:rsidRPr="000E2F33">
              <w:rPr>
                <w:rFonts w:ascii="Calibri" w:eastAsia="Times New Roman" w:hAnsi="Calibri" w:cs="Times New Roman"/>
                <w:color w:val="000000"/>
                <w:lang w:val="de-DE" w:eastAsia="de-DE"/>
              </w:rPr>
              <w:t>105</w:t>
            </w:r>
          </w:p>
        </w:tc>
        <w:tc>
          <w:tcPr>
            <w:tcW w:w="2160" w:type="dxa"/>
            <w:tcBorders>
              <w:top w:val="nil"/>
              <w:left w:val="nil"/>
              <w:bottom w:val="nil"/>
              <w:right w:val="single" w:sz="4" w:space="0" w:color="auto"/>
            </w:tcBorders>
            <w:shd w:val="clear" w:color="auto" w:fill="auto"/>
            <w:noWrap/>
            <w:vAlign w:val="bottom"/>
            <w:hideMark/>
          </w:tcPr>
          <w:p w:rsidR="000E2F33" w:rsidRPr="000E2F33" w:rsidRDefault="000E2F33" w:rsidP="000E2F33">
            <w:pPr>
              <w:spacing w:after="0" w:line="240" w:lineRule="auto"/>
              <w:jc w:val="center"/>
              <w:rPr>
                <w:rFonts w:ascii="Calibri" w:eastAsia="Times New Roman" w:hAnsi="Calibri" w:cs="Times New Roman"/>
                <w:color w:val="000000"/>
                <w:lang w:val="de-DE" w:eastAsia="de-DE"/>
              </w:rPr>
            </w:pPr>
            <w:r w:rsidRPr="000E2F33">
              <w:rPr>
                <w:rFonts w:ascii="Calibri" w:eastAsia="Times New Roman" w:hAnsi="Calibri" w:cs="Times New Roman"/>
                <w:color w:val="000000"/>
                <w:lang w:val="de-DE" w:eastAsia="de-DE"/>
              </w:rPr>
              <w:t>26.56</w:t>
            </w:r>
          </w:p>
        </w:tc>
        <w:tc>
          <w:tcPr>
            <w:tcW w:w="1440" w:type="dxa"/>
            <w:tcBorders>
              <w:top w:val="nil"/>
              <w:left w:val="nil"/>
              <w:bottom w:val="nil"/>
              <w:right w:val="single" w:sz="4" w:space="0" w:color="auto"/>
            </w:tcBorders>
            <w:shd w:val="clear" w:color="auto" w:fill="auto"/>
            <w:noWrap/>
            <w:vAlign w:val="bottom"/>
            <w:hideMark/>
          </w:tcPr>
          <w:p w:rsidR="000E2F33" w:rsidRPr="000E2F33" w:rsidRDefault="000E2F33" w:rsidP="000E2F33">
            <w:pPr>
              <w:spacing w:after="0" w:line="240" w:lineRule="auto"/>
              <w:jc w:val="center"/>
              <w:rPr>
                <w:rFonts w:ascii="Calibri" w:eastAsia="Times New Roman" w:hAnsi="Calibri" w:cs="Times New Roman"/>
                <w:i/>
                <w:iCs/>
                <w:color w:val="000000"/>
                <w:lang w:val="de-DE" w:eastAsia="de-DE"/>
              </w:rPr>
            </w:pPr>
            <w:r w:rsidRPr="000E2F33">
              <w:rPr>
                <w:rFonts w:ascii="Calibri" w:eastAsia="Times New Roman" w:hAnsi="Calibri" w:cs="Times New Roman"/>
                <w:i/>
                <w:iCs/>
                <w:color w:val="000000"/>
                <w:lang w:val="de-DE" w:eastAsia="de-DE"/>
              </w:rPr>
              <w:t>Bc</w:t>
            </w:r>
          </w:p>
        </w:tc>
      </w:tr>
      <w:tr w:rsidR="000E2F33" w:rsidRPr="000E2F33" w:rsidTr="00B626F7">
        <w:trPr>
          <w:trHeight w:val="300"/>
          <w:jc w:val="center"/>
        </w:trPr>
        <w:tc>
          <w:tcPr>
            <w:tcW w:w="2800" w:type="dxa"/>
            <w:tcBorders>
              <w:top w:val="nil"/>
              <w:left w:val="single" w:sz="4" w:space="0" w:color="auto"/>
              <w:bottom w:val="nil"/>
              <w:right w:val="single" w:sz="4" w:space="0" w:color="auto"/>
            </w:tcBorders>
            <w:shd w:val="clear" w:color="000000" w:fill="D9D9D9"/>
            <w:noWrap/>
            <w:vAlign w:val="bottom"/>
            <w:hideMark/>
          </w:tcPr>
          <w:p w:rsidR="000E2F33" w:rsidRPr="000E2F33" w:rsidRDefault="000E2F33" w:rsidP="000E2F33">
            <w:pPr>
              <w:spacing w:after="0" w:line="240" w:lineRule="auto"/>
              <w:rPr>
                <w:rFonts w:ascii="Calibri" w:eastAsia="Times New Roman" w:hAnsi="Calibri" w:cs="Times New Roman"/>
                <w:color w:val="000000"/>
                <w:lang w:val="de-DE" w:eastAsia="de-DE"/>
              </w:rPr>
            </w:pPr>
            <w:r w:rsidRPr="000E2F33">
              <w:rPr>
                <w:rFonts w:ascii="Calibri" w:eastAsia="Times New Roman" w:hAnsi="Calibri" w:cs="Times New Roman"/>
                <w:color w:val="000000"/>
                <w:lang w:val="de-DE" w:eastAsia="de-DE"/>
              </w:rPr>
              <w:t>Unknown 11</w:t>
            </w:r>
          </w:p>
        </w:tc>
        <w:tc>
          <w:tcPr>
            <w:tcW w:w="3720" w:type="dxa"/>
            <w:tcBorders>
              <w:top w:val="nil"/>
              <w:left w:val="nil"/>
              <w:bottom w:val="nil"/>
              <w:right w:val="single" w:sz="4" w:space="0" w:color="auto"/>
            </w:tcBorders>
            <w:shd w:val="clear" w:color="000000" w:fill="D9D9D9"/>
            <w:noWrap/>
            <w:vAlign w:val="center"/>
            <w:hideMark/>
          </w:tcPr>
          <w:p w:rsidR="000E2F33" w:rsidRPr="000E2F33" w:rsidRDefault="000E2F33" w:rsidP="000E2F33">
            <w:pPr>
              <w:spacing w:after="0" w:line="240" w:lineRule="auto"/>
              <w:rPr>
                <w:rFonts w:ascii="Calibri" w:eastAsia="Times New Roman" w:hAnsi="Calibri" w:cs="Times New Roman"/>
                <w:color w:val="000000"/>
                <w:lang w:val="de-DE" w:eastAsia="de-DE"/>
              </w:rPr>
            </w:pPr>
            <w:r w:rsidRPr="000E2F33">
              <w:rPr>
                <w:rFonts w:ascii="Calibri" w:eastAsia="Times New Roman" w:hAnsi="Calibri" w:cs="Times New Roman"/>
                <w:b/>
                <w:bCs/>
                <w:color w:val="000000"/>
                <w:lang w:val="de-DE" w:eastAsia="de-DE"/>
              </w:rPr>
              <w:t>105, 133</w:t>
            </w:r>
            <w:r w:rsidRPr="000E2F33">
              <w:rPr>
                <w:rFonts w:ascii="Calibri" w:eastAsia="Times New Roman" w:hAnsi="Calibri" w:cs="Times New Roman"/>
                <w:color w:val="000000"/>
                <w:lang w:val="de-DE" w:eastAsia="de-DE"/>
              </w:rPr>
              <w:t xml:space="preserve">, 145, </w:t>
            </w:r>
            <w:r w:rsidRPr="000E2F33">
              <w:rPr>
                <w:rFonts w:ascii="Calibri" w:eastAsia="Times New Roman" w:hAnsi="Calibri" w:cs="Times New Roman"/>
                <w:b/>
                <w:bCs/>
                <w:color w:val="000000"/>
                <w:lang w:val="de-DE" w:eastAsia="de-DE"/>
              </w:rPr>
              <w:t>161, 188</w:t>
            </w:r>
            <w:r w:rsidRPr="000E2F33">
              <w:rPr>
                <w:rFonts w:ascii="Calibri" w:eastAsia="Times New Roman" w:hAnsi="Calibri" w:cs="Times New Roman"/>
                <w:color w:val="000000"/>
                <w:lang w:val="de-DE" w:eastAsia="de-DE"/>
              </w:rPr>
              <w:t>, 220</w:t>
            </w:r>
          </w:p>
        </w:tc>
        <w:tc>
          <w:tcPr>
            <w:tcW w:w="860" w:type="dxa"/>
            <w:tcBorders>
              <w:top w:val="nil"/>
              <w:left w:val="nil"/>
              <w:bottom w:val="nil"/>
              <w:right w:val="single" w:sz="4" w:space="0" w:color="auto"/>
            </w:tcBorders>
            <w:shd w:val="clear" w:color="000000" w:fill="D9D9D9"/>
            <w:noWrap/>
            <w:vAlign w:val="bottom"/>
            <w:hideMark/>
          </w:tcPr>
          <w:p w:rsidR="000E2F33" w:rsidRPr="000E2F33" w:rsidRDefault="000E2F33" w:rsidP="000E2F33">
            <w:pPr>
              <w:spacing w:after="0" w:line="240" w:lineRule="auto"/>
              <w:jc w:val="center"/>
              <w:rPr>
                <w:rFonts w:ascii="Calibri" w:eastAsia="Times New Roman" w:hAnsi="Calibri" w:cs="Times New Roman"/>
                <w:color w:val="000000"/>
                <w:lang w:val="de-DE" w:eastAsia="de-DE"/>
              </w:rPr>
            </w:pPr>
            <w:r w:rsidRPr="000E2F33">
              <w:rPr>
                <w:rFonts w:ascii="Calibri" w:eastAsia="Times New Roman" w:hAnsi="Calibri" w:cs="Times New Roman"/>
                <w:color w:val="000000"/>
                <w:lang w:val="de-DE" w:eastAsia="de-DE"/>
              </w:rPr>
              <w:t>105</w:t>
            </w:r>
          </w:p>
        </w:tc>
        <w:tc>
          <w:tcPr>
            <w:tcW w:w="2160" w:type="dxa"/>
            <w:tcBorders>
              <w:top w:val="nil"/>
              <w:left w:val="nil"/>
              <w:bottom w:val="nil"/>
              <w:right w:val="single" w:sz="4" w:space="0" w:color="auto"/>
            </w:tcBorders>
            <w:shd w:val="clear" w:color="000000" w:fill="D9D9D9"/>
            <w:noWrap/>
            <w:vAlign w:val="bottom"/>
            <w:hideMark/>
          </w:tcPr>
          <w:p w:rsidR="000E2F33" w:rsidRPr="000E2F33" w:rsidRDefault="000E2F33" w:rsidP="000E2F33">
            <w:pPr>
              <w:spacing w:after="0" w:line="240" w:lineRule="auto"/>
              <w:jc w:val="center"/>
              <w:rPr>
                <w:rFonts w:ascii="Calibri" w:eastAsia="Times New Roman" w:hAnsi="Calibri" w:cs="Times New Roman"/>
                <w:color w:val="000000"/>
                <w:lang w:val="de-DE" w:eastAsia="de-DE"/>
              </w:rPr>
            </w:pPr>
            <w:r w:rsidRPr="000E2F33">
              <w:rPr>
                <w:rFonts w:ascii="Calibri" w:eastAsia="Times New Roman" w:hAnsi="Calibri" w:cs="Times New Roman"/>
                <w:color w:val="000000"/>
                <w:lang w:val="de-DE" w:eastAsia="de-DE"/>
              </w:rPr>
              <w:t>29.49</w:t>
            </w:r>
          </w:p>
        </w:tc>
        <w:tc>
          <w:tcPr>
            <w:tcW w:w="1440" w:type="dxa"/>
            <w:tcBorders>
              <w:top w:val="nil"/>
              <w:left w:val="nil"/>
              <w:bottom w:val="nil"/>
              <w:right w:val="single" w:sz="4" w:space="0" w:color="auto"/>
            </w:tcBorders>
            <w:shd w:val="clear" w:color="000000" w:fill="D9D9D9"/>
            <w:noWrap/>
            <w:vAlign w:val="bottom"/>
            <w:hideMark/>
          </w:tcPr>
          <w:p w:rsidR="000E2F33" w:rsidRPr="000E2F33" w:rsidRDefault="000E2F33" w:rsidP="000E2F33">
            <w:pPr>
              <w:spacing w:after="0" w:line="240" w:lineRule="auto"/>
              <w:jc w:val="center"/>
              <w:rPr>
                <w:rFonts w:ascii="Calibri" w:eastAsia="Times New Roman" w:hAnsi="Calibri" w:cs="Times New Roman"/>
                <w:i/>
                <w:iCs/>
                <w:color w:val="000000"/>
                <w:lang w:val="de-DE" w:eastAsia="de-DE"/>
              </w:rPr>
            </w:pPr>
            <w:r w:rsidRPr="000E2F33">
              <w:rPr>
                <w:rFonts w:ascii="Calibri" w:eastAsia="Times New Roman" w:hAnsi="Calibri" w:cs="Times New Roman"/>
                <w:i/>
                <w:iCs/>
                <w:color w:val="000000"/>
                <w:lang w:val="de-DE" w:eastAsia="de-DE"/>
              </w:rPr>
              <w:t>Bc</w:t>
            </w:r>
          </w:p>
        </w:tc>
      </w:tr>
      <w:tr w:rsidR="000E2F33" w:rsidRPr="000E2F33" w:rsidTr="00B626F7">
        <w:trPr>
          <w:trHeight w:val="300"/>
          <w:jc w:val="center"/>
        </w:trPr>
        <w:tc>
          <w:tcPr>
            <w:tcW w:w="2800" w:type="dxa"/>
            <w:tcBorders>
              <w:top w:val="nil"/>
              <w:left w:val="single" w:sz="4" w:space="0" w:color="auto"/>
              <w:bottom w:val="nil"/>
              <w:right w:val="single" w:sz="4" w:space="0" w:color="auto"/>
            </w:tcBorders>
            <w:shd w:val="clear" w:color="auto" w:fill="auto"/>
            <w:noWrap/>
            <w:vAlign w:val="bottom"/>
            <w:hideMark/>
          </w:tcPr>
          <w:p w:rsidR="000E2F33" w:rsidRPr="000E2F33" w:rsidRDefault="000E2F33" w:rsidP="000E2F33">
            <w:pPr>
              <w:spacing w:after="0" w:line="240" w:lineRule="auto"/>
              <w:rPr>
                <w:rFonts w:ascii="Calibri" w:eastAsia="Times New Roman" w:hAnsi="Calibri" w:cs="Times New Roman"/>
                <w:color w:val="000000"/>
                <w:lang w:val="de-DE" w:eastAsia="de-DE"/>
              </w:rPr>
            </w:pPr>
            <w:r w:rsidRPr="000E2F33">
              <w:rPr>
                <w:rFonts w:ascii="Calibri" w:eastAsia="Times New Roman" w:hAnsi="Calibri" w:cs="Times New Roman"/>
                <w:color w:val="000000"/>
                <w:lang w:val="de-DE" w:eastAsia="de-DE"/>
              </w:rPr>
              <w:t>Unknown 12</w:t>
            </w:r>
          </w:p>
        </w:tc>
        <w:tc>
          <w:tcPr>
            <w:tcW w:w="3720" w:type="dxa"/>
            <w:tcBorders>
              <w:top w:val="nil"/>
              <w:left w:val="nil"/>
              <w:bottom w:val="nil"/>
              <w:right w:val="single" w:sz="4" w:space="0" w:color="auto"/>
            </w:tcBorders>
            <w:shd w:val="clear" w:color="auto" w:fill="auto"/>
            <w:noWrap/>
            <w:vAlign w:val="center"/>
            <w:hideMark/>
          </w:tcPr>
          <w:p w:rsidR="000E2F33" w:rsidRPr="000E2F33" w:rsidRDefault="000E2F33" w:rsidP="000E2F33">
            <w:pPr>
              <w:spacing w:after="0" w:line="240" w:lineRule="auto"/>
              <w:rPr>
                <w:rFonts w:ascii="Calibri" w:eastAsia="Times New Roman" w:hAnsi="Calibri" w:cs="Times New Roman"/>
                <w:color w:val="000000"/>
                <w:lang w:val="de-DE" w:eastAsia="de-DE"/>
              </w:rPr>
            </w:pPr>
            <w:r w:rsidRPr="000E2F33">
              <w:rPr>
                <w:rFonts w:ascii="Calibri" w:eastAsia="Times New Roman" w:hAnsi="Calibri" w:cs="Times New Roman"/>
                <w:color w:val="000000"/>
                <w:lang w:val="de-DE" w:eastAsia="de-DE"/>
              </w:rPr>
              <w:t>51,78</w:t>
            </w:r>
            <w:r w:rsidRPr="000E2F33">
              <w:rPr>
                <w:rFonts w:ascii="Calibri" w:eastAsia="Times New Roman" w:hAnsi="Calibri" w:cs="Times New Roman"/>
                <w:b/>
                <w:bCs/>
                <w:color w:val="000000"/>
                <w:lang w:val="de-DE" w:eastAsia="de-DE"/>
              </w:rPr>
              <w:t>,106</w:t>
            </w:r>
          </w:p>
        </w:tc>
        <w:tc>
          <w:tcPr>
            <w:tcW w:w="860" w:type="dxa"/>
            <w:tcBorders>
              <w:top w:val="nil"/>
              <w:left w:val="nil"/>
              <w:bottom w:val="nil"/>
              <w:right w:val="single" w:sz="4" w:space="0" w:color="auto"/>
            </w:tcBorders>
            <w:shd w:val="clear" w:color="auto" w:fill="auto"/>
            <w:noWrap/>
            <w:vAlign w:val="bottom"/>
            <w:hideMark/>
          </w:tcPr>
          <w:p w:rsidR="000E2F33" w:rsidRPr="000E2F33" w:rsidRDefault="000E2F33" w:rsidP="000E2F33">
            <w:pPr>
              <w:spacing w:after="0" w:line="240" w:lineRule="auto"/>
              <w:jc w:val="center"/>
              <w:rPr>
                <w:rFonts w:ascii="Calibri" w:eastAsia="Times New Roman" w:hAnsi="Calibri" w:cs="Times New Roman"/>
                <w:color w:val="000000"/>
                <w:lang w:val="de-DE" w:eastAsia="de-DE"/>
              </w:rPr>
            </w:pPr>
            <w:r w:rsidRPr="000E2F33">
              <w:rPr>
                <w:rFonts w:ascii="Calibri" w:eastAsia="Times New Roman" w:hAnsi="Calibri" w:cs="Times New Roman"/>
                <w:color w:val="000000"/>
                <w:lang w:val="de-DE" w:eastAsia="de-DE"/>
              </w:rPr>
              <w:t>106</w:t>
            </w:r>
          </w:p>
        </w:tc>
        <w:tc>
          <w:tcPr>
            <w:tcW w:w="2160" w:type="dxa"/>
            <w:tcBorders>
              <w:top w:val="nil"/>
              <w:left w:val="nil"/>
              <w:bottom w:val="nil"/>
              <w:right w:val="single" w:sz="4" w:space="0" w:color="auto"/>
            </w:tcBorders>
            <w:shd w:val="clear" w:color="auto" w:fill="auto"/>
            <w:noWrap/>
            <w:vAlign w:val="bottom"/>
            <w:hideMark/>
          </w:tcPr>
          <w:p w:rsidR="000E2F33" w:rsidRPr="000E2F33" w:rsidRDefault="000E2F33" w:rsidP="000E2F33">
            <w:pPr>
              <w:spacing w:after="0" w:line="240" w:lineRule="auto"/>
              <w:jc w:val="center"/>
              <w:rPr>
                <w:rFonts w:ascii="Calibri" w:eastAsia="Times New Roman" w:hAnsi="Calibri" w:cs="Times New Roman"/>
                <w:color w:val="000000"/>
                <w:lang w:val="de-DE" w:eastAsia="de-DE"/>
              </w:rPr>
            </w:pPr>
            <w:r w:rsidRPr="000E2F33">
              <w:rPr>
                <w:rFonts w:ascii="Calibri" w:eastAsia="Times New Roman" w:hAnsi="Calibri" w:cs="Times New Roman"/>
                <w:color w:val="000000"/>
                <w:lang w:val="de-DE" w:eastAsia="de-DE"/>
              </w:rPr>
              <w:t>21.53</w:t>
            </w:r>
          </w:p>
        </w:tc>
        <w:tc>
          <w:tcPr>
            <w:tcW w:w="1440" w:type="dxa"/>
            <w:tcBorders>
              <w:top w:val="nil"/>
              <w:left w:val="nil"/>
              <w:bottom w:val="nil"/>
              <w:right w:val="single" w:sz="4" w:space="0" w:color="auto"/>
            </w:tcBorders>
            <w:shd w:val="clear" w:color="auto" w:fill="auto"/>
            <w:noWrap/>
            <w:vAlign w:val="bottom"/>
            <w:hideMark/>
          </w:tcPr>
          <w:p w:rsidR="000E2F33" w:rsidRPr="000E2F33" w:rsidRDefault="000E2F33" w:rsidP="000E2F33">
            <w:pPr>
              <w:spacing w:after="0" w:line="240" w:lineRule="auto"/>
              <w:jc w:val="center"/>
              <w:rPr>
                <w:rFonts w:ascii="Calibri" w:eastAsia="Times New Roman" w:hAnsi="Calibri" w:cs="Times New Roman"/>
                <w:i/>
                <w:iCs/>
                <w:color w:val="000000"/>
                <w:lang w:val="de-DE" w:eastAsia="de-DE"/>
              </w:rPr>
            </w:pPr>
            <w:r w:rsidRPr="000E2F33">
              <w:rPr>
                <w:rFonts w:ascii="Calibri" w:eastAsia="Times New Roman" w:hAnsi="Calibri" w:cs="Times New Roman"/>
                <w:i/>
                <w:iCs/>
                <w:color w:val="000000"/>
                <w:lang w:val="de-DE" w:eastAsia="de-DE"/>
              </w:rPr>
              <w:t>Bc</w:t>
            </w:r>
          </w:p>
        </w:tc>
      </w:tr>
      <w:tr w:rsidR="000E2F33" w:rsidRPr="000E2F33" w:rsidTr="00B626F7">
        <w:trPr>
          <w:trHeight w:val="300"/>
          <w:jc w:val="center"/>
        </w:trPr>
        <w:tc>
          <w:tcPr>
            <w:tcW w:w="2800" w:type="dxa"/>
            <w:tcBorders>
              <w:top w:val="nil"/>
              <w:left w:val="single" w:sz="4" w:space="0" w:color="auto"/>
              <w:bottom w:val="nil"/>
              <w:right w:val="single" w:sz="4" w:space="0" w:color="auto"/>
            </w:tcBorders>
            <w:shd w:val="clear" w:color="000000" w:fill="D9D9D9"/>
            <w:noWrap/>
            <w:vAlign w:val="bottom"/>
            <w:hideMark/>
          </w:tcPr>
          <w:p w:rsidR="000E2F33" w:rsidRPr="000E2F33" w:rsidRDefault="000E2F33" w:rsidP="000E2F33">
            <w:pPr>
              <w:spacing w:after="0" w:line="240" w:lineRule="auto"/>
              <w:rPr>
                <w:rFonts w:ascii="Calibri" w:eastAsia="Times New Roman" w:hAnsi="Calibri" w:cs="Times New Roman"/>
                <w:b/>
                <w:bCs/>
                <w:color w:val="000000"/>
                <w:lang w:val="de-DE" w:eastAsia="de-DE"/>
              </w:rPr>
            </w:pPr>
            <w:r w:rsidRPr="000E2F33">
              <w:rPr>
                <w:rFonts w:ascii="Calibri" w:eastAsia="Times New Roman" w:hAnsi="Calibri" w:cs="Times New Roman"/>
                <w:b/>
                <w:bCs/>
                <w:color w:val="000000"/>
                <w:lang w:val="de-DE" w:eastAsia="de-DE"/>
              </w:rPr>
              <w:t>Unknown 13</w:t>
            </w:r>
          </w:p>
        </w:tc>
        <w:tc>
          <w:tcPr>
            <w:tcW w:w="3720" w:type="dxa"/>
            <w:tcBorders>
              <w:top w:val="nil"/>
              <w:left w:val="nil"/>
              <w:bottom w:val="nil"/>
              <w:right w:val="single" w:sz="4" w:space="0" w:color="auto"/>
            </w:tcBorders>
            <w:shd w:val="clear" w:color="000000" w:fill="D9D9D9"/>
            <w:noWrap/>
            <w:vAlign w:val="center"/>
            <w:hideMark/>
          </w:tcPr>
          <w:p w:rsidR="000E2F33" w:rsidRPr="000E2F33" w:rsidRDefault="000E2F33" w:rsidP="000E2F33">
            <w:pPr>
              <w:spacing w:after="0" w:line="240" w:lineRule="auto"/>
              <w:rPr>
                <w:rFonts w:ascii="Calibri" w:eastAsia="Times New Roman" w:hAnsi="Calibri" w:cs="Times New Roman"/>
                <w:b/>
                <w:bCs/>
                <w:color w:val="000000"/>
                <w:lang w:val="de-DE" w:eastAsia="de-DE"/>
              </w:rPr>
            </w:pPr>
            <w:r w:rsidRPr="000E2F33">
              <w:rPr>
                <w:rFonts w:ascii="Calibri" w:eastAsia="Times New Roman" w:hAnsi="Calibri" w:cs="Times New Roman"/>
                <w:b/>
                <w:bCs/>
                <w:color w:val="000000"/>
                <w:lang w:val="de-DE" w:eastAsia="de-DE"/>
              </w:rPr>
              <w:t>70,112</w:t>
            </w:r>
          </w:p>
        </w:tc>
        <w:tc>
          <w:tcPr>
            <w:tcW w:w="860" w:type="dxa"/>
            <w:tcBorders>
              <w:top w:val="nil"/>
              <w:left w:val="nil"/>
              <w:bottom w:val="nil"/>
              <w:right w:val="single" w:sz="4" w:space="0" w:color="auto"/>
            </w:tcBorders>
            <w:shd w:val="clear" w:color="000000" w:fill="D9D9D9"/>
            <w:noWrap/>
            <w:vAlign w:val="bottom"/>
            <w:hideMark/>
          </w:tcPr>
          <w:p w:rsidR="000E2F33" w:rsidRPr="000E2F33" w:rsidRDefault="000E2F33" w:rsidP="000E2F33">
            <w:pPr>
              <w:spacing w:after="0" w:line="240" w:lineRule="auto"/>
              <w:jc w:val="center"/>
              <w:rPr>
                <w:rFonts w:ascii="Calibri" w:eastAsia="Times New Roman" w:hAnsi="Calibri" w:cs="Times New Roman"/>
                <w:color w:val="000000"/>
                <w:lang w:val="de-DE" w:eastAsia="de-DE"/>
              </w:rPr>
            </w:pPr>
            <w:r w:rsidRPr="000E2F33">
              <w:rPr>
                <w:rFonts w:ascii="Calibri" w:eastAsia="Times New Roman" w:hAnsi="Calibri" w:cs="Times New Roman"/>
                <w:color w:val="000000"/>
                <w:lang w:val="de-DE" w:eastAsia="de-DE"/>
              </w:rPr>
              <w:t>112</w:t>
            </w:r>
          </w:p>
        </w:tc>
        <w:tc>
          <w:tcPr>
            <w:tcW w:w="2160" w:type="dxa"/>
            <w:tcBorders>
              <w:top w:val="nil"/>
              <w:left w:val="nil"/>
              <w:bottom w:val="nil"/>
              <w:right w:val="single" w:sz="4" w:space="0" w:color="auto"/>
            </w:tcBorders>
            <w:shd w:val="clear" w:color="000000" w:fill="D9D9D9"/>
            <w:noWrap/>
            <w:vAlign w:val="bottom"/>
            <w:hideMark/>
          </w:tcPr>
          <w:p w:rsidR="000E2F33" w:rsidRPr="000E2F33" w:rsidRDefault="000E2F33" w:rsidP="000E2F33">
            <w:pPr>
              <w:spacing w:after="0" w:line="240" w:lineRule="auto"/>
              <w:jc w:val="center"/>
              <w:rPr>
                <w:rFonts w:ascii="Calibri" w:eastAsia="Times New Roman" w:hAnsi="Calibri" w:cs="Times New Roman"/>
                <w:color w:val="000000"/>
                <w:lang w:val="de-DE" w:eastAsia="de-DE"/>
              </w:rPr>
            </w:pPr>
            <w:r w:rsidRPr="000E2F33">
              <w:rPr>
                <w:rFonts w:ascii="Calibri" w:eastAsia="Times New Roman" w:hAnsi="Calibri" w:cs="Times New Roman"/>
                <w:color w:val="000000"/>
                <w:lang w:val="de-DE" w:eastAsia="de-DE"/>
              </w:rPr>
              <w:t>18.16</w:t>
            </w:r>
          </w:p>
        </w:tc>
        <w:tc>
          <w:tcPr>
            <w:tcW w:w="1440" w:type="dxa"/>
            <w:tcBorders>
              <w:top w:val="nil"/>
              <w:left w:val="nil"/>
              <w:bottom w:val="nil"/>
              <w:right w:val="single" w:sz="4" w:space="0" w:color="auto"/>
            </w:tcBorders>
            <w:shd w:val="clear" w:color="000000" w:fill="D9D9D9"/>
            <w:noWrap/>
            <w:vAlign w:val="bottom"/>
            <w:hideMark/>
          </w:tcPr>
          <w:p w:rsidR="000E2F33" w:rsidRPr="000E2F33" w:rsidRDefault="000E2F33" w:rsidP="000E2F33">
            <w:pPr>
              <w:spacing w:after="0" w:line="240" w:lineRule="auto"/>
              <w:jc w:val="center"/>
              <w:rPr>
                <w:rFonts w:ascii="Calibri" w:eastAsia="Times New Roman" w:hAnsi="Calibri" w:cs="Times New Roman"/>
                <w:i/>
                <w:iCs/>
                <w:color w:val="000000"/>
                <w:lang w:val="de-DE" w:eastAsia="de-DE"/>
              </w:rPr>
            </w:pPr>
            <w:r w:rsidRPr="000E2F33">
              <w:rPr>
                <w:rFonts w:ascii="Calibri" w:eastAsia="Times New Roman" w:hAnsi="Calibri" w:cs="Times New Roman"/>
                <w:i/>
                <w:iCs/>
                <w:color w:val="000000"/>
                <w:lang w:val="de-DE" w:eastAsia="de-DE"/>
              </w:rPr>
              <w:t>Bc</w:t>
            </w:r>
          </w:p>
        </w:tc>
      </w:tr>
      <w:tr w:rsidR="000E2F33" w:rsidRPr="000E2F33" w:rsidTr="00B626F7">
        <w:trPr>
          <w:trHeight w:val="300"/>
          <w:jc w:val="center"/>
        </w:trPr>
        <w:tc>
          <w:tcPr>
            <w:tcW w:w="2800" w:type="dxa"/>
            <w:tcBorders>
              <w:top w:val="nil"/>
              <w:left w:val="single" w:sz="4" w:space="0" w:color="auto"/>
              <w:bottom w:val="nil"/>
              <w:right w:val="single" w:sz="4" w:space="0" w:color="auto"/>
            </w:tcBorders>
            <w:shd w:val="clear" w:color="auto" w:fill="auto"/>
            <w:noWrap/>
            <w:vAlign w:val="bottom"/>
            <w:hideMark/>
          </w:tcPr>
          <w:p w:rsidR="000E2F33" w:rsidRPr="000E2F33" w:rsidRDefault="000E2F33" w:rsidP="000E2F33">
            <w:pPr>
              <w:spacing w:after="0" w:line="240" w:lineRule="auto"/>
              <w:rPr>
                <w:rFonts w:ascii="Calibri" w:eastAsia="Times New Roman" w:hAnsi="Calibri" w:cs="Times New Roman"/>
                <w:b/>
                <w:bCs/>
                <w:color w:val="000000"/>
                <w:lang w:val="de-DE" w:eastAsia="de-DE"/>
              </w:rPr>
            </w:pPr>
            <w:r w:rsidRPr="000E2F33">
              <w:rPr>
                <w:rFonts w:ascii="Calibri" w:eastAsia="Times New Roman" w:hAnsi="Calibri" w:cs="Times New Roman"/>
                <w:b/>
                <w:bCs/>
                <w:color w:val="000000"/>
                <w:lang w:val="de-DE" w:eastAsia="de-DE"/>
              </w:rPr>
              <w:t>Unknown 15</w:t>
            </w:r>
          </w:p>
        </w:tc>
        <w:tc>
          <w:tcPr>
            <w:tcW w:w="3720" w:type="dxa"/>
            <w:tcBorders>
              <w:top w:val="nil"/>
              <w:left w:val="nil"/>
              <w:bottom w:val="nil"/>
              <w:right w:val="single" w:sz="4" w:space="0" w:color="auto"/>
            </w:tcBorders>
            <w:shd w:val="clear" w:color="auto" w:fill="auto"/>
            <w:noWrap/>
            <w:vAlign w:val="center"/>
            <w:hideMark/>
          </w:tcPr>
          <w:p w:rsidR="000E2F33" w:rsidRPr="000E2F33" w:rsidRDefault="000E2F33" w:rsidP="000E2F33">
            <w:pPr>
              <w:spacing w:after="0" w:line="240" w:lineRule="auto"/>
              <w:rPr>
                <w:rFonts w:ascii="Calibri" w:eastAsia="Times New Roman" w:hAnsi="Calibri" w:cs="Times New Roman"/>
                <w:color w:val="000000"/>
                <w:lang w:val="de-DE" w:eastAsia="de-DE"/>
              </w:rPr>
            </w:pPr>
            <w:r w:rsidRPr="000E2F33">
              <w:rPr>
                <w:rFonts w:ascii="Calibri" w:eastAsia="Times New Roman" w:hAnsi="Calibri" w:cs="Times New Roman"/>
                <w:color w:val="000000"/>
                <w:lang w:val="de-DE" w:eastAsia="de-DE"/>
              </w:rPr>
              <w:t>156</w:t>
            </w:r>
          </w:p>
        </w:tc>
        <w:tc>
          <w:tcPr>
            <w:tcW w:w="860" w:type="dxa"/>
            <w:tcBorders>
              <w:top w:val="nil"/>
              <w:left w:val="nil"/>
              <w:bottom w:val="nil"/>
              <w:right w:val="single" w:sz="4" w:space="0" w:color="auto"/>
            </w:tcBorders>
            <w:shd w:val="clear" w:color="auto" w:fill="auto"/>
            <w:noWrap/>
            <w:vAlign w:val="bottom"/>
            <w:hideMark/>
          </w:tcPr>
          <w:p w:rsidR="000E2F33" w:rsidRPr="000E2F33" w:rsidRDefault="000E2F33" w:rsidP="000E2F33">
            <w:pPr>
              <w:spacing w:after="0" w:line="240" w:lineRule="auto"/>
              <w:jc w:val="center"/>
              <w:rPr>
                <w:rFonts w:ascii="Calibri" w:eastAsia="Times New Roman" w:hAnsi="Calibri" w:cs="Times New Roman"/>
                <w:color w:val="000000"/>
                <w:lang w:val="de-DE" w:eastAsia="de-DE"/>
              </w:rPr>
            </w:pPr>
            <w:r w:rsidRPr="000E2F33">
              <w:rPr>
                <w:rFonts w:ascii="Calibri" w:eastAsia="Times New Roman" w:hAnsi="Calibri" w:cs="Times New Roman"/>
                <w:color w:val="000000"/>
                <w:lang w:val="de-DE" w:eastAsia="de-DE"/>
              </w:rPr>
              <w:t>156</w:t>
            </w:r>
          </w:p>
        </w:tc>
        <w:tc>
          <w:tcPr>
            <w:tcW w:w="2160" w:type="dxa"/>
            <w:tcBorders>
              <w:top w:val="nil"/>
              <w:left w:val="nil"/>
              <w:bottom w:val="nil"/>
              <w:right w:val="single" w:sz="4" w:space="0" w:color="auto"/>
            </w:tcBorders>
            <w:shd w:val="clear" w:color="auto" w:fill="auto"/>
            <w:noWrap/>
            <w:vAlign w:val="bottom"/>
            <w:hideMark/>
          </w:tcPr>
          <w:p w:rsidR="000E2F33" w:rsidRPr="000E2F33" w:rsidRDefault="000E2F33" w:rsidP="000E2F33">
            <w:pPr>
              <w:spacing w:after="0" w:line="240" w:lineRule="auto"/>
              <w:jc w:val="center"/>
              <w:rPr>
                <w:rFonts w:ascii="Calibri" w:eastAsia="Times New Roman" w:hAnsi="Calibri" w:cs="Times New Roman"/>
                <w:color w:val="000000"/>
                <w:lang w:val="de-DE" w:eastAsia="de-DE"/>
              </w:rPr>
            </w:pPr>
            <w:r w:rsidRPr="000E2F33">
              <w:rPr>
                <w:rFonts w:ascii="Calibri" w:eastAsia="Times New Roman" w:hAnsi="Calibri" w:cs="Times New Roman"/>
                <w:color w:val="000000"/>
                <w:lang w:val="de-DE" w:eastAsia="de-DE"/>
              </w:rPr>
              <w:t>15.58</w:t>
            </w:r>
          </w:p>
        </w:tc>
        <w:tc>
          <w:tcPr>
            <w:tcW w:w="1440" w:type="dxa"/>
            <w:tcBorders>
              <w:top w:val="nil"/>
              <w:left w:val="nil"/>
              <w:bottom w:val="nil"/>
              <w:right w:val="single" w:sz="4" w:space="0" w:color="auto"/>
            </w:tcBorders>
            <w:shd w:val="clear" w:color="auto" w:fill="auto"/>
            <w:noWrap/>
            <w:vAlign w:val="bottom"/>
            <w:hideMark/>
          </w:tcPr>
          <w:p w:rsidR="000E2F33" w:rsidRPr="000E2F33" w:rsidRDefault="000E2F33" w:rsidP="000E2F33">
            <w:pPr>
              <w:spacing w:after="0" w:line="240" w:lineRule="auto"/>
              <w:jc w:val="center"/>
              <w:rPr>
                <w:rFonts w:ascii="Calibri" w:eastAsia="Times New Roman" w:hAnsi="Calibri" w:cs="Times New Roman"/>
                <w:i/>
                <w:iCs/>
                <w:color w:val="000000"/>
                <w:lang w:val="de-DE" w:eastAsia="de-DE"/>
              </w:rPr>
            </w:pPr>
            <w:r w:rsidRPr="000E2F33">
              <w:rPr>
                <w:rFonts w:ascii="Calibri" w:eastAsia="Times New Roman" w:hAnsi="Calibri" w:cs="Times New Roman"/>
                <w:i/>
                <w:iCs/>
                <w:color w:val="000000"/>
                <w:lang w:val="de-DE" w:eastAsia="de-DE"/>
              </w:rPr>
              <w:t>Bc</w:t>
            </w:r>
          </w:p>
        </w:tc>
      </w:tr>
      <w:tr w:rsidR="000E2F33" w:rsidRPr="000E2F33" w:rsidTr="00B626F7">
        <w:trPr>
          <w:trHeight w:val="300"/>
          <w:jc w:val="center"/>
        </w:trPr>
        <w:tc>
          <w:tcPr>
            <w:tcW w:w="2800" w:type="dxa"/>
            <w:tcBorders>
              <w:top w:val="nil"/>
              <w:left w:val="single" w:sz="4" w:space="0" w:color="auto"/>
              <w:bottom w:val="nil"/>
              <w:right w:val="single" w:sz="4" w:space="0" w:color="auto"/>
            </w:tcBorders>
            <w:shd w:val="clear" w:color="000000" w:fill="D9D9D9"/>
            <w:noWrap/>
            <w:vAlign w:val="bottom"/>
            <w:hideMark/>
          </w:tcPr>
          <w:p w:rsidR="000E2F33" w:rsidRPr="000E2F33" w:rsidRDefault="000E2F33" w:rsidP="000E2F33">
            <w:pPr>
              <w:spacing w:after="0" w:line="240" w:lineRule="auto"/>
              <w:rPr>
                <w:rFonts w:ascii="Calibri" w:eastAsia="Times New Roman" w:hAnsi="Calibri" w:cs="Times New Roman"/>
                <w:color w:val="000000"/>
                <w:lang w:val="de-DE" w:eastAsia="de-DE"/>
              </w:rPr>
            </w:pPr>
            <w:r w:rsidRPr="000E2F33">
              <w:rPr>
                <w:rFonts w:ascii="Calibri" w:eastAsia="Times New Roman" w:hAnsi="Calibri" w:cs="Times New Roman"/>
                <w:color w:val="000000"/>
                <w:lang w:val="de-DE" w:eastAsia="de-DE"/>
              </w:rPr>
              <w:t>Unknown 16</w:t>
            </w:r>
          </w:p>
        </w:tc>
        <w:tc>
          <w:tcPr>
            <w:tcW w:w="3720" w:type="dxa"/>
            <w:tcBorders>
              <w:top w:val="nil"/>
              <w:left w:val="nil"/>
              <w:bottom w:val="nil"/>
              <w:right w:val="single" w:sz="4" w:space="0" w:color="auto"/>
            </w:tcBorders>
            <w:shd w:val="clear" w:color="000000" w:fill="D9D9D9"/>
            <w:noWrap/>
            <w:vAlign w:val="center"/>
            <w:hideMark/>
          </w:tcPr>
          <w:p w:rsidR="000E2F33" w:rsidRPr="000E2F33" w:rsidRDefault="000E2F33" w:rsidP="000E2F33">
            <w:pPr>
              <w:spacing w:after="0" w:line="240" w:lineRule="auto"/>
              <w:rPr>
                <w:rFonts w:ascii="Calibri" w:eastAsia="Times New Roman" w:hAnsi="Calibri" w:cs="Times New Roman"/>
                <w:color w:val="000000"/>
                <w:lang w:val="de-DE" w:eastAsia="de-DE"/>
              </w:rPr>
            </w:pPr>
            <w:r w:rsidRPr="000E2F33">
              <w:rPr>
                <w:rFonts w:ascii="Calibri" w:eastAsia="Times New Roman" w:hAnsi="Calibri" w:cs="Times New Roman"/>
                <w:color w:val="000000"/>
                <w:lang w:val="de-DE" w:eastAsia="de-DE"/>
              </w:rPr>
              <w:t>95,181,268</w:t>
            </w:r>
          </w:p>
        </w:tc>
        <w:tc>
          <w:tcPr>
            <w:tcW w:w="860" w:type="dxa"/>
            <w:tcBorders>
              <w:top w:val="nil"/>
              <w:left w:val="nil"/>
              <w:bottom w:val="nil"/>
              <w:right w:val="single" w:sz="4" w:space="0" w:color="auto"/>
            </w:tcBorders>
            <w:shd w:val="clear" w:color="000000" w:fill="D9D9D9"/>
            <w:noWrap/>
            <w:vAlign w:val="bottom"/>
            <w:hideMark/>
          </w:tcPr>
          <w:p w:rsidR="000E2F33" w:rsidRPr="000E2F33" w:rsidRDefault="000E2F33" w:rsidP="000E2F33">
            <w:pPr>
              <w:spacing w:after="0" w:line="240" w:lineRule="auto"/>
              <w:jc w:val="center"/>
              <w:rPr>
                <w:rFonts w:ascii="Calibri" w:eastAsia="Times New Roman" w:hAnsi="Calibri" w:cs="Times New Roman"/>
                <w:color w:val="000000"/>
                <w:lang w:val="de-DE" w:eastAsia="de-DE"/>
              </w:rPr>
            </w:pPr>
            <w:r w:rsidRPr="000E2F33">
              <w:rPr>
                <w:rFonts w:ascii="Calibri" w:eastAsia="Times New Roman" w:hAnsi="Calibri" w:cs="Times New Roman"/>
                <w:color w:val="000000"/>
                <w:lang w:val="de-DE" w:eastAsia="de-DE"/>
              </w:rPr>
              <w:t>268</w:t>
            </w:r>
          </w:p>
        </w:tc>
        <w:tc>
          <w:tcPr>
            <w:tcW w:w="2160" w:type="dxa"/>
            <w:tcBorders>
              <w:top w:val="nil"/>
              <w:left w:val="nil"/>
              <w:bottom w:val="nil"/>
              <w:right w:val="single" w:sz="4" w:space="0" w:color="auto"/>
            </w:tcBorders>
            <w:shd w:val="clear" w:color="000000" w:fill="D9D9D9"/>
            <w:noWrap/>
            <w:vAlign w:val="bottom"/>
            <w:hideMark/>
          </w:tcPr>
          <w:p w:rsidR="000E2F33" w:rsidRPr="000E2F33" w:rsidRDefault="000E2F33" w:rsidP="000E2F33">
            <w:pPr>
              <w:spacing w:after="0" w:line="240" w:lineRule="auto"/>
              <w:jc w:val="center"/>
              <w:rPr>
                <w:rFonts w:ascii="Calibri" w:eastAsia="Times New Roman" w:hAnsi="Calibri" w:cs="Times New Roman"/>
                <w:color w:val="000000"/>
                <w:lang w:val="de-DE" w:eastAsia="de-DE"/>
              </w:rPr>
            </w:pPr>
            <w:r w:rsidRPr="000E2F33">
              <w:rPr>
                <w:rFonts w:ascii="Calibri" w:eastAsia="Times New Roman" w:hAnsi="Calibri" w:cs="Times New Roman"/>
                <w:color w:val="000000"/>
                <w:lang w:val="de-DE" w:eastAsia="de-DE"/>
              </w:rPr>
              <w:t>17.44</w:t>
            </w:r>
          </w:p>
        </w:tc>
        <w:tc>
          <w:tcPr>
            <w:tcW w:w="1440" w:type="dxa"/>
            <w:tcBorders>
              <w:top w:val="nil"/>
              <w:left w:val="nil"/>
              <w:bottom w:val="nil"/>
              <w:right w:val="single" w:sz="4" w:space="0" w:color="auto"/>
            </w:tcBorders>
            <w:shd w:val="clear" w:color="000000" w:fill="D9D9D9"/>
            <w:noWrap/>
            <w:vAlign w:val="bottom"/>
            <w:hideMark/>
          </w:tcPr>
          <w:p w:rsidR="000E2F33" w:rsidRPr="000E2F33" w:rsidRDefault="000E2F33" w:rsidP="000E2F33">
            <w:pPr>
              <w:spacing w:after="0" w:line="240" w:lineRule="auto"/>
              <w:jc w:val="center"/>
              <w:rPr>
                <w:rFonts w:ascii="Calibri" w:eastAsia="Times New Roman" w:hAnsi="Calibri" w:cs="Times New Roman"/>
                <w:i/>
                <w:iCs/>
                <w:color w:val="000000"/>
                <w:lang w:val="de-DE" w:eastAsia="de-DE"/>
              </w:rPr>
            </w:pPr>
            <w:r w:rsidRPr="000E2F33">
              <w:rPr>
                <w:rFonts w:ascii="Calibri" w:eastAsia="Times New Roman" w:hAnsi="Calibri" w:cs="Times New Roman"/>
                <w:i/>
                <w:iCs/>
                <w:color w:val="000000"/>
                <w:lang w:val="de-DE" w:eastAsia="de-DE"/>
              </w:rPr>
              <w:t>Bc</w:t>
            </w:r>
          </w:p>
        </w:tc>
      </w:tr>
      <w:tr w:rsidR="000E2F33" w:rsidRPr="000E2F33" w:rsidTr="00B626F7">
        <w:trPr>
          <w:trHeight w:val="300"/>
          <w:jc w:val="center"/>
        </w:trPr>
        <w:tc>
          <w:tcPr>
            <w:tcW w:w="2800" w:type="dxa"/>
            <w:tcBorders>
              <w:top w:val="nil"/>
              <w:left w:val="single" w:sz="4" w:space="0" w:color="auto"/>
              <w:bottom w:val="nil"/>
              <w:right w:val="single" w:sz="4" w:space="0" w:color="auto"/>
            </w:tcBorders>
            <w:shd w:val="clear" w:color="auto" w:fill="auto"/>
            <w:noWrap/>
            <w:vAlign w:val="bottom"/>
            <w:hideMark/>
          </w:tcPr>
          <w:p w:rsidR="000E2F33" w:rsidRPr="000E2F33" w:rsidRDefault="000E2F33" w:rsidP="000E2F33">
            <w:pPr>
              <w:spacing w:after="0" w:line="240" w:lineRule="auto"/>
              <w:rPr>
                <w:rFonts w:ascii="Calibri" w:eastAsia="Times New Roman" w:hAnsi="Calibri" w:cs="Times New Roman"/>
                <w:color w:val="000000"/>
                <w:lang w:val="de-DE" w:eastAsia="de-DE"/>
              </w:rPr>
            </w:pPr>
            <w:r w:rsidRPr="000E2F33">
              <w:rPr>
                <w:rFonts w:ascii="Calibri" w:eastAsia="Times New Roman" w:hAnsi="Calibri" w:cs="Times New Roman"/>
                <w:color w:val="000000"/>
                <w:lang w:val="de-DE" w:eastAsia="de-DE"/>
              </w:rPr>
              <w:t>Unknown 17</w:t>
            </w:r>
          </w:p>
        </w:tc>
        <w:tc>
          <w:tcPr>
            <w:tcW w:w="3720" w:type="dxa"/>
            <w:tcBorders>
              <w:top w:val="nil"/>
              <w:left w:val="nil"/>
              <w:bottom w:val="nil"/>
              <w:right w:val="single" w:sz="4" w:space="0" w:color="auto"/>
            </w:tcBorders>
            <w:shd w:val="clear" w:color="auto" w:fill="auto"/>
            <w:noWrap/>
            <w:vAlign w:val="center"/>
            <w:hideMark/>
          </w:tcPr>
          <w:p w:rsidR="000E2F33" w:rsidRPr="000E2F33" w:rsidRDefault="000E2F33" w:rsidP="000E2F33">
            <w:pPr>
              <w:spacing w:after="0" w:line="240" w:lineRule="auto"/>
              <w:rPr>
                <w:rFonts w:ascii="Calibri" w:eastAsia="Times New Roman" w:hAnsi="Calibri" w:cs="Times New Roman"/>
                <w:color w:val="000000"/>
                <w:lang w:val="de-DE" w:eastAsia="de-DE"/>
              </w:rPr>
            </w:pPr>
            <w:r w:rsidRPr="000E2F33">
              <w:rPr>
                <w:rFonts w:ascii="Calibri" w:eastAsia="Times New Roman" w:hAnsi="Calibri" w:cs="Times New Roman"/>
                <w:color w:val="000000"/>
                <w:lang w:val="de-DE" w:eastAsia="de-DE"/>
              </w:rPr>
              <w:t>105,106,123,163</w:t>
            </w:r>
          </w:p>
        </w:tc>
        <w:tc>
          <w:tcPr>
            <w:tcW w:w="860" w:type="dxa"/>
            <w:tcBorders>
              <w:top w:val="nil"/>
              <w:left w:val="nil"/>
              <w:bottom w:val="nil"/>
              <w:right w:val="single" w:sz="4" w:space="0" w:color="auto"/>
            </w:tcBorders>
            <w:shd w:val="clear" w:color="auto" w:fill="auto"/>
            <w:noWrap/>
            <w:vAlign w:val="bottom"/>
            <w:hideMark/>
          </w:tcPr>
          <w:p w:rsidR="000E2F33" w:rsidRPr="000E2F33" w:rsidRDefault="000E2F33" w:rsidP="000E2F33">
            <w:pPr>
              <w:spacing w:after="0" w:line="240" w:lineRule="auto"/>
              <w:jc w:val="center"/>
              <w:rPr>
                <w:rFonts w:ascii="Calibri" w:eastAsia="Times New Roman" w:hAnsi="Calibri" w:cs="Times New Roman"/>
                <w:color w:val="000000"/>
                <w:lang w:val="de-DE" w:eastAsia="de-DE"/>
              </w:rPr>
            </w:pPr>
            <w:r w:rsidRPr="000E2F33">
              <w:rPr>
                <w:rFonts w:ascii="Calibri" w:eastAsia="Times New Roman" w:hAnsi="Calibri" w:cs="Times New Roman"/>
                <w:color w:val="000000"/>
                <w:lang w:val="de-DE" w:eastAsia="de-DE"/>
              </w:rPr>
              <w:t>123</w:t>
            </w:r>
          </w:p>
        </w:tc>
        <w:tc>
          <w:tcPr>
            <w:tcW w:w="2160" w:type="dxa"/>
            <w:tcBorders>
              <w:top w:val="nil"/>
              <w:left w:val="nil"/>
              <w:bottom w:val="nil"/>
              <w:right w:val="single" w:sz="4" w:space="0" w:color="auto"/>
            </w:tcBorders>
            <w:shd w:val="clear" w:color="auto" w:fill="auto"/>
            <w:noWrap/>
            <w:vAlign w:val="bottom"/>
            <w:hideMark/>
          </w:tcPr>
          <w:p w:rsidR="000E2F33" w:rsidRPr="000E2F33" w:rsidRDefault="000E2F33" w:rsidP="000E2F33">
            <w:pPr>
              <w:spacing w:after="0" w:line="240" w:lineRule="auto"/>
              <w:jc w:val="center"/>
              <w:rPr>
                <w:rFonts w:ascii="Calibri" w:eastAsia="Times New Roman" w:hAnsi="Calibri" w:cs="Times New Roman"/>
                <w:color w:val="000000"/>
                <w:lang w:val="de-DE" w:eastAsia="de-DE"/>
              </w:rPr>
            </w:pPr>
            <w:r w:rsidRPr="000E2F33">
              <w:rPr>
                <w:rFonts w:ascii="Calibri" w:eastAsia="Times New Roman" w:hAnsi="Calibri" w:cs="Times New Roman"/>
                <w:color w:val="000000"/>
                <w:lang w:val="de-DE" w:eastAsia="de-DE"/>
              </w:rPr>
              <w:t>6.37</w:t>
            </w:r>
          </w:p>
        </w:tc>
        <w:tc>
          <w:tcPr>
            <w:tcW w:w="1440" w:type="dxa"/>
            <w:tcBorders>
              <w:top w:val="nil"/>
              <w:left w:val="nil"/>
              <w:bottom w:val="nil"/>
              <w:right w:val="single" w:sz="4" w:space="0" w:color="auto"/>
            </w:tcBorders>
            <w:shd w:val="clear" w:color="auto" w:fill="auto"/>
            <w:noWrap/>
            <w:vAlign w:val="bottom"/>
            <w:hideMark/>
          </w:tcPr>
          <w:p w:rsidR="000E2F33" w:rsidRPr="000E2F33" w:rsidRDefault="000E2F33" w:rsidP="000E2F33">
            <w:pPr>
              <w:spacing w:after="0" w:line="240" w:lineRule="auto"/>
              <w:jc w:val="center"/>
              <w:rPr>
                <w:rFonts w:ascii="Calibri" w:eastAsia="Times New Roman" w:hAnsi="Calibri" w:cs="Times New Roman"/>
                <w:i/>
                <w:iCs/>
                <w:color w:val="000000"/>
                <w:lang w:val="de-DE" w:eastAsia="de-DE"/>
              </w:rPr>
            </w:pPr>
            <w:r w:rsidRPr="000E2F33">
              <w:rPr>
                <w:rFonts w:ascii="Calibri" w:eastAsia="Times New Roman" w:hAnsi="Calibri" w:cs="Times New Roman"/>
                <w:i/>
                <w:iCs/>
                <w:color w:val="000000"/>
                <w:lang w:val="de-DE" w:eastAsia="de-DE"/>
              </w:rPr>
              <w:t>Bc</w:t>
            </w:r>
          </w:p>
        </w:tc>
      </w:tr>
      <w:tr w:rsidR="000E2F33" w:rsidRPr="000E2F33" w:rsidTr="00B626F7">
        <w:trPr>
          <w:trHeight w:val="300"/>
          <w:jc w:val="center"/>
        </w:trPr>
        <w:tc>
          <w:tcPr>
            <w:tcW w:w="2800" w:type="dxa"/>
            <w:tcBorders>
              <w:top w:val="nil"/>
              <w:left w:val="single" w:sz="4" w:space="0" w:color="auto"/>
              <w:bottom w:val="nil"/>
              <w:right w:val="single" w:sz="4" w:space="0" w:color="auto"/>
            </w:tcBorders>
            <w:shd w:val="clear" w:color="000000" w:fill="D9D9D9"/>
            <w:noWrap/>
            <w:vAlign w:val="bottom"/>
            <w:hideMark/>
          </w:tcPr>
          <w:p w:rsidR="000E2F33" w:rsidRPr="000E2F33" w:rsidRDefault="000E2F33" w:rsidP="000E2F33">
            <w:pPr>
              <w:spacing w:after="0" w:line="240" w:lineRule="auto"/>
              <w:rPr>
                <w:rFonts w:ascii="Calibri" w:eastAsia="Times New Roman" w:hAnsi="Calibri" w:cs="Times New Roman"/>
                <w:color w:val="000000"/>
                <w:lang w:val="de-DE" w:eastAsia="de-DE"/>
              </w:rPr>
            </w:pPr>
            <w:r w:rsidRPr="000E2F33">
              <w:rPr>
                <w:rFonts w:ascii="Calibri" w:eastAsia="Times New Roman" w:hAnsi="Calibri" w:cs="Times New Roman"/>
                <w:color w:val="000000"/>
                <w:lang w:val="de-DE" w:eastAsia="de-DE"/>
              </w:rPr>
              <w:lastRenderedPageBreak/>
              <w:t>Unknown 18</w:t>
            </w:r>
          </w:p>
        </w:tc>
        <w:tc>
          <w:tcPr>
            <w:tcW w:w="3720" w:type="dxa"/>
            <w:tcBorders>
              <w:top w:val="nil"/>
              <w:left w:val="nil"/>
              <w:bottom w:val="nil"/>
              <w:right w:val="single" w:sz="4" w:space="0" w:color="auto"/>
            </w:tcBorders>
            <w:shd w:val="clear" w:color="000000" w:fill="D9D9D9"/>
            <w:noWrap/>
            <w:vAlign w:val="center"/>
            <w:hideMark/>
          </w:tcPr>
          <w:p w:rsidR="000E2F33" w:rsidRPr="000E2F33" w:rsidRDefault="000E2F33" w:rsidP="000E2F33">
            <w:pPr>
              <w:spacing w:after="0" w:line="240" w:lineRule="auto"/>
              <w:rPr>
                <w:rFonts w:ascii="Calibri" w:eastAsia="Times New Roman" w:hAnsi="Calibri" w:cs="Times New Roman"/>
                <w:color w:val="000000"/>
                <w:lang w:val="de-DE" w:eastAsia="de-DE"/>
              </w:rPr>
            </w:pPr>
            <w:r w:rsidRPr="000E2F33">
              <w:rPr>
                <w:rFonts w:ascii="Calibri" w:eastAsia="Times New Roman" w:hAnsi="Calibri" w:cs="Times New Roman"/>
                <w:color w:val="000000"/>
                <w:lang w:val="de-DE" w:eastAsia="de-DE"/>
              </w:rPr>
              <w:t>105,106,123,163</w:t>
            </w:r>
          </w:p>
        </w:tc>
        <w:tc>
          <w:tcPr>
            <w:tcW w:w="860" w:type="dxa"/>
            <w:tcBorders>
              <w:top w:val="nil"/>
              <w:left w:val="nil"/>
              <w:bottom w:val="nil"/>
              <w:right w:val="single" w:sz="4" w:space="0" w:color="auto"/>
            </w:tcBorders>
            <w:shd w:val="clear" w:color="000000" w:fill="D9D9D9"/>
            <w:noWrap/>
            <w:vAlign w:val="bottom"/>
            <w:hideMark/>
          </w:tcPr>
          <w:p w:rsidR="000E2F33" w:rsidRPr="000E2F33" w:rsidRDefault="000E2F33" w:rsidP="000E2F33">
            <w:pPr>
              <w:spacing w:after="0" w:line="240" w:lineRule="auto"/>
              <w:jc w:val="center"/>
              <w:rPr>
                <w:rFonts w:ascii="Calibri" w:eastAsia="Times New Roman" w:hAnsi="Calibri" w:cs="Times New Roman"/>
                <w:color w:val="000000"/>
                <w:lang w:val="de-DE" w:eastAsia="de-DE"/>
              </w:rPr>
            </w:pPr>
            <w:r w:rsidRPr="000E2F33">
              <w:rPr>
                <w:rFonts w:ascii="Calibri" w:eastAsia="Times New Roman" w:hAnsi="Calibri" w:cs="Times New Roman"/>
                <w:color w:val="000000"/>
                <w:lang w:val="de-DE" w:eastAsia="de-DE"/>
              </w:rPr>
              <w:t>123</w:t>
            </w:r>
          </w:p>
        </w:tc>
        <w:tc>
          <w:tcPr>
            <w:tcW w:w="2160" w:type="dxa"/>
            <w:tcBorders>
              <w:top w:val="nil"/>
              <w:left w:val="nil"/>
              <w:bottom w:val="nil"/>
              <w:right w:val="single" w:sz="4" w:space="0" w:color="auto"/>
            </w:tcBorders>
            <w:shd w:val="clear" w:color="000000" w:fill="D9D9D9"/>
            <w:noWrap/>
            <w:vAlign w:val="bottom"/>
            <w:hideMark/>
          </w:tcPr>
          <w:p w:rsidR="000E2F33" w:rsidRPr="000E2F33" w:rsidRDefault="000E2F33" w:rsidP="000E2F33">
            <w:pPr>
              <w:spacing w:after="0" w:line="240" w:lineRule="auto"/>
              <w:jc w:val="center"/>
              <w:rPr>
                <w:rFonts w:ascii="Calibri" w:eastAsia="Times New Roman" w:hAnsi="Calibri" w:cs="Times New Roman"/>
                <w:color w:val="000000"/>
                <w:lang w:val="de-DE" w:eastAsia="de-DE"/>
              </w:rPr>
            </w:pPr>
            <w:r w:rsidRPr="000E2F33">
              <w:rPr>
                <w:rFonts w:ascii="Calibri" w:eastAsia="Times New Roman" w:hAnsi="Calibri" w:cs="Times New Roman"/>
                <w:color w:val="000000"/>
                <w:lang w:val="de-DE" w:eastAsia="de-DE"/>
              </w:rPr>
              <w:t>6.69</w:t>
            </w:r>
          </w:p>
        </w:tc>
        <w:tc>
          <w:tcPr>
            <w:tcW w:w="1440" w:type="dxa"/>
            <w:tcBorders>
              <w:top w:val="nil"/>
              <w:left w:val="nil"/>
              <w:bottom w:val="nil"/>
              <w:right w:val="single" w:sz="4" w:space="0" w:color="auto"/>
            </w:tcBorders>
            <w:shd w:val="clear" w:color="000000" w:fill="D9D9D9"/>
            <w:noWrap/>
            <w:vAlign w:val="bottom"/>
            <w:hideMark/>
          </w:tcPr>
          <w:p w:rsidR="000E2F33" w:rsidRPr="000E2F33" w:rsidRDefault="000E2F33" w:rsidP="000E2F33">
            <w:pPr>
              <w:spacing w:after="0" w:line="240" w:lineRule="auto"/>
              <w:jc w:val="center"/>
              <w:rPr>
                <w:rFonts w:ascii="Calibri" w:eastAsia="Times New Roman" w:hAnsi="Calibri" w:cs="Times New Roman"/>
                <w:i/>
                <w:iCs/>
                <w:color w:val="000000"/>
                <w:lang w:val="de-DE" w:eastAsia="de-DE"/>
              </w:rPr>
            </w:pPr>
            <w:r w:rsidRPr="000E2F33">
              <w:rPr>
                <w:rFonts w:ascii="Calibri" w:eastAsia="Times New Roman" w:hAnsi="Calibri" w:cs="Times New Roman"/>
                <w:i/>
                <w:iCs/>
                <w:color w:val="000000"/>
                <w:lang w:val="de-DE" w:eastAsia="de-DE"/>
              </w:rPr>
              <w:t>Bc</w:t>
            </w:r>
          </w:p>
        </w:tc>
      </w:tr>
      <w:tr w:rsidR="000E2F33" w:rsidRPr="000E2F33" w:rsidTr="00B626F7">
        <w:trPr>
          <w:trHeight w:val="300"/>
          <w:jc w:val="center"/>
        </w:trPr>
        <w:tc>
          <w:tcPr>
            <w:tcW w:w="2800" w:type="dxa"/>
            <w:tcBorders>
              <w:top w:val="nil"/>
              <w:left w:val="single" w:sz="4" w:space="0" w:color="auto"/>
              <w:bottom w:val="nil"/>
              <w:right w:val="single" w:sz="4" w:space="0" w:color="auto"/>
            </w:tcBorders>
            <w:shd w:val="clear" w:color="auto" w:fill="auto"/>
            <w:noWrap/>
            <w:vAlign w:val="bottom"/>
            <w:hideMark/>
          </w:tcPr>
          <w:p w:rsidR="000E2F33" w:rsidRPr="000E2F33" w:rsidRDefault="000E2F33" w:rsidP="000E2F33">
            <w:pPr>
              <w:spacing w:after="0" w:line="240" w:lineRule="auto"/>
              <w:rPr>
                <w:rFonts w:ascii="Calibri" w:eastAsia="Times New Roman" w:hAnsi="Calibri" w:cs="Times New Roman"/>
                <w:color w:val="000000"/>
                <w:lang w:val="de-DE" w:eastAsia="de-DE"/>
              </w:rPr>
            </w:pPr>
            <w:r w:rsidRPr="000E2F33">
              <w:rPr>
                <w:rFonts w:ascii="Calibri" w:eastAsia="Times New Roman" w:hAnsi="Calibri" w:cs="Times New Roman"/>
                <w:color w:val="000000"/>
                <w:lang w:val="de-DE" w:eastAsia="de-DE"/>
              </w:rPr>
              <w:t>Unknown 19</w:t>
            </w:r>
          </w:p>
        </w:tc>
        <w:tc>
          <w:tcPr>
            <w:tcW w:w="3720" w:type="dxa"/>
            <w:tcBorders>
              <w:top w:val="nil"/>
              <w:left w:val="nil"/>
              <w:bottom w:val="nil"/>
              <w:right w:val="single" w:sz="4" w:space="0" w:color="auto"/>
            </w:tcBorders>
            <w:shd w:val="clear" w:color="auto" w:fill="auto"/>
            <w:noWrap/>
            <w:vAlign w:val="center"/>
            <w:hideMark/>
          </w:tcPr>
          <w:p w:rsidR="000E2F33" w:rsidRPr="000E2F33" w:rsidRDefault="000E2F33" w:rsidP="000E2F33">
            <w:pPr>
              <w:spacing w:after="0" w:line="240" w:lineRule="auto"/>
              <w:rPr>
                <w:rFonts w:ascii="Calibri" w:eastAsia="Times New Roman" w:hAnsi="Calibri" w:cs="Times New Roman"/>
                <w:color w:val="000000"/>
                <w:lang w:val="de-DE" w:eastAsia="de-DE"/>
              </w:rPr>
            </w:pPr>
            <w:r w:rsidRPr="000E2F33">
              <w:rPr>
                <w:rFonts w:ascii="Calibri" w:eastAsia="Times New Roman" w:hAnsi="Calibri" w:cs="Times New Roman"/>
                <w:color w:val="000000"/>
                <w:lang w:val="de-DE" w:eastAsia="de-DE"/>
              </w:rPr>
              <w:t>95, 215</w:t>
            </w:r>
          </w:p>
        </w:tc>
        <w:tc>
          <w:tcPr>
            <w:tcW w:w="860" w:type="dxa"/>
            <w:tcBorders>
              <w:top w:val="nil"/>
              <w:left w:val="nil"/>
              <w:bottom w:val="nil"/>
              <w:right w:val="single" w:sz="4" w:space="0" w:color="auto"/>
            </w:tcBorders>
            <w:shd w:val="clear" w:color="auto" w:fill="auto"/>
            <w:noWrap/>
            <w:vAlign w:val="bottom"/>
            <w:hideMark/>
          </w:tcPr>
          <w:p w:rsidR="000E2F33" w:rsidRPr="000E2F33" w:rsidRDefault="000E2F33" w:rsidP="000E2F33">
            <w:pPr>
              <w:spacing w:after="0" w:line="240" w:lineRule="auto"/>
              <w:jc w:val="center"/>
              <w:rPr>
                <w:rFonts w:ascii="Calibri" w:eastAsia="Times New Roman" w:hAnsi="Calibri" w:cs="Times New Roman"/>
                <w:color w:val="000000"/>
                <w:lang w:val="de-DE" w:eastAsia="de-DE"/>
              </w:rPr>
            </w:pPr>
            <w:r w:rsidRPr="000E2F33">
              <w:rPr>
                <w:rFonts w:ascii="Calibri" w:eastAsia="Times New Roman" w:hAnsi="Calibri" w:cs="Times New Roman"/>
                <w:color w:val="000000"/>
                <w:lang w:val="de-DE" w:eastAsia="de-DE"/>
              </w:rPr>
              <w:t>215</w:t>
            </w:r>
          </w:p>
        </w:tc>
        <w:tc>
          <w:tcPr>
            <w:tcW w:w="2160" w:type="dxa"/>
            <w:tcBorders>
              <w:top w:val="nil"/>
              <w:left w:val="nil"/>
              <w:bottom w:val="nil"/>
              <w:right w:val="single" w:sz="4" w:space="0" w:color="auto"/>
            </w:tcBorders>
            <w:shd w:val="clear" w:color="auto" w:fill="auto"/>
            <w:noWrap/>
            <w:vAlign w:val="bottom"/>
            <w:hideMark/>
          </w:tcPr>
          <w:p w:rsidR="000E2F33" w:rsidRPr="000E2F33" w:rsidRDefault="000E2F33" w:rsidP="000E2F33">
            <w:pPr>
              <w:spacing w:after="0" w:line="240" w:lineRule="auto"/>
              <w:jc w:val="center"/>
              <w:rPr>
                <w:rFonts w:ascii="Calibri" w:eastAsia="Times New Roman" w:hAnsi="Calibri" w:cs="Times New Roman"/>
                <w:color w:val="000000"/>
                <w:lang w:val="de-DE" w:eastAsia="de-DE"/>
              </w:rPr>
            </w:pPr>
            <w:r w:rsidRPr="000E2F33">
              <w:rPr>
                <w:rFonts w:ascii="Calibri" w:eastAsia="Times New Roman" w:hAnsi="Calibri" w:cs="Times New Roman"/>
                <w:color w:val="000000"/>
                <w:lang w:val="de-DE" w:eastAsia="de-DE"/>
              </w:rPr>
              <w:t>13.7</w:t>
            </w:r>
          </w:p>
        </w:tc>
        <w:tc>
          <w:tcPr>
            <w:tcW w:w="1440" w:type="dxa"/>
            <w:tcBorders>
              <w:top w:val="nil"/>
              <w:left w:val="nil"/>
              <w:bottom w:val="nil"/>
              <w:right w:val="single" w:sz="4" w:space="0" w:color="auto"/>
            </w:tcBorders>
            <w:shd w:val="clear" w:color="auto" w:fill="auto"/>
            <w:noWrap/>
            <w:vAlign w:val="bottom"/>
            <w:hideMark/>
          </w:tcPr>
          <w:p w:rsidR="000E2F33" w:rsidRPr="000E2F33" w:rsidRDefault="000E2F33" w:rsidP="000E2F33">
            <w:pPr>
              <w:spacing w:after="0" w:line="240" w:lineRule="auto"/>
              <w:jc w:val="center"/>
              <w:rPr>
                <w:rFonts w:ascii="Calibri" w:eastAsia="Times New Roman" w:hAnsi="Calibri" w:cs="Times New Roman"/>
                <w:i/>
                <w:iCs/>
                <w:color w:val="000000"/>
                <w:lang w:val="de-DE" w:eastAsia="de-DE"/>
              </w:rPr>
            </w:pPr>
            <w:r w:rsidRPr="000E2F33">
              <w:rPr>
                <w:rFonts w:ascii="Calibri" w:eastAsia="Times New Roman" w:hAnsi="Calibri" w:cs="Times New Roman"/>
                <w:i/>
                <w:iCs/>
                <w:color w:val="000000"/>
                <w:lang w:val="de-DE" w:eastAsia="de-DE"/>
              </w:rPr>
              <w:t>Go</w:t>
            </w:r>
          </w:p>
        </w:tc>
      </w:tr>
      <w:tr w:rsidR="000E2F33" w:rsidRPr="000E2F33" w:rsidTr="00B626F7">
        <w:trPr>
          <w:trHeight w:val="300"/>
          <w:jc w:val="center"/>
        </w:trPr>
        <w:tc>
          <w:tcPr>
            <w:tcW w:w="2800" w:type="dxa"/>
            <w:tcBorders>
              <w:top w:val="nil"/>
              <w:left w:val="single" w:sz="4" w:space="0" w:color="auto"/>
              <w:bottom w:val="nil"/>
              <w:right w:val="single" w:sz="4" w:space="0" w:color="auto"/>
            </w:tcBorders>
            <w:shd w:val="clear" w:color="000000" w:fill="D9D9D9"/>
            <w:noWrap/>
            <w:vAlign w:val="bottom"/>
            <w:hideMark/>
          </w:tcPr>
          <w:p w:rsidR="000E2F33" w:rsidRPr="000E2F33" w:rsidRDefault="000E2F33" w:rsidP="000E2F33">
            <w:pPr>
              <w:spacing w:after="0" w:line="240" w:lineRule="auto"/>
              <w:rPr>
                <w:rFonts w:ascii="Calibri" w:eastAsia="Times New Roman" w:hAnsi="Calibri" w:cs="Times New Roman"/>
                <w:color w:val="000000"/>
                <w:lang w:val="de-DE" w:eastAsia="de-DE"/>
              </w:rPr>
            </w:pPr>
            <w:r w:rsidRPr="000E2F33">
              <w:rPr>
                <w:rFonts w:ascii="Calibri" w:eastAsia="Times New Roman" w:hAnsi="Calibri" w:cs="Times New Roman"/>
                <w:color w:val="000000"/>
                <w:lang w:val="de-DE" w:eastAsia="de-DE"/>
              </w:rPr>
              <w:t>Unknown 20</w:t>
            </w:r>
          </w:p>
        </w:tc>
        <w:tc>
          <w:tcPr>
            <w:tcW w:w="3720" w:type="dxa"/>
            <w:tcBorders>
              <w:top w:val="nil"/>
              <w:left w:val="nil"/>
              <w:bottom w:val="nil"/>
              <w:right w:val="single" w:sz="4" w:space="0" w:color="auto"/>
            </w:tcBorders>
            <w:shd w:val="clear" w:color="000000" w:fill="D9D9D9"/>
            <w:noWrap/>
            <w:vAlign w:val="center"/>
            <w:hideMark/>
          </w:tcPr>
          <w:p w:rsidR="000E2F33" w:rsidRPr="000E2F33" w:rsidRDefault="000E2F33" w:rsidP="000E2F33">
            <w:pPr>
              <w:spacing w:after="0" w:line="240" w:lineRule="auto"/>
              <w:rPr>
                <w:rFonts w:ascii="Calibri" w:eastAsia="Times New Roman" w:hAnsi="Calibri" w:cs="Times New Roman"/>
                <w:color w:val="000000"/>
                <w:lang w:val="de-DE" w:eastAsia="de-DE"/>
              </w:rPr>
            </w:pPr>
            <w:r w:rsidRPr="000E2F33">
              <w:rPr>
                <w:rFonts w:ascii="Calibri" w:eastAsia="Times New Roman" w:hAnsi="Calibri" w:cs="Times New Roman"/>
                <w:color w:val="000000"/>
                <w:lang w:val="de-DE" w:eastAsia="de-DE"/>
              </w:rPr>
              <w:t>132</w:t>
            </w:r>
          </w:p>
        </w:tc>
        <w:tc>
          <w:tcPr>
            <w:tcW w:w="860" w:type="dxa"/>
            <w:tcBorders>
              <w:top w:val="nil"/>
              <w:left w:val="nil"/>
              <w:bottom w:val="nil"/>
              <w:right w:val="single" w:sz="4" w:space="0" w:color="auto"/>
            </w:tcBorders>
            <w:shd w:val="clear" w:color="000000" w:fill="D9D9D9"/>
            <w:noWrap/>
            <w:vAlign w:val="bottom"/>
            <w:hideMark/>
          </w:tcPr>
          <w:p w:rsidR="000E2F33" w:rsidRPr="000E2F33" w:rsidRDefault="000E2F33" w:rsidP="000E2F33">
            <w:pPr>
              <w:spacing w:after="0" w:line="240" w:lineRule="auto"/>
              <w:jc w:val="center"/>
              <w:rPr>
                <w:rFonts w:ascii="Calibri" w:eastAsia="Times New Roman" w:hAnsi="Calibri" w:cs="Times New Roman"/>
                <w:color w:val="000000"/>
                <w:lang w:val="de-DE" w:eastAsia="de-DE"/>
              </w:rPr>
            </w:pPr>
            <w:r w:rsidRPr="000E2F33">
              <w:rPr>
                <w:rFonts w:ascii="Calibri" w:eastAsia="Times New Roman" w:hAnsi="Calibri" w:cs="Times New Roman"/>
                <w:color w:val="000000"/>
                <w:lang w:val="de-DE" w:eastAsia="de-DE"/>
              </w:rPr>
              <w:t>132</w:t>
            </w:r>
          </w:p>
        </w:tc>
        <w:tc>
          <w:tcPr>
            <w:tcW w:w="2160" w:type="dxa"/>
            <w:tcBorders>
              <w:top w:val="nil"/>
              <w:left w:val="nil"/>
              <w:bottom w:val="nil"/>
              <w:right w:val="single" w:sz="4" w:space="0" w:color="auto"/>
            </w:tcBorders>
            <w:shd w:val="clear" w:color="000000" w:fill="D9D9D9"/>
            <w:noWrap/>
            <w:vAlign w:val="bottom"/>
            <w:hideMark/>
          </w:tcPr>
          <w:p w:rsidR="000E2F33" w:rsidRPr="000E2F33" w:rsidRDefault="000E2F33" w:rsidP="000E2F33">
            <w:pPr>
              <w:spacing w:after="0" w:line="240" w:lineRule="auto"/>
              <w:jc w:val="center"/>
              <w:rPr>
                <w:rFonts w:ascii="Calibri" w:eastAsia="Times New Roman" w:hAnsi="Calibri" w:cs="Times New Roman"/>
                <w:color w:val="000000"/>
                <w:lang w:val="de-DE" w:eastAsia="de-DE"/>
              </w:rPr>
            </w:pPr>
            <w:r w:rsidRPr="000E2F33">
              <w:rPr>
                <w:rFonts w:ascii="Calibri" w:eastAsia="Times New Roman" w:hAnsi="Calibri" w:cs="Times New Roman"/>
                <w:color w:val="000000"/>
                <w:lang w:val="de-DE" w:eastAsia="de-DE"/>
              </w:rPr>
              <w:t>16.05</w:t>
            </w:r>
          </w:p>
        </w:tc>
        <w:tc>
          <w:tcPr>
            <w:tcW w:w="1440" w:type="dxa"/>
            <w:tcBorders>
              <w:top w:val="nil"/>
              <w:left w:val="nil"/>
              <w:bottom w:val="nil"/>
              <w:right w:val="single" w:sz="4" w:space="0" w:color="auto"/>
            </w:tcBorders>
            <w:shd w:val="clear" w:color="000000" w:fill="D9D9D9"/>
            <w:noWrap/>
            <w:vAlign w:val="bottom"/>
            <w:hideMark/>
          </w:tcPr>
          <w:p w:rsidR="000E2F33" w:rsidRPr="000E2F33" w:rsidRDefault="000E2F33" w:rsidP="000E2F33">
            <w:pPr>
              <w:spacing w:after="0" w:line="240" w:lineRule="auto"/>
              <w:jc w:val="center"/>
              <w:rPr>
                <w:rFonts w:ascii="Calibri" w:eastAsia="Times New Roman" w:hAnsi="Calibri" w:cs="Times New Roman"/>
                <w:i/>
                <w:iCs/>
                <w:color w:val="000000"/>
                <w:lang w:val="de-DE" w:eastAsia="de-DE"/>
              </w:rPr>
            </w:pPr>
            <w:r w:rsidRPr="000E2F33">
              <w:rPr>
                <w:rFonts w:ascii="Calibri" w:eastAsia="Times New Roman" w:hAnsi="Calibri" w:cs="Times New Roman"/>
                <w:i/>
                <w:iCs/>
                <w:color w:val="000000"/>
                <w:lang w:val="de-DE" w:eastAsia="de-DE"/>
              </w:rPr>
              <w:t>Go</w:t>
            </w:r>
          </w:p>
        </w:tc>
      </w:tr>
      <w:tr w:rsidR="000E2F33" w:rsidRPr="000E2F33" w:rsidTr="00B626F7">
        <w:trPr>
          <w:trHeight w:val="300"/>
          <w:jc w:val="center"/>
        </w:trPr>
        <w:tc>
          <w:tcPr>
            <w:tcW w:w="2800" w:type="dxa"/>
            <w:tcBorders>
              <w:top w:val="nil"/>
              <w:left w:val="single" w:sz="4" w:space="0" w:color="auto"/>
              <w:bottom w:val="nil"/>
              <w:right w:val="single" w:sz="4" w:space="0" w:color="auto"/>
            </w:tcBorders>
            <w:shd w:val="clear" w:color="auto" w:fill="auto"/>
            <w:noWrap/>
            <w:vAlign w:val="bottom"/>
            <w:hideMark/>
          </w:tcPr>
          <w:p w:rsidR="000E2F33" w:rsidRPr="000E2F33" w:rsidRDefault="000E2F33" w:rsidP="000E2F33">
            <w:pPr>
              <w:spacing w:after="0" w:line="240" w:lineRule="auto"/>
              <w:rPr>
                <w:rFonts w:ascii="Calibri" w:eastAsia="Times New Roman" w:hAnsi="Calibri" w:cs="Times New Roman"/>
                <w:b/>
                <w:bCs/>
                <w:color w:val="000000"/>
                <w:lang w:val="de-DE" w:eastAsia="de-DE"/>
              </w:rPr>
            </w:pPr>
            <w:r w:rsidRPr="000E2F33">
              <w:rPr>
                <w:rFonts w:ascii="Calibri" w:eastAsia="Times New Roman" w:hAnsi="Calibri" w:cs="Times New Roman"/>
                <w:b/>
                <w:bCs/>
                <w:color w:val="000000"/>
                <w:lang w:val="de-DE" w:eastAsia="de-DE"/>
              </w:rPr>
              <w:t>Unknown 22</w:t>
            </w:r>
          </w:p>
        </w:tc>
        <w:tc>
          <w:tcPr>
            <w:tcW w:w="3720" w:type="dxa"/>
            <w:tcBorders>
              <w:top w:val="nil"/>
              <w:left w:val="nil"/>
              <w:bottom w:val="nil"/>
              <w:right w:val="single" w:sz="4" w:space="0" w:color="auto"/>
            </w:tcBorders>
            <w:shd w:val="clear" w:color="auto" w:fill="auto"/>
            <w:noWrap/>
            <w:vAlign w:val="center"/>
            <w:hideMark/>
          </w:tcPr>
          <w:p w:rsidR="000E2F33" w:rsidRPr="000E2F33" w:rsidRDefault="000E2F33" w:rsidP="000E2F33">
            <w:pPr>
              <w:spacing w:after="0" w:line="240" w:lineRule="auto"/>
              <w:rPr>
                <w:rFonts w:ascii="Calibri" w:eastAsia="Times New Roman" w:hAnsi="Calibri" w:cs="Times New Roman"/>
                <w:color w:val="000000"/>
                <w:lang w:val="de-DE" w:eastAsia="de-DE"/>
              </w:rPr>
            </w:pPr>
            <w:r w:rsidRPr="000E2F33">
              <w:rPr>
                <w:rFonts w:ascii="Calibri" w:eastAsia="Times New Roman" w:hAnsi="Calibri" w:cs="Times New Roman"/>
                <w:b/>
                <w:bCs/>
                <w:color w:val="000000"/>
                <w:lang w:val="de-DE" w:eastAsia="de-DE"/>
              </w:rPr>
              <w:t>61</w:t>
            </w:r>
            <w:r w:rsidRPr="000E2F33">
              <w:rPr>
                <w:rFonts w:ascii="Calibri" w:eastAsia="Times New Roman" w:hAnsi="Calibri" w:cs="Times New Roman"/>
                <w:color w:val="000000"/>
                <w:lang w:val="de-DE" w:eastAsia="de-DE"/>
              </w:rPr>
              <w:t xml:space="preserve">, 73, 83, 102, 115, 295, 313, </w:t>
            </w:r>
            <w:r w:rsidRPr="000E2F33">
              <w:rPr>
                <w:rFonts w:ascii="Calibri" w:eastAsia="Times New Roman" w:hAnsi="Calibri" w:cs="Times New Roman"/>
                <w:b/>
                <w:bCs/>
                <w:color w:val="000000"/>
                <w:lang w:val="de-DE" w:eastAsia="de-DE"/>
              </w:rPr>
              <w:t>354</w:t>
            </w:r>
          </w:p>
        </w:tc>
        <w:tc>
          <w:tcPr>
            <w:tcW w:w="860" w:type="dxa"/>
            <w:tcBorders>
              <w:top w:val="nil"/>
              <w:left w:val="nil"/>
              <w:bottom w:val="nil"/>
              <w:right w:val="single" w:sz="4" w:space="0" w:color="auto"/>
            </w:tcBorders>
            <w:shd w:val="clear" w:color="auto" w:fill="auto"/>
            <w:noWrap/>
            <w:vAlign w:val="bottom"/>
            <w:hideMark/>
          </w:tcPr>
          <w:p w:rsidR="000E2F33" w:rsidRPr="000E2F33" w:rsidRDefault="000E2F33" w:rsidP="000E2F33">
            <w:pPr>
              <w:spacing w:after="0" w:line="240" w:lineRule="auto"/>
              <w:jc w:val="center"/>
              <w:rPr>
                <w:rFonts w:ascii="Calibri" w:eastAsia="Times New Roman" w:hAnsi="Calibri" w:cs="Times New Roman"/>
                <w:color w:val="000000"/>
                <w:lang w:val="de-DE" w:eastAsia="de-DE"/>
              </w:rPr>
            </w:pPr>
            <w:r w:rsidRPr="000E2F33">
              <w:rPr>
                <w:rFonts w:ascii="Calibri" w:eastAsia="Times New Roman" w:hAnsi="Calibri" w:cs="Times New Roman"/>
                <w:color w:val="000000"/>
                <w:lang w:val="de-DE" w:eastAsia="de-DE"/>
              </w:rPr>
              <w:t>354</w:t>
            </w:r>
          </w:p>
        </w:tc>
        <w:tc>
          <w:tcPr>
            <w:tcW w:w="2160" w:type="dxa"/>
            <w:tcBorders>
              <w:top w:val="nil"/>
              <w:left w:val="nil"/>
              <w:bottom w:val="nil"/>
              <w:right w:val="single" w:sz="4" w:space="0" w:color="auto"/>
            </w:tcBorders>
            <w:shd w:val="clear" w:color="auto" w:fill="auto"/>
            <w:noWrap/>
            <w:vAlign w:val="bottom"/>
            <w:hideMark/>
          </w:tcPr>
          <w:p w:rsidR="000E2F33" w:rsidRPr="000E2F33" w:rsidRDefault="000E2F33" w:rsidP="000E2F33">
            <w:pPr>
              <w:spacing w:after="0" w:line="240" w:lineRule="auto"/>
              <w:jc w:val="center"/>
              <w:rPr>
                <w:rFonts w:ascii="Calibri" w:eastAsia="Times New Roman" w:hAnsi="Calibri" w:cs="Times New Roman"/>
                <w:color w:val="000000"/>
                <w:lang w:val="de-DE" w:eastAsia="de-DE"/>
              </w:rPr>
            </w:pPr>
            <w:r w:rsidRPr="000E2F33">
              <w:rPr>
                <w:rFonts w:ascii="Calibri" w:eastAsia="Times New Roman" w:hAnsi="Calibri" w:cs="Times New Roman"/>
                <w:color w:val="000000"/>
                <w:lang w:val="de-DE" w:eastAsia="de-DE"/>
              </w:rPr>
              <w:t>28</w:t>
            </w:r>
          </w:p>
        </w:tc>
        <w:tc>
          <w:tcPr>
            <w:tcW w:w="1440" w:type="dxa"/>
            <w:tcBorders>
              <w:top w:val="nil"/>
              <w:left w:val="nil"/>
              <w:bottom w:val="nil"/>
              <w:right w:val="single" w:sz="4" w:space="0" w:color="auto"/>
            </w:tcBorders>
            <w:shd w:val="clear" w:color="auto" w:fill="auto"/>
            <w:noWrap/>
            <w:vAlign w:val="bottom"/>
            <w:hideMark/>
          </w:tcPr>
          <w:p w:rsidR="000E2F33" w:rsidRPr="000E2F33" w:rsidRDefault="000E2F33" w:rsidP="000E2F33">
            <w:pPr>
              <w:spacing w:after="0" w:line="240" w:lineRule="auto"/>
              <w:jc w:val="center"/>
              <w:rPr>
                <w:rFonts w:ascii="Calibri" w:eastAsia="Times New Roman" w:hAnsi="Calibri" w:cs="Times New Roman"/>
                <w:i/>
                <w:iCs/>
                <w:color w:val="000000"/>
                <w:lang w:val="de-DE" w:eastAsia="de-DE"/>
              </w:rPr>
            </w:pPr>
            <w:r w:rsidRPr="000E2F33">
              <w:rPr>
                <w:rFonts w:ascii="Calibri" w:eastAsia="Times New Roman" w:hAnsi="Calibri" w:cs="Times New Roman"/>
                <w:i/>
                <w:iCs/>
                <w:color w:val="000000"/>
                <w:lang w:val="de-DE" w:eastAsia="de-DE"/>
              </w:rPr>
              <w:t>Go</w:t>
            </w:r>
          </w:p>
        </w:tc>
      </w:tr>
      <w:tr w:rsidR="000E2F33" w:rsidRPr="000E2F33" w:rsidTr="00B626F7">
        <w:trPr>
          <w:trHeight w:val="300"/>
          <w:jc w:val="center"/>
        </w:trPr>
        <w:tc>
          <w:tcPr>
            <w:tcW w:w="2800" w:type="dxa"/>
            <w:tcBorders>
              <w:top w:val="nil"/>
              <w:left w:val="single" w:sz="4" w:space="0" w:color="auto"/>
              <w:bottom w:val="nil"/>
              <w:right w:val="single" w:sz="4" w:space="0" w:color="auto"/>
            </w:tcBorders>
            <w:shd w:val="clear" w:color="000000" w:fill="D9D9D9"/>
            <w:noWrap/>
            <w:vAlign w:val="bottom"/>
            <w:hideMark/>
          </w:tcPr>
          <w:p w:rsidR="000E2F33" w:rsidRPr="000E2F33" w:rsidRDefault="000E2F33" w:rsidP="000E2F33">
            <w:pPr>
              <w:spacing w:after="0" w:line="240" w:lineRule="auto"/>
              <w:rPr>
                <w:rFonts w:ascii="Calibri" w:eastAsia="Times New Roman" w:hAnsi="Calibri" w:cs="Times New Roman"/>
                <w:color w:val="000000"/>
                <w:lang w:val="de-DE" w:eastAsia="de-DE"/>
              </w:rPr>
            </w:pPr>
            <w:r w:rsidRPr="000E2F33">
              <w:rPr>
                <w:rFonts w:ascii="Calibri" w:eastAsia="Times New Roman" w:hAnsi="Calibri" w:cs="Times New Roman"/>
                <w:color w:val="000000"/>
                <w:lang w:val="de-DE" w:eastAsia="de-DE"/>
              </w:rPr>
              <w:t>Unknown 23</w:t>
            </w:r>
          </w:p>
        </w:tc>
        <w:tc>
          <w:tcPr>
            <w:tcW w:w="3720" w:type="dxa"/>
            <w:tcBorders>
              <w:top w:val="nil"/>
              <w:left w:val="nil"/>
              <w:bottom w:val="nil"/>
              <w:right w:val="single" w:sz="4" w:space="0" w:color="auto"/>
            </w:tcBorders>
            <w:shd w:val="clear" w:color="000000" w:fill="D9D9D9"/>
            <w:noWrap/>
            <w:vAlign w:val="center"/>
            <w:hideMark/>
          </w:tcPr>
          <w:p w:rsidR="000E2F33" w:rsidRPr="000E2F33" w:rsidRDefault="000E2F33" w:rsidP="000E2F33">
            <w:pPr>
              <w:spacing w:after="0" w:line="240" w:lineRule="auto"/>
              <w:rPr>
                <w:rFonts w:ascii="Calibri" w:eastAsia="Times New Roman" w:hAnsi="Calibri" w:cs="Times New Roman"/>
                <w:color w:val="000000"/>
                <w:lang w:val="de-DE" w:eastAsia="de-DE"/>
              </w:rPr>
            </w:pPr>
            <w:r w:rsidRPr="000E2F33">
              <w:rPr>
                <w:rFonts w:ascii="Calibri" w:eastAsia="Times New Roman" w:hAnsi="Calibri" w:cs="Times New Roman"/>
                <w:color w:val="000000"/>
                <w:lang w:val="de-DE" w:eastAsia="de-DE"/>
              </w:rPr>
              <w:t>73, 473,</w:t>
            </w:r>
            <w:r w:rsidRPr="000E2F33">
              <w:rPr>
                <w:rFonts w:ascii="Calibri" w:eastAsia="Times New Roman" w:hAnsi="Calibri" w:cs="Times New Roman"/>
                <w:b/>
                <w:bCs/>
                <w:color w:val="000000"/>
                <w:lang w:val="de-DE" w:eastAsia="de-DE"/>
              </w:rPr>
              <w:t xml:space="preserve"> 488</w:t>
            </w:r>
          </w:p>
        </w:tc>
        <w:tc>
          <w:tcPr>
            <w:tcW w:w="860" w:type="dxa"/>
            <w:tcBorders>
              <w:top w:val="nil"/>
              <w:left w:val="nil"/>
              <w:bottom w:val="nil"/>
              <w:right w:val="single" w:sz="4" w:space="0" w:color="auto"/>
            </w:tcBorders>
            <w:shd w:val="clear" w:color="000000" w:fill="D9D9D9"/>
            <w:noWrap/>
            <w:vAlign w:val="bottom"/>
            <w:hideMark/>
          </w:tcPr>
          <w:p w:rsidR="000E2F33" w:rsidRPr="000E2F33" w:rsidRDefault="000E2F33" w:rsidP="000E2F33">
            <w:pPr>
              <w:spacing w:after="0" w:line="240" w:lineRule="auto"/>
              <w:jc w:val="center"/>
              <w:rPr>
                <w:rFonts w:ascii="Calibri" w:eastAsia="Times New Roman" w:hAnsi="Calibri" w:cs="Times New Roman"/>
                <w:color w:val="000000"/>
                <w:lang w:val="de-DE" w:eastAsia="de-DE"/>
              </w:rPr>
            </w:pPr>
            <w:r w:rsidRPr="000E2F33">
              <w:rPr>
                <w:rFonts w:ascii="Calibri" w:eastAsia="Times New Roman" w:hAnsi="Calibri" w:cs="Times New Roman"/>
                <w:color w:val="000000"/>
                <w:lang w:val="de-DE" w:eastAsia="de-DE"/>
              </w:rPr>
              <w:t>488</w:t>
            </w:r>
          </w:p>
        </w:tc>
        <w:tc>
          <w:tcPr>
            <w:tcW w:w="2160" w:type="dxa"/>
            <w:tcBorders>
              <w:top w:val="nil"/>
              <w:left w:val="nil"/>
              <w:bottom w:val="nil"/>
              <w:right w:val="single" w:sz="4" w:space="0" w:color="auto"/>
            </w:tcBorders>
            <w:shd w:val="clear" w:color="000000" w:fill="D9D9D9"/>
            <w:noWrap/>
            <w:vAlign w:val="bottom"/>
            <w:hideMark/>
          </w:tcPr>
          <w:p w:rsidR="000E2F33" w:rsidRPr="000E2F33" w:rsidRDefault="000E2F33" w:rsidP="000E2F33">
            <w:pPr>
              <w:spacing w:after="0" w:line="240" w:lineRule="auto"/>
              <w:jc w:val="center"/>
              <w:rPr>
                <w:rFonts w:ascii="Calibri" w:eastAsia="Times New Roman" w:hAnsi="Calibri" w:cs="Times New Roman"/>
                <w:color w:val="000000"/>
                <w:lang w:val="de-DE" w:eastAsia="de-DE"/>
              </w:rPr>
            </w:pPr>
            <w:r w:rsidRPr="000E2F33">
              <w:rPr>
                <w:rFonts w:ascii="Calibri" w:eastAsia="Times New Roman" w:hAnsi="Calibri" w:cs="Times New Roman"/>
                <w:color w:val="000000"/>
                <w:lang w:val="de-DE" w:eastAsia="de-DE"/>
              </w:rPr>
              <w:t>30.69</w:t>
            </w:r>
          </w:p>
        </w:tc>
        <w:tc>
          <w:tcPr>
            <w:tcW w:w="1440" w:type="dxa"/>
            <w:tcBorders>
              <w:top w:val="nil"/>
              <w:left w:val="nil"/>
              <w:bottom w:val="nil"/>
              <w:right w:val="single" w:sz="4" w:space="0" w:color="auto"/>
            </w:tcBorders>
            <w:shd w:val="clear" w:color="000000" w:fill="D9D9D9"/>
            <w:noWrap/>
            <w:vAlign w:val="bottom"/>
            <w:hideMark/>
          </w:tcPr>
          <w:p w:rsidR="000E2F33" w:rsidRPr="000E2F33" w:rsidRDefault="000E2F33" w:rsidP="000E2F33">
            <w:pPr>
              <w:spacing w:after="0" w:line="240" w:lineRule="auto"/>
              <w:jc w:val="center"/>
              <w:rPr>
                <w:rFonts w:ascii="Calibri" w:eastAsia="Times New Roman" w:hAnsi="Calibri" w:cs="Times New Roman"/>
                <w:i/>
                <w:iCs/>
                <w:color w:val="000000"/>
                <w:lang w:val="de-DE" w:eastAsia="de-DE"/>
              </w:rPr>
            </w:pPr>
            <w:r w:rsidRPr="000E2F33">
              <w:rPr>
                <w:rFonts w:ascii="Calibri" w:eastAsia="Times New Roman" w:hAnsi="Calibri" w:cs="Times New Roman"/>
                <w:i/>
                <w:iCs/>
                <w:color w:val="000000"/>
                <w:lang w:val="de-DE" w:eastAsia="de-DE"/>
              </w:rPr>
              <w:t>Go</w:t>
            </w:r>
          </w:p>
        </w:tc>
      </w:tr>
      <w:tr w:rsidR="000E2F33" w:rsidRPr="000E2F33" w:rsidTr="00B626F7">
        <w:trPr>
          <w:trHeight w:val="300"/>
          <w:jc w:val="center"/>
        </w:trPr>
        <w:tc>
          <w:tcPr>
            <w:tcW w:w="2800" w:type="dxa"/>
            <w:tcBorders>
              <w:top w:val="nil"/>
              <w:left w:val="single" w:sz="4" w:space="0" w:color="auto"/>
              <w:bottom w:val="nil"/>
              <w:right w:val="single" w:sz="4" w:space="0" w:color="auto"/>
            </w:tcBorders>
            <w:shd w:val="clear" w:color="auto" w:fill="auto"/>
            <w:noWrap/>
            <w:vAlign w:val="bottom"/>
            <w:hideMark/>
          </w:tcPr>
          <w:p w:rsidR="000E2F33" w:rsidRPr="000E2F33" w:rsidRDefault="000E2F33" w:rsidP="000E2F33">
            <w:pPr>
              <w:spacing w:after="0" w:line="240" w:lineRule="auto"/>
              <w:rPr>
                <w:rFonts w:ascii="Calibri" w:eastAsia="Times New Roman" w:hAnsi="Calibri" w:cs="Times New Roman"/>
                <w:color w:val="000000"/>
                <w:lang w:val="de-DE" w:eastAsia="de-DE"/>
              </w:rPr>
            </w:pPr>
            <w:r w:rsidRPr="000E2F33">
              <w:rPr>
                <w:rFonts w:ascii="Calibri" w:eastAsia="Times New Roman" w:hAnsi="Calibri" w:cs="Times New Roman"/>
                <w:color w:val="000000"/>
                <w:lang w:val="de-DE" w:eastAsia="de-DE"/>
              </w:rPr>
              <w:t>Unknown 24</w:t>
            </w:r>
          </w:p>
        </w:tc>
        <w:tc>
          <w:tcPr>
            <w:tcW w:w="3720" w:type="dxa"/>
            <w:tcBorders>
              <w:top w:val="nil"/>
              <w:left w:val="nil"/>
              <w:bottom w:val="nil"/>
              <w:right w:val="single" w:sz="4" w:space="0" w:color="auto"/>
            </w:tcBorders>
            <w:shd w:val="clear" w:color="auto" w:fill="auto"/>
            <w:noWrap/>
            <w:vAlign w:val="center"/>
            <w:hideMark/>
          </w:tcPr>
          <w:p w:rsidR="000E2F33" w:rsidRPr="000E2F33" w:rsidRDefault="000E2F33" w:rsidP="000E2F33">
            <w:pPr>
              <w:spacing w:after="0" w:line="240" w:lineRule="auto"/>
              <w:rPr>
                <w:rFonts w:ascii="Calibri" w:eastAsia="Times New Roman" w:hAnsi="Calibri" w:cs="Times New Roman"/>
                <w:color w:val="000000"/>
                <w:lang w:val="de-DE" w:eastAsia="de-DE"/>
              </w:rPr>
            </w:pPr>
            <w:r w:rsidRPr="000E2F33">
              <w:rPr>
                <w:rFonts w:ascii="Calibri" w:eastAsia="Times New Roman" w:hAnsi="Calibri" w:cs="Times New Roman"/>
                <w:color w:val="000000"/>
                <w:lang w:val="de-DE" w:eastAsia="de-DE"/>
              </w:rPr>
              <w:t>53, 59, 85, 113</w:t>
            </w:r>
          </w:p>
        </w:tc>
        <w:tc>
          <w:tcPr>
            <w:tcW w:w="860" w:type="dxa"/>
            <w:tcBorders>
              <w:top w:val="nil"/>
              <w:left w:val="nil"/>
              <w:bottom w:val="nil"/>
              <w:right w:val="single" w:sz="4" w:space="0" w:color="auto"/>
            </w:tcBorders>
            <w:shd w:val="clear" w:color="auto" w:fill="auto"/>
            <w:noWrap/>
            <w:vAlign w:val="bottom"/>
            <w:hideMark/>
          </w:tcPr>
          <w:p w:rsidR="000E2F33" w:rsidRPr="000E2F33" w:rsidRDefault="000E2F33" w:rsidP="000E2F33">
            <w:pPr>
              <w:spacing w:after="0" w:line="240" w:lineRule="auto"/>
              <w:jc w:val="center"/>
              <w:rPr>
                <w:rFonts w:ascii="Calibri" w:eastAsia="Times New Roman" w:hAnsi="Calibri" w:cs="Times New Roman"/>
                <w:color w:val="000000"/>
                <w:lang w:val="de-DE" w:eastAsia="de-DE"/>
              </w:rPr>
            </w:pPr>
            <w:r w:rsidRPr="000E2F33">
              <w:rPr>
                <w:rFonts w:ascii="Calibri" w:eastAsia="Times New Roman" w:hAnsi="Calibri" w:cs="Times New Roman"/>
                <w:color w:val="000000"/>
                <w:lang w:val="de-DE" w:eastAsia="de-DE"/>
              </w:rPr>
              <w:t>113</w:t>
            </w:r>
          </w:p>
        </w:tc>
        <w:tc>
          <w:tcPr>
            <w:tcW w:w="2160" w:type="dxa"/>
            <w:tcBorders>
              <w:top w:val="nil"/>
              <w:left w:val="nil"/>
              <w:bottom w:val="nil"/>
              <w:right w:val="single" w:sz="4" w:space="0" w:color="auto"/>
            </w:tcBorders>
            <w:shd w:val="clear" w:color="auto" w:fill="auto"/>
            <w:noWrap/>
            <w:vAlign w:val="bottom"/>
            <w:hideMark/>
          </w:tcPr>
          <w:p w:rsidR="000E2F33" w:rsidRPr="000E2F33" w:rsidRDefault="000E2F33" w:rsidP="000E2F33">
            <w:pPr>
              <w:spacing w:after="0" w:line="240" w:lineRule="auto"/>
              <w:jc w:val="center"/>
              <w:rPr>
                <w:rFonts w:ascii="Calibri" w:eastAsia="Times New Roman" w:hAnsi="Calibri" w:cs="Times New Roman"/>
                <w:color w:val="000000"/>
                <w:lang w:val="de-DE" w:eastAsia="de-DE"/>
              </w:rPr>
            </w:pPr>
            <w:r w:rsidRPr="000E2F33">
              <w:rPr>
                <w:rFonts w:ascii="Calibri" w:eastAsia="Times New Roman" w:hAnsi="Calibri" w:cs="Times New Roman"/>
                <w:color w:val="000000"/>
                <w:lang w:val="de-DE" w:eastAsia="de-DE"/>
              </w:rPr>
              <w:t>6.9</w:t>
            </w:r>
          </w:p>
        </w:tc>
        <w:tc>
          <w:tcPr>
            <w:tcW w:w="1440" w:type="dxa"/>
            <w:tcBorders>
              <w:top w:val="nil"/>
              <w:left w:val="nil"/>
              <w:bottom w:val="nil"/>
              <w:right w:val="single" w:sz="4" w:space="0" w:color="auto"/>
            </w:tcBorders>
            <w:shd w:val="clear" w:color="auto" w:fill="auto"/>
            <w:noWrap/>
            <w:vAlign w:val="bottom"/>
            <w:hideMark/>
          </w:tcPr>
          <w:p w:rsidR="000E2F33" w:rsidRPr="000E2F33" w:rsidRDefault="000E2F33" w:rsidP="000E2F33">
            <w:pPr>
              <w:spacing w:after="0" w:line="240" w:lineRule="auto"/>
              <w:jc w:val="center"/>
              <w:rPr>
                <w:rFonts w:ascii="Calibri" w:eastAsia="Times New Roman" w:hAnsi="Calibri" w:cs="Times New Roman"/>
                <w:i/>
                <w:iCs/>
                <w:color w:val="000000"/>
                <w:lang w:val="de-DE" w:eastAsia="de-DE"/>
              </w:rPr>
            </w:pPr>
            <w:r w:rsidRPr="000E2F33">
              <w:rPr>
                <w:rFonts w:ascii="Calibri" w:eastAsia="Times New Roman" w:hAnsi="Calibri" w:cs="Times New Roman"/>
                <w:i/>
                <w:iCs/>
                <w:color w:val="000000"/>
                <w:lang w:val="de-DE" w:eastAsia="de-DE"/>
              </w:rPr>
              <w:t>Hpa</w:t>
            </w:r>
          </w:p>
        </w:tc>
      </w:tr>
      <w:tr w:rsidR="000E2F33" w:rsidRPr="000E2F33" w:rsidTr="00B626F7">
        <w:trPr>
          <w:trHeight w:val="300"/>
          <w:jc w:val="center"/>
        </w:trPr>
        <w:tc>
          <w:tcPr>
            <w:tcW w:w="2800" w:type="dxa"/>
            <w:tcBorders>
              <w:top w:val="nil"/>
              <w:left w:val="single" w:sz="4" w:space="0" w:color="auto"/>
              <w:bottom w:val="nil"/>
              <w:right w:val="single" w:sz="4" w:space="0" w:color="auto"/>
            </w:tcBorders>
            <w:shd w:val="clear" w:color="000000" w:fill="D9D9D9"/>
            <w:noWrap/>
            <w:vAlign w:val="bottom"/>
            <w:hideMark/>
          </w:tcPr>
          <w:p w:rsidR="000E2F33" w:rsidRPr="000E2F33" w:rsidRDefault="000E2F33" w:rsidP="000E2F33">
            <w:pPr>
              <w:spacing w:after="0" w:line="240" w:lineRule="auto"/>
              <w:rPr>
                <w:rFonts w:ascii="Calibri" w:eastAsia="Times New Roman" w:hAnsi="Calibri" w:cs="Times New Roman"/>
                <w:color w:val="000000"/>
                <w:lang w:val="de-DE" w:eastAsia="de-DE"/>
              </w:rPr>
            </w:pPr>
            <w:r w:rsidRPr="000E2F33">
              <w:rPr>
                <w:rFonts w:ascii="Calibri" w:eastAsia="Times New Roman" w:hAnsi="Calibri" w:cs="Times New Roman"/>
                <w:color w:val="000000"/>
                <w:lang w:val="de-DE" w:eastAsia="de-DE"/>
              </w:rPr>
              <w:t>Unknown 25</w:t>
            </w:r>
          </w:p>
        </w:tc>
        <w:tc>
          <w:tcPr>
            <w:tcW w:w="3720" w:type="dxa"/>
            <w:tcBorders>
              <w:top w:val="nil"/>
              <w:left w:val="nil"/>
              <w:bottom w:val="nil"/>
              <w:right w:val="single" w:sz="4" w:space="0" w:color="auto"/>
            </w:tcBorders>
            <w:shd w:val="clear" w:color="000000" w:fill="D9D9D9"/>
            <w:noWrap/>
            <w:vAlign w:val="center"/>
            <w:hideMark/>
          </w:tcPr>
          <w:p w:rsidR="000E2F33" w:rsidRPr="000E2F33" w:rsidRDefault="000E2F33" w:rsidP="000E2F33">
            <w:pPr>
              <w:spacing w:after="0" w:line="240" w:lineRule="auto"/>
              <w:rPr>
                <w:rFonts w:ascii="Calibri" w:eastAsia="Times New Roman" w:hAnsi="Calibri" w:cs="Times New Roman"/>
                <w:color w:val="000000"/>
                <w:lang w:val="de-DE" w:eastAsia="de-DE"/>
              </w:rPr>
            </w:pPr>
            <w:r w:rsidRPr="000E2F33">
              <w:rPr>
                <w:rFonts w:ascii="Calibri" w:eastAsia="Times New Roman" w:hAnsi="Calibri" w:cs="Times New Roman"/>
                <w:color w:val="000000"/>
                <w:lang w:val="de-DE" w:eastAsia="de-DE"/>
              </w:rPr>
              <w:t>73, 75, 103, 119, 121,161</w:t>
            </w:r>
          </w:p>
        </w:tc>
        <w:tc>
          <w:tcPr>
            <w:tcW w:w="860" w:type="dxa"/>
            <w:tcBorders>
              <w:top w:val="nil"/>
              <w:left w:val="nil"/>
              <w:bottom w:val="nil"/>
              <w:right w:val="single" w:sz="4" w:space="0" w:color="auto"/>
            </w:tcBorders>
            <w:shd w:val="clear" w:color="000000" w:fill="D9D9D9"/>
            <w:noWrap/>
            <w:vAlign w:val="bottom"/>
            <w:hideMark/>
          </w:tcPr>
          <w:p w:rsidR="000E2F33" w:rsidRPr="000E2F33" w:rsidRDefault="000E2F33" w:rsidP="000E2F33">
            <w:pPr>
              <w:spacing w:after="0" w:line="240" w:lineRule="auto"/>
              <w:jc w:val="center"/>
              <w:rPr>
                <w:rFonts w:ascii="Calibri" w:eastAsia="Times New Roman" w:hAnsi="Calibri" w:cs="Times New Roman"/>
                <w:color w:val="000000"/>
                <w:lang w:val="de-DE" w:eastAsia="de-DE"/>
              </w:rPr>
            </w:pPr>
            <w:r w:rsidRPr="000E2F33">
              <w:rPr>
                <w:rFonts w:ascii="Calibri" w:eastAsia="Times New Roman" w:hAnsi="Calibri" w:cs="Times New Roman"/>
                <w:color w:val="000000"/>
                <w:lang w:val="de-DE" w:eastAsia="de-DE"/>
              </w:rPr>
              <w:t>161</w:t>
            </w:r>
          </w:p>
        </w:tc>
        <w:tc>
          <w:tcPr>
            <w:tcW w:w="2160" w:type="dxa"/>
            <w:tcBorders>
              <w:top w:val="nil"/>
              <w:left w:val="nil"/>
              <w:bottom w:val="nil"/>
              <w:right w:val="single" w:sz="4" w:space="0" w:color="auto"/>
            </w:tcBorders>
            <w:shd w:val="clear" w:color="000000" w:fill="D9D9D9"/>
            <w:noWrap/>
            <w:vAlign w:val="bottom"/>
            <w:hideMark/>
          </w:tcPr>
          <w:p w:rsidR="000E2F33" w:rsidRPr="000E2F33" w:rsidRDefault="000E2F33" w:rsidP="000E2F33">
            <w:pPr>
              <w:spacing w:after="0" w:line="240" w:lineRule="auto"/>
              <w:jc w:val="center"/>
              <w:rPr>
                <w:rFonts w:ascii="Calibri" w:eastAsia="Times New Roman" w:hAnsi="Calibri" w:cs="Times New Roman"/>
                <w:color w:val="000000"/>
                <w:lang w:val="de-DE" w:eastAsia="de-DE"/>
              </w:rPr>
            </w:pPr>
            <w:r w:rsidRPr="000E2F33">
              <w:rPr>
                <w:rFonts w:ascii="Calibri" w:eastAsia="Times New Roman" w:hAnsi="Calibri" w:cs="Times New Roman"/>
                <w:color w:val="000000"/>
                <w:lang w:val="de-DE" w:eastAsia="de-DE"/>
              </w:rPr>
              <w:t>9.58</w:t>
            </w:r>
          </w:p>
        </w:tc>
        <w:tc>
          <w:tcPr>
            <w:tcW w:w="1440" w:type="dxa"/>
            <w:tcBorders>
              <w:top w:val="nil"/>
              <w:left w:val="nil"/>
              <w:bottom w:val="nil"/>
              <w:right w:val="single" w:sz="4" w:space="0" w:color="auto"/>
            </w:tcBorders>
            <w:shd w:val="clear" w:color="000000" w:fill="D9D9D9"/>
            <w:noWrap/>
            <w:vAlign w:val="bottom"/>
            <w:hideMark/>
          </w:tcPr>
          <w:p w:rsidR="000E2F33" w:rsidRPr="000E2F33" w:rsidRDefault="000E2F33" w:rsidP="000E2F33">
            <w:pPr>
              <w:spacing w:after="0" w:line="240" w:lineRule="auto"/>
              <w:jc w:val="center"/>
              <w:rPr>
                <w:rFonts w:ascii="Calibri" w:eastAsia="Times New Roman" w:hAnsi="Calibri" w:cs="Times New Roman"/>
                <w:i/>
                <w:iCs/>
                <w:color w:val="000000"/>
                <w:lang w:val="de-DE" w:eastAsia="de-DE"/>
              </w:rPr>
            </w:pPr>
            <w:r w:rsidRPr="000E2F33">
              <w:rPr>
                <w:rFonts w:ascii="Calibri" w:eastAsia="Times New Roman" w:hAnsi="Calibri" w:cs="Times New Roman"/>
                <w:i/>
                <w:iCs/>
                <w:color w:val="000000"/>
                <w:lang w:val="de-DE" w:eastAsia="de-DE"/>
              </w:rPr>
              <w:t>Hpa</w:t>
            </w:r>
          </w:p>
        </w:tc>
      </w:tr>
      <w:tr w:rsidR="000E2F33" w:rsidRPr="000E2F33" w:rsidTr="00B626F7">
        <w:trPr>
          <w:trHeight w:val="300"/>
          <w:jc w:val="center"/>
        </w:trPr>
        <w:tc>
          <w:tcPr>
            <w:tcW w:w="2800" w:type="dxa"/>
            <w:tcBorders>
              <w:top w:val="nil"/>
              <w:left w:val="single" w:sz="4" w:space="0" w:color="auto"/>
              <w:bottom w:val="nil"/>
              <w:right w:val="single" w:sz="4" w:space="0" w:color="auto"/>
            </w:tcBorders>
            <w:shd w:val="clear" w:color="auto" w:fill="auto"/>
            <w:noWrap/>
            <w:vAlign w:val="bottom"/>
            <w:hideMark/>
          </w:tcPr>
          <w:p w:rsidR="000E2F33" w:rsidRPr="000E2F33" w:rsidRDefault="000E2F33" w:rsidP="000E2F33">
            <w:pPr>
              <w:spacing w:after="0" w:line="240" w:lineRule="auto"/>
              <w:rPr>
                <w:rFonts w:ascii="Calibri" w:eastAsia="Times New Roman" w:hAnsi="Calibri" w:cs="Times New Roman"/>
                <w:color w:val="000000"/>
                <w:lang w:val="de-DE" w:eastAsia="de-DE"/>
              </w:rPr>
            </w:pPr>
            <w:r w:rsidRPr="000E2F33">
              <w:rPr>
                <w:rFonts w:ascii="Calibri" w:eastAsia="Times New Roman" w:hAnsi="Calibri" w:cs="Times New Roman"/>
                <w:color w:val="000000"/>
                <w:lang w:val="de-DE" w:eastAsia="de-DE"/>
              </w:rPr>
              <w:t>Unknown 26</w:t>
            </w:r>
          </w:p>
        </w:tc>
        <w:tc>
          <w:tcPr>
            <w:tcW w:w="3720" w:type="dxa"/>
            <w:tcBorders>
              <w:top w:val="nil"/>
              <w:left w:val="nil"/>
              <w:bottom w:val="nil"/>
              <w:right w:val="single" w:sz="4" w:space="0" w:color="auto"/>
            </w:tcBorders>
            <w:shd w:val="clear" w:color="auto" w:fill="auto"/>
            <w:noWrap/>
            <w:vAlign w:val="center"/>
            <w:hideMark/>
          </w:tcPr>
          <w:p w:rsidR="000E2F33" w:rsidRPr="000E2F33" w:rsidRDefault="000E2F33" w:rsidP="000E2F33">
            <w:pPr>
              <w:spacing w:after="0" w:line="240" w:lineRule="auto"/>
              <w:rPr>
                <w:rFonts w:ascii="Calibri" w:eastAsia="Times New Roman" w:hAnsi="Calibri" w:cs="Times New Roman"/>
                <w:color w:val="000000"/>
                <w:lang w:val="de-DE" w:eastAsia="de-DE"/>
              </w:rPr>
            </w:pPr>
            <w:r w:rsidRPr="000E2F33">
              <w:rPr>
                <w:rFonts w:ascii="Calibri" w:eastAsia="Times New Roman" w:hAnsi="Calibri" w:cs="Times New Roman"/>
                <w:color w:val="000000"/>
                <w:lang w:val="de-DE" w:eastAsia="de-DE"/>
              </w:rPr>
              <w:t>84</w:t>
            </w:r>
          </w:p>
        </w:tc>
        <w:tc>
          <w:tcPr>
            <w:tcW w:w="860" w:type="dxa"/>
            <w:tcBorders>
              <w:top w:val="nil"/>
              <w:left w:val="nil"/>
              <w:bottom w:val="nil"/>
              <w:right w:val="single" w:sz="4" w:space="0" w:color="auto"/>
            </w:tcBorders>
            <w:shd w:val="clear" w:color="auto" w:fill="auto"/>
            <w:noWrap/>
            <w:vAlign w:val="bottom"/>
            <w:hideMark/>
          </w:tcPr>
          <w:p w:rsidR="000E2F33" w:rsidRPr="000E2F33" w:rsidRDefault="000E2F33" w:rsidP="000E2F33">
            <w:pPr>
              <w:spacing w:after="0" w:line="240" w:lineRule="auto"/>
              <w:jc w:val="center"/>
              <w:rPr>
                <w:rFonts w:ascii="Calibri" w:eastAsia="Times New Roman" w:hAnsi="Calibri" w:cs="Times New Roman"/>
                <w:color w:val="000000"/>
                <w:lang w:val="de-DE" w:eastAsia="de-DE"/>
              </w:rPr>
            </w:pPr>
            <w:r w:rsidRPr="000E2F33">
              <w:rPr>
                <w:rFonts w:ascii="Calibri" w:eastAsia="Times New Roman" w:hAnsi="Calibri" w:cs="Times New Roman"/>
                <w:color w:val="000000"/>
                <w:lang w:val="de-DE" w:eastAsia="de-DE"/>
              </w:rPr>
              <w:t>84</w:t>
            </w:r>
          </w:p>
        </w:tc>
        <w:tc>
          <w:tcPr>
            <w:tcW w:w="2160" w:type="dxa"/>
            <w:tcBorders>
              <w:top w:val="nil"/>
              <w:left w:val="nil"/>
              <w:bottom w:val="nil"/>
              <w:right w:val="single" w:sz="4" w:space="0" w:color="auto"/>
            </w:tcBorders>
            <w:shd w:val="clear" w:color="auto" w:fill="auto"/>
            <w:noWrap/>
            <w:vAlign w:val="bottom"/>
            <w:hideMark/>
          </w:tcPr>
          <w:p w:rsidR="000E2F33" w:rsidRPr="000E2F33" w:rsidRDefault="000E2F33" w:rsidP="000E2F33">
            <w:pPr>
              <w:spacing w:after="0" w:line="240" w:lineRule="auto"/>
              <w:jc w:val="center"/>
              <w:rPr>
                <w:rFonts w:ascii="Calibri" w:eastAsia="Times New Roman" w:hAnsi="Calibri" w:cs="Times New Roman"/>
                <w:color w:val="000000"/>
                <w:lang w:val="de-DE" w:eastAsia="de-DE"/>
              </w:rPr>
            </w:pPr>
            <w:r w:rsidRPr="000E2F33">
              <w:rPr>
                <w:rFonts w:ascii="Calibri" w:eastAsia="Times New Roman" w:hAnsi="Calibri" w:cs="Times New Roman"/>
                <w:color w:val="000000"/>
                <w:lang w:val="de-DE" w:eastAsia="de-DE"/>
              </w:rPr>
              <w:t>14.5</w:t>
            </w:r>
          </w:p>
        </w:tc>
        <w:tc>
          <w:tcPr>
            <w:tcW w:w="1440" w:type="dxa"/>
            <w:tcBorders>
              <w:top w:val="nil"/>
              <w:left w:val="nil"/>
              <w:bottom w:val="nil"/>
              <w:right w:val="single" w:sz="4" w:space="0" w:color="auto"/>
            </w:tcBorders>
            <w:shd w:val="clear" w:color="auto" w:fill="auto"/>
            <w:noWrap/>
            <w:vAlign w:val="bottom"/>
            <w:hideMark/>
          </w:tcPr>
          <w:p w:rsidR="000E2F33" w:rsidRPr="000E2F33" w:rsidRDefault="000E2F33" w:rsidP="000E2F33">
            <w:pPr>
              <w:spacing w:after="0" w:line="240" w:lineRule="auto"/>
              <w:jc w:val="center"/>
              <w:rPr>
                <w:rFonts w:ascii="Calibri" w:eastAsia="Times New Roman" w:hAnsi="Calibri" w:cs="Times New Roman"/>
                <w:i/>
                <w:iCs/>
                <w:color w:val="000000"/>
                <w:lang w:val="de-DE" w:eastAsia="de-DE"/>
              </w:rPr>
            </w:pPr>
            <w:r w:rsidRPr="000E2F33">
              <w:rPr>
                <w:rFonts w:ascii="Calibri" w:eastAsia="Times New Roman" w:hAnsi="Calibri" w:cs="Times New Roman"/>
                <w:i/>
                <w:iCs/>
                <w:color w:val="000000"/>
                <w:lang w:val="de-DE" w:eastAsia="de-DE"/>
              </w:rPr>
              <w:t>Hpa</w:t>
            </w:r>
          </w:p>
        </w:tc>
      </w:tr>
      <w:tr w:rsidR="000E2F33" w:rsidRPr="000E2F33" w:rsidTr="00B626F7">
        <w:trPr>
          <w:trHeight w:val="300"/>
          <w:jc w:val="center"/>
        </w:trPr>
        <w:tc>
          <w:tcPr>
            <w:tcW w:w="2800" w:type="dxa"/>
            <w:tcBorders>
              <w:top w:val="nil"/>
              <w:left w:val="single" w:sz="4" w:space="0" w:color="auto"/>
              <w:bottom w:val="nil"/>
              <w:right w:val="single" w:sz="4" w:space="0" w:color="auto"/>
            </w:tcBorders>
            <w:shd w:val="clear" w:color="000000" w:fill="D9D9D9"/>
            <w:noWrap/>
            <w:vAlign w:val="bottom"/>
            <w:hideMark/>
          </w:tcPr>
          <w:p w:rsidR="000E2F33" w:rsidRPr="000E2F33" w:rsidRDefault="000E2F33" w:rsidP="000E2F33">
            <w:pPr>
              <w:spacing w:after="0" w:line="240" w:lineRule="auto"/>
              <w:rPr>
                <w:rFonts w:ascii="Calibri" w:eastAsia="Times New Roman" w:hAnsi="Calibri" w:cs="Times New Roman"/>
                <w:color w:val="000000"/>
                <w:lang w:val="de-DE" w:eastAsia="de-DE"/>
              </w:rPr>
            </w:pPr>
            <w:r w:rsidRPr="000E2F33">
              <w:rPr>
                <w:rFonts w:ascii="Calibri" w:eastAsia="Times New Roman" w:hAnsi="Calibri" w:cs="Times New Roman"/>
                <w:color w:val="000000"/>
                <w:lang w:val="de-DE" w:eastAsia="de-DE"/>
              </w:rPr>
              <w:t>Unknown 27</w:t>
            </w:r>
          </w:p>
        </w:tc>
        <w:tc>
          <w:tcPr>
            <w:tcW w:w="3720" w:type="dxa"/>
            <w:tcBorders>
              <w:top w:val="nil"/>
              <w:left w:val="nil"/>
              <w:bottom w:val="nil"/>
              <w:right w:val="single" w:sz="4" w:space="0" w:color="auto"/>
            </w:tcBorders>
            <w:shd w:val="clear" w:color="000000" w:fill="D9D9D9"/>
            <w:noWrap/>
            <w:vAlign w:val="center"/>
            <w:hideMark/>
          </w:tcPr>
          <w:p w:rsidR="000E2F33" w:rsidRPr="000E2F33" w:rsidRDefault="000E2F33" w:rsidP="000E2F33">
            <w:pPr>
              <w:spacing w:after="0" w:line="240" w:lineRule="auto"/>
              <w:rPr>
                <w:rFonts w:ascii="Calibri" w:eastAsia="Times New Roman" w:hAnsi="Calibri" w:cs="Times New Roman"/>
                <w:color w:val="000000"/>
                <w:lang w:val="de-DE" w:eastAsia="de-DE"/>
              </w:rPr>
            </w:pPr>
            <w:r w:rsidRPr="000E2F33">
              <w:rPr>
                <w:rFonts w:ascii="Calibri" w:eastAsia="Times New Roman" w:hAnsi="Calibri" w:cs="Times New Roman"/>
                <w:color w:val="000000"/>
                <w:lang w:val="de-DE" w:eastAsia="de-DE"/>
              </w:rPr>
              <w:t>55,67,72,122,136</w:t>
            </w:r>
          </w:p>
        </w:tc>
        <w:tc>
          <w:tcPr>
            <w:tcW w:w="860" w:type="dxa"/>
            <w:tcBorders>
              <w:top w:val="nil"/>
              <w:left w:val="nil"/>
              <w:bottom w:val="nil"/>
              <w:right w:val="single" w:sz="4" w:space="0" w:color="auto"/>
            </w:tcBorders>
            <w:shd w:val="clear" w:color="000000" w:fill="D9D9D9"/>
            <w:noWrap/>
            <w:vAlign w:val="bottom"/>
            <w:hideMark/>
          </w:tcPr>
          <w:p w:rsidR="000E2F33" w:rsidRPr="000E2F33" w:rsidRDefault="000E2F33" w:rsidP="000E2F33">
            <w:pPr>
              <w:spacing w:after="0" w:line="240" w:lineRule="auto"/>
              <w:jc w:val="center"/>
              <w:rPr>
                <w:rFonts w:ascii="Calibri" w:eastAsia="Times New Roman" w:hAnsi="Calibri" w:cs="Times New Roman"/>
                <w:color w:val="000000"/>
                <w:lang w:val="de-DE" w:eastAsia="de-DE"/>
              </w:rPr>
            </w:pPr>
            <w:r w:rsidRPr="000E2F33">
              <w:rPr>
                <w:rFonts w:ascii="Calibri" w:eastAsia="Times New Roman" w:hAnsi="Calibri" w:cs="Times New Roman"/>
                <w:color w:val="000000"/>
                <w:lang w:val="de-DE" w:eastAsia="de-DE"/>
              </w:rPr>
              <w:t>136</w:t>
            </w:r>
          </w:p>
        </w:tc>
        <w:tc>
          <w:tcPr>
            <w:tcW w:w="2160" w:type="dxa"/>
            <w:tcBorders>
              <w:top w:val="nil"/>
              <w:left w:val="nil"/>
              <w:bottom w:val="nil"/>
              <w:right w:val="single" w:sz="4" w:space="0" w:color="auto"/>
            </w:tcBorders>
            <w:shd w:val="clear" w:color="000000" w:fill="D9D9D9"/>
            <w:noWrap/>
            <w:vAlign w:val="bottom"/>
            <w:hideMark/>
          </w:tcPr>
          <w:p w:rsidR="000E2F33" w:rsidRPr="000E2F33" w:rsidRDefault="000E2F33" w:rsidP="000E2F33">
            <w:pPr>
              <w:spacing w:after="0" w:line="240" w:lineRule="auto"/>
              <w:jc w:val="center"/>
              <w:rPr>
                <w:rFonts w:ascii="Calibri" w:eastAsia="Times New Roman" w:hAnsi="Calibri" w:cs="Times New Roman"/>
                <w:color w:val="000000"/>
                <w:lang w:val="de-DE" w:eastAsia="de-DE"/>
              </w:rPr>
            </w:pPr>
            <w:r w:rsidRPr="000E2F33">
              <w:rPr>
                <w:rFonts w:ascii="Calibri" w:eastAsia="Times New Roman" w:hAnsi="Calibri" w:cs="Times New Roman"/>
                <w:color w:val="000000"/>
                <w:lang w:val="de-DE" w:eastAsia="de-DE"/>
              </w:rPr>
              <w:t>14.77</w:t>
            </w:r>
          </w:p>
        </w:tc>
        <w:tc>
          <w:tcPr>
            <w:tcW w:w="1440" w:type="dxa"/>
            <w:tcBorders>
              <w:top w:val="nil"/>
              <w:left w:val="nil"/>
              <w:bottom w:val="nil"/>
              <w:right w:val="single" w:sz="4" w:space="0" w:color="auto"/>
            </w:tcBorders>
            <w:shd w:val="clear" w:color="000000" w:fill="D9D9D9"/>
            <w:noWrap/>
            <w:vAlign w:val="bottom"/>
            <w:hideMark/>
          </w:tcPr>
          <w:p w:rsidR="000E2F33" w:rsidRPr="000E2F33" w:rsidRDefault="000E2F33" w:rsidP="000E2F33">
            <w:pPr>
              <w:spacing w:after="0" w:line="240" w:lineRule="auto"/>
              <w:jc w:val="center"/>
              <w:rPr>
                <w:rFonts w:ascii="Calibri" w:eastAsia="Times New Roman" w:hAnsi="Calibri" w:cs="Times New Roman"/>
                <w:i/>
                <w:iCs/>
                <w:color w:val="000000"/>
                <w:lang w:val="de-DE" w:eastAsia="de-DE"/>
              </w:rPr>
            </w:pPr>
            <w:r w:rsidRPr="000E2F33">
              <w:rPr>
                <w:rFonts w:ascii="Calibri" w:eastAsia="Times New Roman" w:hAnsi="Calibri" w:cs="Times New Roman"/>
                <w:i/>
                <w:iCs/>
                <w:color w:val="000000"/>
                <w:lang w:val="de-DE" w:eastAsia="de-DE"/>
              </w:rPr>
              <w:t>Hpa</w:t>
            </w:r>
          </w:p>
        </w:tc>
      </w:tr>
      <w:tr w:rsidR="000E2F33" w:rsidRPr="000E2F33" w:rsidTr="00B626F7">
        <w:trPr>
          <w:trHeight w:val="300"/>
          <w:jc w:val="center"/>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rsidR="000E2F33" w:rsidRPr="000E2F33" w:rsidRDefault="000E2F33" w:rsidP="000E2F33">
            <w:pPr>
              <w:spacing w:after="0" w:line="240" w:lineRule="auto"/>
              <w:rPr>
                <w:rFonts w:ascii="Calibri" w:eastAsia="Times New Roman" w:hAnsi="Calibri" w:cs="Times New Roman"/>
                <w:b/>
                <w:bCs/>
                <w:color w:val="000000"/>
                <w:lang w:val="de-DE" w:eastAsia="de-DE"/>
              </w:rPr>
            </w:pPr>
            <w:r w:rsidRPr="000E2F33">
              <w:rPr>
                <w:rFonts w:ascii="Calibri" w:eastAsia="Times New Roman" w:hAnsi="Calibri" w:cs="Times New Roman"/>
                <w:b/>
                <w:bCs/>
                <w:color w:val="000000"/>
                <w:lang w:val="de-DE" w:eastAsia="de-DE"/>
              </w:rPr>
              <w:t>Unknown 28</w:t>
            </w:r>
          </w:p>
        </w:tc>
        <w:tc>
          <w:tcPr>
            <w:tcW w:w="3720" w:type="dxa"/>
            <w:tcBorders>
              <w:top w:val="nil"/>
              <w:left w:val="nil"/>
              <w:bottom w:val="single" w:sz="4" w:space="0" w:color="auto"/>
              <w:right w:val="single" w:sz="4" w:space="0" w:color="auto"/>
            </w:tcBorders>
            <w:shd w:val="clear" w:color="auto" w:fill="auto"/>
            <w:noWrap/>
            <w:vAlign w:val="center"/>
            <w:hideMark/>
          </w:tcPr>
          <w:p w:rsidR="000E2F33" w:rsidRPr="000E2F33" w:rsidRDefault="000E2F33" w:rsidP="000E2F33">
            <w:pPr>
              <w:spacing w:after="0" w:line="240" w:lineRule="auto"/>
              <w:rPr>
                <w:rFonts w:ascii="Calibri" w:eastAsia="Times New Roman" w:hAnsi="Calibri" w:cs="Times New Roman"/>
                <w:color w:val="000000"/>
                <w:lang w:val="de-DE" w:eastAsia="de-DE"/>
              </w:rPr>
            </w:pPr>
            <w:r w:rsidRPr="000E2F33">
              <w:rPr>
                <w:rFonts w:ascii="Calibri" w:eastAsia="Times New Roman" w:hAnsi="Calibri" w:cs="Times New Roman"/>
                <w:color w:val="000000"/>
                <w:lang w:val="de-DE" w:eastAsia="de-DE"/>
              </w:rPr>
              <w:t>57,68,81,83,95,123,155,278</w:t>
            </w:r>
          </w:p>
        </w:tc>
        <w:tc>
          <w:tcPr>
            <w:tcW w:w="860" w:type="dxa"/>
            <w:tcBorders>
              <w:top w:val="nil"/>
              <w:left w:val="nil"/>
              <w:bottom w:val="single" w:sz="4" w:space="0" w:color="auto"/>
              <w:right w:val="single" w:sz="4" w:space="0" w:color="auto"/>
            </w:tcBorders>
            <w:shd w:val="clear" w:color="auto" w:fill="auto"/>
            <w:noWrap/>
            <w:vAlign w:val="bottom"/>
            <w:hideMark/>
          </w:tcPr>
          <w:p w:rsidR="000E2F33" w:rsidRPr="000E2F33" w:rsidRDefault="000E2F33" w:rsidP="000E2F33">
            <w:pPr>
              <w:spacing w:after="0" w:line="240" w:lineRule="auto"/>
              <w:jc w:val="center"/>
              <w:rPr>
                <w:rFonts w:ascii="Calibri" w:eastAsia="Times New Roman" w:hAnsi="Calibri" w:cs="Times New Roman"/>
                <w:color w:val="000000"/>
                <w:lang w:val="de-DE" w:eastAsia="de-DE"/>
              </w:rPr>
            </w:pPr>
            <w:r w:rsidRPr="000E2F33">
              <w:rPr>
                <w:rFonts w:ascii="Calibri" w:eastAsia="Times New Roman" w:hAnsi="Calibri" w:cs="Times New Roman"/>
                <w:color w:val="000000"/>
                <w:lang w:val="de-DE" w:eastAsia="de-DE"/>
              </w:rPr>
              <w:t>123</w:t>
            </w:r>
          </w:p>
        </w:tc>
        <w:tc>
          <w:tcPr>
            <w:tcW w:w="2160" w:type="dxa"/>
            <w:tcBorders>
              <w:top w:val="nil"/>
              <w:left w:val="nil"/>
              <w:bottom w:val="single" w:sz="4" w:space="0" w:color="auto"/>
              <w:right w:val="single" w:sz="4" w:space="0" w:color="auto"/>
            </w:tcBorders>
            <w:shd w:val="clear" w:color="auto" w:fill="auto"/>
            <w:noWrap/>
            <w:vAlign w:val="bottom"/>
            <w:hideMark/>
          </w:tcPr>
          <w:p w:rsidR="000E2F33" w:rsidRPr="000E2F33" w:rsidRDefault="000E2F33" w:rsidP="000E2F33">
            <w:pPr>
              <w:spacing w:after="0" w:line="240" w:lineRule="auto"/>
              <w:jc w:val="center"/>
              <w:rPr>
                <w:rFonts w:ascii="Calibri" w:eastAsia="Times New Roman" w:hAnsi="Calibri" w:cs="Times New Roman"/>
                <w:color w:val="000000"/>
                <w:lang w:val="de-DE" w:eastAsia="de-DE"/>
              </w:rPr>
            </w:pPr>
            <w:r w:rsidRPr="000E2F33">
              <w:rPr>
                <w:rFonts w:ascii="Calibri" w:eastAsia="Times New Roman" w:hAnsi="Calibri" w:cs="Times New Roman"/>
                <w:color w:val="000000"/>
                <w:lang w:val="de-DE" w:eastAsia="de-DE"/>
              </w:rPr>
              <w:t>30.55</w:t>
            </w:r>
          </w:p>
        </w:tc>
        <w:tc>
          <w:tcPr>
            <w:tcW w:w="1440" w:type="dxa"/>
            <w:tcBorders>
              <w:top w:val="nil"/>
              <w:left w:val="nil"/>
              <w:bottom w:val="single" w:sz="4" w:space="0" w:color="auto"/>
              <w:right w:val="single" w:sz="4" w:space="0" w:color="auto"/>
            </w:tcBorders>
            <w:shd w:val="clear" w:color="auto" w:fill="auto"/>
            <w:noWrap/>
            <w:vAlign w:val="bottom"/>
            <w:hideMark/>
          </w:tcPr>
          <w:p w:rsidR="000E2F33" w:rsidRPr="000E2F33" w:rsidRDefault="000E2F33" w:rsidP="000E2F33">
            <w:pPr>
              <w:spacing w:after="0" w:line="240" w:lineRule="auto"/>
              <w:jc w:val="center"/>
              <w:rPr>
                <w:rFonts w:ascii="Calibri" w:eastAsia="Times New Roman" w:hAnsi="Calibri" w:cs="Times New Roman"/>
                <w:i/>
                <w:iCs/>
                <w:color w:val="000000"/>
                <w:lang w:val="de-DE" w:eastAsia="de-DE"/>
              </w:rPr>
            </w:pPr>
            <w:r w:rsidRPr="000E2F33">
              <w:rPr>
                <w:rFonts w:ascii="Calibri" w:eastAsia="Times New Roman" w:hAnsi="Calibri" w:cs="Times New Roman"/>
                <w:i/>
                <w:iCs/>
                <w:color w:val="000000"/>
                <w:lang w:val="de-DE" w:eastAsia="de-DE"/>
              </w:rPr>
              <w:t>Hpa</w:t>
            </w:r>
          </w:p>
        </w:tc>
      </w:tr>
    </w:tbl>
    <w:p w:rsidR="00FD61C5" w:rsidRDefault="00FD61C5" w:rsidP="00940FBF">
      <w:pPr>
        <w:spacing w:after="0" w:line="360" w:lineRule="auto"/>
        <w:jc w:val="both"/>
      </w:pPr>
    </w:p>
    <w:p w:rsidR="000E2F33" w:rsidRDefault="000E2F33" w:rsidP="00940FBF">
      <w:pPr>
        <w:spacing w:after="0" w:line="360" w:lineRule="auto"/>
        <w:jc w:val="both"/>
      </w:pPr>
    </w:p>
    <w:p w:rsidR="000E2F33" w:rsidRDefault="000E2F33" w:rsidP="00940FBF">
      <w:pPr>
        <w:spacing w:after="0" w:line="360" w:lineRule="auto"/>
        <w:jc w:val="both"/>
      </w:pPr>
    </w:p>
    <w:p w:rsidR="000E2F33" w:rsidRDefault="000E2F33" w:rsidP="000E49B0">
      <w:pPr>
        <w:spacing w:after="0" w:line="360" w:lineRule="auto"/>
        <w:sectPr w:rsidR="000E2F33" w:rsidSect="00FD61C5">
          <w:headerReference w:type="default" r:id="rId90"/>
          <w:headerReference w:type="first" r:id="rId91"/>
          <w:pgSz w:w="16838" w:h="11906" w:orient="landscape"/>
          <w:pgMar w:top="1417" w:right="1417" w:bottom="1417" w:left="1134" w:header="708" w:footer="708" w:gutter="0"/>
          <w:cols w:space="708"/>
          <w:titlePg/>
          <w:docGrid w:linePitch="360"/>
        </w:sectPr>
      </w:pPr>
      <w:r w:rsidRPr="000E2F33">
        <w:t>In order to get</w:t>
      </w:r>
      <w:r w:rsidR="009A36CA">
        <w:t xml:space="preserve"> deeper insight into</w:t>
      </w:r>
      <w:r w:rsidRPr="000E2F33">
        <w:t xml:space="preserve"> </w:t>
      </w:r>
      <w:r w:rsidR="009A36CA">
        <w:t>the</w:t>
      </w:r>
      <w:r w:rsidR="002B77E0">
        <w:t xml:space="preserve"> differences between</w:t>
      </w:r>
      <w:r w:rsidRPr="000E2F33">
        <w:t xml:space="preserve"> modi of in</w:t>
      </w:r>
      <w:r w:rsidR="00234277">
        <w:t>fection of</w:t>
      </w:r>
      <w:r w:rsidRPr="000E2F33">
        <w:t xml:space="preserve"> analysed pathogens, metabolite accumulation in plant tissue after infection with </w:t>
      </w:r>
      <w:r w:rsidR="002B77E0">
        <w:rPr>
          <w:i/>
        </w:rPr>
        <w:t>P.</w:t>
      </w:r>
      <w:r w:rsidR="009A36CA">
        <w:rPr>
          <w:i/>
        </w:rPr>
        <w:t xml:space="preserve"> </w:t>
      </w:r>
      <w:r w:rsidR="002B77E0">
        <w:rPr>
          <w:i/>
        </w:rPr>
        <w:t xml:space="preserve">syringae </w:t>
      </w:r>
      <w:proofErr w:type="gramStart"/>
      <w:r w:rsidR="002B77E0">
        <w:t>pv</w:t>
      </w:r>
      <w:proofErr w:type="gramEnd"/>
      <w:r w:rsidR="002B77E0">
        <w:t xml:space="preserve">. </w:t>
      </w:r>
      <w:proofErr w:type="gramStart"/>
      <w:r w:rsidR="002B77E0">
        <w:rPr>
          <w:i/>
        </w:rPr>
        <w:t>maculicola</w:t>
      </w:r>
      <w:proofErr w:type="gramEnd"/>
      <w:r w:rsidR="002B77E0">
        <w:rPr>
          <w:i/>
        </w:rPr>
        <w:t>, B.</w:t>
      </w:r>
      <w:r w:rsidR="009A36CA">
        <w:rPr>
          <w:i/>
        </w:rPr>
        <w:t xml:space="preserve"> </w:t>
      </w:r>
      <w:r w:rsidR="002B77E0">
        <w:rPr>
          <w:i/>
        </w:rPr>
        <w:t>cinerea, H.</w:t>
      </w:r>
      <w:r w:rsidR="009A36CA">
        <w:rPr>
          <w:i/>
        </w:rPr>
        <w:t xml:space="preserve"> </w:t>
      </w:r>
      <w:r w:rsidR="002B77E0">
        <w:rPr>
          <w:i/>
        </w:rPr>
        <w:t>arabidopsidis</w:t>
      </w:r>
      <w:r w:rsidRPr="000E2F33">
        <w:t xml:space="preserve"> Noco2, and </w:t>
      </w:r>
      <w:r w:rsidRPr="000E2F33">
        <w:rPr>
          <w:i/>
        </w:rPr>
        <w:t>G.</w:t>
      </w:r>
      <w:r w:rsidR="009A36CA">
        <w:rPr>
          <w:i/>
        </w:rPr>
        <w:t xml:space="preserve"> </w:t>
      </w:r>
      <w:r w:rsidRPr="000E2F33">
        <w:rPr>
          <w:i/>
        </w:rPr>
        <w:t>orontii</w:t>
      </w:r>
      <w:r w:rsidRPr="000E2F33">
        <w:t xml:space="preserve"> was analy</w:t>
      </w:r>
      <w:r>
        <w:t>sed and summarized</w:t>
      </w:r>
      <w:r w:rsidR="000E49B0">
        <w:t xml:space="preserve"> in tables 3 (defence metabolites), 4 (amino acids), and 5 (unknown compounds)</w:t>
      </w:r>
    </w:p>
    <w:p w:rsidR="00C43B7C" w:rsidRDefault="00C43B7C" w:rsidP="00C43B7C">
      <w:pPr>
        <w:spacing w:line="360" w:lineRule="auto"/>
        <w:jc w:val="both"/>
        <w:rPr>
          <w:b/>
          <w:sz w:val="16"/>
          <w:szCs w:val="16"/>
        </w:rPr>
      </w:pPr>
    </w:p>
    <w:p w:rsidR="00E03603" w:rsidRPr="006E436D" w:rsidRDefault="00E03603" w:rsidP="009A36CA">
      <w:pPr>
        <w:pStyle w:val="Beschriftung"/>
        <w:keepNext/>
        <w:spacing w:after="0" w:line="360" w:lineRule="auto"/>
        <w:jc w:val="both"/>
        <w:rPr>
          <w:color w:val="auto"/>
        </w:rPr>
      </w:pPr>
      <w:bookmarkStart w:id="106" w:name="_Toc419386447"/>
      <w:proofErr w:type="gramStart"/>
      <w:r w:rsidRPr="006E436D">
        <w:rPr>
          <w:color w:val="auto"/>
        </w:rPr>
        <w:t xml:space="preserve">Table </w:t>
      </w:r>
      <w:r w:rsidRPr="006E436D">
        <w:rPr>
          <w:color w:val="auto"/>
        </w:rPr>
        <w:fldChar w:fldCharType="begin"/>
      </w:r>
      <w:r w:rsidRPr="006E436D">
        <w:rPr>
          <w:color w:val="auto"/>
        </w:rPr>
        <w:instrText xml:space="preserve"> SEQ Table \* ARABIC </w:instrText>
      </w:r>
      <w:r w:rsidRPr="006E436D">
        <w:rPr>
          <w:color w:val="auto"/>
        </w:rPr>
        <w:fldChar w:fldCharType="separate"/>
      </w:r>
      <w:r w:rsidR="00CB17FE">
        <w:rPr>
          <w:noProof/>
          <w:color w:val="auto"/>
        </w:rPr>
        <w:t>3</w:t>
      </w:r>
      <w:r w:rsidRPr="006E436D">
        <w:rPr>
          <w:color w:val="auto"/>
        </w:rPr>
        <w:fldChar w:fldCharType="end"/>
      </w:r>
      <w:r w:rsidR="006C6340">
        <w:rPr>
          <w:color w:val="auto"/>
        </w:rPr>
        <w:t>.</w:t>
      </w:r>
      <w:proofErr w:type="gramEnd"/>
      <w:r w:rsidRPr="006E436D">
        <w:rPr>
          <w:b w:val="0"/>
          <w:color w:val="auto"/>
        </w:rPr>
        <w:t xml:space="preserve"> </w:t>
      </w:r>
      <w:proofErr w:type="gramStart"/>
      <w:r w:rsidRPr="006E436D">
        <w:rPr>
          <w:color w:val="auto"/>
        </w:rPr>
        <w:t xml:space="preserve">Comparison of defence metabolite accumulation in </w:t>
      </w:r>
      <w:r w:rsidRPr="006E436D">
        <w:rPr>
          <w:i/>
          <w:color w:val="auto"/>
        </w:rPr>
        <w:t>Arabidopsis</w:t>
      </w:r>
      <w:r w:rsidRPr="006E436D">
        <w:rPr>
          <w:color w:val="auto"/>
        </w:rPr>
        <w:t xml:space="preserve"> after infection with different pathogens.</w:t>
      </w:r>
      <w:bookmarkEnd w:id="106"/>
      <w:proofErr w:type="gramEnd"/>
      <w:r w:rsidRPr="006E436D">
        <w:rPr>
          <w:color w:val="auto"/>
        </w:rPr>
        <w:t xml:space="preserve"> </w:t>
      </w:r>
    </w:p>
    <w:p w:rsidR="00E03603" w:rsidRPr="006E436D" w:rsidRDefault="00E03603" w:rsidP="00E03603">
      <w:pPr>
        <w:pStyle w:val="Beschriftung"/>
        <w:keepNext/>
        <w:jc w:val="both"/>
        <w:rPr>
          <w:b w:val="0"/>
          <w:color w:val="auto"/>
        </w:rPr>
      </w:pPr>
      <w:r w:rsidRPr="006E436D">
        <w:rPr>
          <w:b w:val="0"/>
          <w:color w:val="auto"/>
        </w:rPr>
        <w:t xml:space="preserve">Metabolite accumulation in </w:t>
      </w:r>
      <w:r w:rsidRPr="006E436D">
        <w:rPr>
          <w:b w:val="0"/>
          <w:i/>
          <w:color w:val="auto"/>
        </w:rPr>
        <w:t>A.</w:t>
      </w:r>
      <w:r w:rsidR="009A36CA">
        <w:rPr>
          <w:b w:val="0"/>
          <w:i/>
          <w:color w:val="auto"/>
        </w:rPr>
        <w:t xml:space="preserve"> </w:t>
      </w:r>
      <w:r w:rsidRPr="006E436D">
        <w:rPr>
          <w:b w:val="0"/>
          <w:i/>
          <w:color w:val="auto"/>
        </w:rPr>
        <w:t>thaliana</w:t>
      </w:r>
      <w:r w:rsidRPr="006E436D">
        <w:rPr>
          <w:b w:val="0"/>
          <w:color w:val="auto"/>
        </w:rPr>
        <w:t xml:space="preserve"> after infection with </w:t>
      </w:r>
      <w:r w:rsidR="00C62CAF" w:rsidRPr="006E436D">
        <w:rPr>
          <w:b w:val="0"/>
          <w:i/>
          <w:color w:val="auto"/>
        </w:rPr>
        <w:t>P.</w:t>
      </w:r>
      <w:r w:rsidR="009A36CA">
        <w:rPr>
          <w:b w:val="0"/>
          <w:i/>
          <w:color w:val="auto"/>
        </w:rPr>
        <w:t xml:space="preserve"> </w:t>
      </w:r>
      <w:r w:rsidR="00C62CAF" w:rsidRPr="006E436D">
        <w:rPr>
          <w:b w:val="0"/>
          <w:i/>
          <w:color w:val="auto"/>
        </w:rPr>
        <w:t>syringae</w:t>
      </w:r>
      <w:r w:rsidRPr="006E436D">
        <w:rPr>
          <w:b w:val="0"/>
          <w:i/>
          <w:color w:val="auto"/>
        </w:rPr>
        <w:t>, B.</w:t>
      </w:r>
      <w:r w:rsidR="009A36CA">
        <w:rPr>
          <w:b w:val="0"/>
          <w:i/>
          <w:color w:val="auto"/>
        </w:rPr>
        <w:t xml:space="preserve"> </w:t>
      </w:r>
      <w:r w:rsidRPr="006E436D">
        <w:rPr>
          <w:b w:val="0"/>
          <w:i/>
          <w:color w:val="auto"/>
        </w:rPr>
        <w:t>cinerea, H.</w:t>
      </w:r>
      <w:r w:rsidR="009A36CA">
        <w:rPr>
          <w:b w:val="0"/>
          <w:i/>
          <w:color w:val="auto"/>
        </w:rPr>
        <w:t xml:space="preserve"> </w:t>
      </w:r>
      <w:r w:rsidRPr="006E436D">
        <w:rPr>
          <w:b w:val="0"/>
          <w:i/>
          <w:color w:val="auto"/>
        </w:rPr>
        <w:t>arabidopsidis</w:t>
      </w:r>
      <w:r w:rsidRPr="006E436D">
        <w:rPr>
          <w:b w:val="0"/>
          <w:color w:val="auto"/>
        </w:rPr>
        <w:t xml:space="preserve">, and </w:t>
      </w:r>
      <w:r w:rsidRPr="006E436D">
        <w:rPr>
          <w:b w:val="0"/>
          <w:i/>
          <w:color w:val="auto"/>
        </w:rPr>
        <w:t>G.</w:t>
      </w:r>
      <w:r w:rsidR="009A36CA">
        <w:rPr>
          <w:b w:val="0"/>
          <w:i/>
          <w:color w:val="auto"/>
        </w:rPr>
        <w:t xml:space="preserve"> </w:t>
      </w:r>
      <w:r w:rsidRPr="006E436D">
        <w:rPr>
          <w:b w:val="0"/>
          <w:i/>
          <w:color w:val="auto"/>
        </w:rPr>
        <w:t>orontii</w:t>
      </w:r>
      <w:r w:rsidRPr="006E436D">
        <w:rPr>
          <w:b w:val="0"/>
          <w:color w:val="auto"/>
        </w:rPr>
        <w:t xml:space="preserve"> was analysed and fold-change ratio for each metabolite determined. Significant statistical differences between non-infected and infected plants are marked by asterisks (two-tailed t test; *, P&lt; 0.05; **, P&lt; 0.01; ***, P&lt; 0.001). SM, Sabour &amp; Maltose medium; </w:t>
      </w:r>
      <w:proofErr w:type="gramStart"/>
      <w:r w:rsidRPr="006E436D">
        <w:rPr>
          <w:b w:val="0"/>
          <w:color w:val="auto"/>
        </w:rPr>
        <w:t>nt</w:t>
      </w:r>
      <w:proofErr w:type="gramEnd"/>
      <w:r w:rsidRPr="006E436D">
        <w:rPr>
          <w:b w:val="0"/>
          <w:color w:val="auto"/>
        </w:rPr>
        <w:t xml:space="preserve">, not treated; FW, fresh weight. </w:t>
      </w:r>
    </w:p>
    <w:tbl>
      <w:tblPr>
        <w:tblW w:w="14160" w:type="dxa"/>
        <w:tblInd w:w="55" w:type="dxa"/>
        <w:tblCellMar>
          <w:left w:w="70" w:type="dxa"/>
          <w:right w:w="70" w:type="dxa"/>
        </w:tblCellMar>
        <w:tblLook w:val="04A0" w:firstRow="1" w:lastRow="0" w:firstColumn="1" w:lastColumn="0" w:noHBand="0" w:noVBand="1"/>
      </w:tblPr>
      <w:tblGrid>
        <w:gridCol w:w="1480"/>
        <w:gridCol w:w="1060"/>
        <w:gridCol w:w="1000"/>
        <w:gridCol w:w="960"/>
        <w:gridCol w:w="1120"/>
        <w:gridCol w:w="1060"/>
        <w:gridCol w:w="1200"/>
        <w:gridCol w:w="1140"/>
        <w:gridCol w:w="1020"/>
        <w:gridCol w:w="1020"/>
        <w:gridCol w:w="1140"/>
        <w:gridCol w:w="1120"/>
        <w:gridCol w:w="840"/>
      </w:tblGrid>
      <w:tr w:rsidR="008E0F00" w:rsidRPr="008E0F00" w:rsidTr="008E0F00">
        <w:trPr>
          <w:trHeight w:val="300"/>
        </w:trPr>
        <w:tc>
          <w:tcPr>
            <w:tcW w:w="1480" w:type="dxa"/>
            <w:tcBorders>
              <w:top w:val="single" w:sz="4" w:space="0" w:color="auto"/>
              <w:left w:val="single" w:sz="4" w:space="0" w:color="auto"/>
              <w:bottom w:val="single" w:sz="4" w:space="0" w:color="auto"/>
              <w:right w:val="single" w:sz="4" w:space="0" w:color="auto"/>
            </w:tcBorders>
            <w:shd w:val="clear" w:color="auto" w:fill="auto"/>
            <w:hideMark/>
          </w:tcPr>
          <w:p w:rsidR="008E0F00" w:rsidRPr="008E0F00" w:rsidRDefault="008E0F00" w:rsidP="008E0F00">
            <w:pPr>
              <w:spacing w:after="0" w:line="240" w:lineRule="auto"/>
              <w:rPr>
                <w:rFonts w:ascii="Calibri" w:eastAsia="Times New Roman" w:hAnsi="Calibri" w:cs="Times New Roman"/>
                <w:b/>
                <w:bCs/>
                <w:color w:val="000000"/>
                <w:lang w:val="de-DE" w:eastAsia="de-DE"/>
              </w:rPr>
            </w:pPr>
            <w:r w:rsidRPr="008E0F00">
              <w:rPr>
                <w:rFonts w:ascii="Calibri" w:eastAsia="Times New Roman" w:hAnsi="Calibri" w:cs="Times New Roman"/>
                <w:b/>
                <w:bCs/>
                <w:color w:val="000000"/>
                <w:lang w:val="de-DE" w:eastAsia="de-DE"/>
              </w:rPr>
              <w:t>Pathogen</w:t>
            </w:r>
          </w:p>
        </w:tc>
        <w:tc>
          <w:tcPr>
            <w:tcW w:w="3020" w:type="dxa"/>
            <w:gridSpan w:val="3"/>
            <w:tcBorders>
              <w:top w:val="single" w:sz="4" w:space="0" w:color="auto"/>
              <w:left w:val="nil"/>
              <w:bottom w:val="single" w:sz="4" w:space="0" w:color="000000"/>
              <w:right w:val="single" w:sz="4" w:space="0" w:color="auto"/>
            </w:tcBorders>
            <w:shd w:val="clear" w:color="auto" w:fill="auto"/>
            <w:vAlign w:val="bottom"/>
            <w:hideMark/>
          </w:tcPr>
          <w:p w:rsidR="008E0F00" w:rsidRPr="008E0F00" w:rsidRDefault="008E0F00" w:rsidP="008E0F00">
            <w:pPr>
              <w:spacing w:after="0" w:line="240" w:lineRule="auto"/>
              <w:jc w:val="center"/>
              <w:rPr>
                <w:rFonts w:ascii="Calibri" w:eastAsia="Times New Roman" w:hAnsi="Calibri" w:cs="Times New Roman"/>
                <w:b/>
                <w:bCs/>
                <w:color w:val="000000"/>
                <w:lang w:val="de-DE" w:eastAsia="de-DE"/>
              </w:rPr>
            </w:pPr>
            <w:r w:rsidRPr="008E0F00">
              <w:rPr>
                <w:rFonts w:ascii="Calibri" w:eastAsia="Times New Roman" w:hAnsi="Calibri" w:cs="Times New Roman"/>
                <w:b/>
                <w:bCs/>
                <w:i/>
                <w:iCs/>
                <w:color w:val="000000"/>
                <w:lang w:val="de-DE" w:eastAsia="de-DE"/>
              </w:rPr>
              <w:t>Psm</w:t>
            </w:r>
            <w:r w:rsidR="00A60C41">
              <w:rPr>
                <w:rFonts w:ascii="Calibri" w:eastAsia="Times New Roman" w:hAnsi="Calibri" w:cs="Times New Roman"/>
                <w:b/>
                <w:bCs/>
                <w:color w:val="000000"/>
                <w:lang w:val="de-DE" w:eastAsia="de-DE"/>
              </w:rPr>
              <w:t>-</w:t>
            </w:r>
            <w:r w:rsidRPr="008E0F00">
              <w:rPr>
                <w:rFonts w:ascii="Calibri" w:eastAsia="Times New Roman" w:hAnsi="Calibri" w:cs="Times New Roman"/>
                <w:b/>
                <w:bCs/>
                <w:color w:val="000000"/>
                <w:lang w:val="de-DE" w:eastAsia="de-DE"/>
              </w:rPr>
              <w:t>inoculated leaves (2 dpi)</w:t>
            </w:r>
          </w:p>
        </w:tc>
        <w:tc>
          <w:tcPr>
            <w:tcW w:w="3380" w:type="dxa"/>
            <w:gridSpan w:val="3"/>
            <w:tcBorders>
              <w:top w:val="single" w:sz="4" w:space="0" w:color="auto"/>
              <w:left w:val="nil"/>
              <w:bottom w:val="single" w:sz="4" w:space="0" w:color="000000"/>
              <w:right w:val="single" w:sz="4" w:space="0" w:color="auto"/>
            </w:tcBorders>
            <w:shd w:val="clear" w:color="auto" w:fill="auto"/>
            <w:vAlign w:val="bottom"/>
            <w:hideMark/>
          </w:tcPr>
          <w:p w:rsidR="008E0F00" w:rsidRPr="008E0F00" w:rsidRDefault="008E0F00" w:rsidP="008E0F00">
            <w:pPr>
              <w:spacing w:after="0" w:line="240" w:lineRule="auto"/>
              <w:jc w:val="center"/>
              <w:rPr>
                <w:rFonts w:ascii="Calibri" w:eastAsia="Times New Roman" w:hAnsi="Calibri" w:cs="Times New Roman"/>
                <w:b/>
                <w:bCs/>
                <w:color w:val="000000"/>
                <w:lang w:val="en-US" w:eastAsia="de-DE"/>
              </w:rPr>
            </w:pPr>
            <w:r w:rsidRPr="008E0F00">
              <w:rPr>
                <w:rFonts w:ascii="Calibri" w:eastAsia="Times New Roman" w:hAnsi="Calibri" w:cs="Times New Roman"/>
                <w:b/>
                <w:bCs/>
                <w:i/>
                <w:iCs/>
                <w:color w:val="000000"/>
                <w:lang w:val="en-US" w:eastAsia="de-DE"/>
              </w:rPr>
              <w:t>B.</w:t>
            </w:r>
            <w:r w:rsidR="009A36CA">
              <w:rPr>
                <w:rFonts w:ascii="Calibri" w:eastAsia="Times New Roman" w:hAnsi="Calibri" w:cs="Times New Roman"/>
                <w:b/>
                <w:bCs/>
                <w:i/>
                <w:iCs/>
                <w:color w:val="000000"/>
                <w:lang w:val="en-US" w:eastAsia="de-DE"/>
              </w:rPr>
              <w:t xml:space="preserve"> </w:t>
            </w:r>
            <w:r w:rsidRPr="008E0F00">
              <w:rPr>
                <w:rFonts w:ascii="Calibri" w:eastAsia="Times New Roman" w:hAnsi="Calibri" w:cs="Times New Roman"/>
                <w:b/>
                <w:bCs/>
                <w:i/>
                <w:iCs/>
                <w:color w:val="000000"/>
                <w:lang w:val="en-US" w:eastAsia="de-DE"/>
              </w:rPr>
              <w:t>cinerea</w:t>
            </w:r>
            <w:r w:rsidR="00A60C41">
              <w:rPr>
                <w:rFonts w:ascii="Calibri" w:eastAsia="Times New Roman" w:hAnsi="Calibri" w:cs="Times New Roman"/>
                <w:b/>
                <w:bCs/>
                <w:color w:val="000000"/>
                <w:lang w:val="en-US" w:eastAsia="de-DE"/>
              </w:rPr>
              <w:t>-</w:t>
            </w:r>
            <w:r w:rsidRPr="008E0F00">
              <w:rPr>
                <w:rFonts w:ascii="Calibri" w:eastAsia="Times New Roman" w:hAnsi="Calibri" w:cs="Times New Roman"/>
                <w:b/>
                <w:bCs/>
                <w:color w:val="000000"/>
                <w:lang w:val="en-US" w:eastAsia="de-DE"/>
              </w:rPr>
              <w:t>inoculated leaves (3 dpi)</w:t>
            </w:r>
          </w:p>
        </w:tc>
        <w:tc>
          <w:tcPr>
            <w:tcW w:w="3180" w:type="dxa"/>
            <w:gridSpan w:val="3"/>
            <w:tcBorders>
              <w:top w:val="single" w:sz="4" w:space="0" w:color="auto"/>
              <w:left w:val="nil"/>
              <w:bottom w:val="single" w:sz="4" w:space="0" w:color="000000"/>
              <w:right w:val="single" w:sz="4" w:space="0" w:color="auto"/>
            </w:tcBorders>
            <w:shd w:val="clear" w:color="auto" w:fill="auto"/>
            <w:vAlign w:val="bottom"/>
            <w:hideMark/>
          </w:tcPr>
          <w:p w:rsidR="008E0F00" w:rsidRPr="008E0F00" w:rsidRDefault="008E0F00" w:rsidP="008E0F00">
            <w:pPr>
              <w:spacing w:after="0" w:line="240" w:lineRule="auto"/>
              <w:jc w:val="center"/>
              <w:rPr>
                <w:rFonts w:ascii="Calibri" w:eastAsia="Times New Roman" w:hAnsi="Calibri" w:cs="Times New Roman"/>
                <w:b/>
                <w:bCs/>
                <w:color w:val="000000"/>
                <w:lang w:val="de-DE" w:eastAsia="de-DE"/>
              </w:rPr>
            </w:pPr>
            <w:r w:rsidRPr="008E0F00">
              <w:rPr>
                <w:rFonts w:ascii="Calibri" w:eastAsia="Times New Roman" w:hAnsi="Calibri" w:cs="Times New Roman"/>
                <w:b/>
                <w:bCs/>
                <w:i/>
                <w:iCs/>
                <w:color w:val="000000"/>
                <w:lang w:val="de-DE" w:eastAsia="de-DE"/>
              </w:rPr>
              <w:t>Hpa</w:t>
            </w:r>
            <w:r w:rsidR="00A60C41">
              <w:rPr>
                <w:rFonts w:ascii="Calibri" w:eastAsia="Times New Roman" w:hAnsi="Calibri" w:cs="Times New Roman"/>
                <w:b/>
                <w:bCs/>
                <w:color w:val="000000"/>
                <w:lang w:val="de-DE" w:eastAsia="de-DE"/>
              </w:rPr>
              <w:t>-</w:t>
            </w:r>
            <w:r w:rsidRPr="008E0F00">
              <w:rPr>
                <w:rFonts w:ascii="Calibri" w:eastAsia="Times New Roman" w:hAnsi="Calibri" w:cs="Times New Roman"/>
                <w:b/>
                <w:bCs/>
                <w:color w:val="000000"/>
                <w:lang w:val="de-DE" w:eastAsia="de-DE"/>
              </w:rPr>
              <w:t>sprayed leaves (7 dpi)</w:t>
            </w:r>
          </w:p>
        </w:tc>
        <w:tc>
          <w:tcPr>
            <w:tcW w:w="3100" w:type="dxa"/>
            <w:gridSpan w:val="3"/>
            <w:tcBorders>
              <w:top w:val="single" w:sz="4" w:space="0" w:color="auto"/>
              <w:left w:val="nil"/>
              <w:bottom w:val="single" w:sz="4" w:space="0" w:color="000000"/>
              <w:right w:val="single" w:sz="4" w:space="0" w:color="auto"/>
            </w:tcBorders>
            <w:shd w:val="clear" w:color="auto" w:fill="auto"/>
            <w:vAlign w:val="bottom"/>
            <w:hideMark/>
          </w:tcPr>
          <w:p w:rsidR="008E0F00" w:rsidRPr="008E0F00" w:rsidRDefault="008E0F00" w:rsidP="008E0F00">
            <w:pPr>
              <w:spacing w:after="0" w:line="240" w:lineRule="auto"/>
              <w:jc w:val="center"/>
              <w:rPr>
                <w:rFonts w:ascii="Calibri" w:eastAsia="Times New Roman" w:hAnsi="Calibri" w:cs="Times New Roman"/>
                <w:b/>
                <w:bCs/>
                <w:color w:val="000000"/>
                <w:lang w:val="en-US" w:eastAsia="de-DE"/>
              </w:rPr>
            </w:pPr>
            <w:r w:rsidRPr="008E0F00">
              <w:rPr>
                <w:rFonts w:ascii="Calibri" w:eastAsia="Times New Roman" w:hAnsi="Calibri" w:cs="Times New Roman"/>
                <w:b/>
                <w:bCs/>
                <w:i/>
                <w:iCs/>
                <w:color w:val="000000"/>
                <w:lang w:val="en-US" w:eastAsia="de-DE"/>
              </w:rPr>
              <w:t>G.</w:t>
            </w:r>
            <w:r w:rsidR="009A36CA">
              <w:rPr>
                <w:rFonts w:ascii="Calibri" w:eastAsia="Times New Roman" w:hAnsi="Calibri" w:cs="Times New Roman"/>
                <w:b/>
                <w:bCs/>
                <w:i/>
                <w:iCs/>
                <w:color w:val="000000"/>
                <w:lang w:val="en-US" w:eastAsia="de-DE"/>
              </w:rPr>
              <w:t xml:space="preserve"> </w:t>
            </w:r>
            <w:r w:rsidRPr="008E0F00">
              <w:rPr>
                <w:rFonts w:ascii="Calibri" w:eastAsia="Times New Roman" w:hAnsi="Calibri" w:cs="Times New Roman"/>
                <w:b/>
                <w:bCs/>
                <w:i/>
                <w:iCs/>
                <w:color w:val="000000"/>
                <w:lang w:val="en-US" w:eastAsia="de-DE"/>
              </w:rPr>
              <w:t>orontii</w:t>
            </w:r>
            <w:r w:rsidR="00A60C41">
              <w:rPr>
                <w:rFonts w:ascii="Calibri" w:eastAsia="Times New Roman" w:hAnsi="Calibri" w:cs="Times New Roman"/>
                <w:b/>
                <w:bCs/>
                <w:color w:val="000000"/>
                <w:lang w:val="en-US" w:eastAsia="de-DE"/>
              </w:rPr>
              <w:t>-</w:t>
            </w:r>
            <w:r w:rsidRPr="008E0F00">
              <w:rPr>
                <w:rFonts w:ascii="Calibri" w:eastAsia="Times New Roman" w:hAnsi="Calibri" w:cs="Times New Roman"/>
                <w:b/>
                <w:bCs/>
                <w:color w:val="000000"/>
                <w:lang w:val="en-US" w:eastAsia="de-DE"/>
              </w:rPr>
              <w:t>infected leaves (3 dpi)</w:t>
            </w:r>
          </w:p>
        </w:tc>
      </w:tr>
      <w:tr w:rsidR="008E0F00" w:rsidRPr="008E0F00" w:rsidTr="008E0F00">
        <w:trPr>
          <w:trHeight w:val="300"/>
        </w:trPr>
        <w:tc>
          <w:tcPr>
            <w:tcW w:w="1480" w:type="dxa"/>
            <w:vMerge w:val="restart"/>
            <w:tcBorders>
              <w:top w:val="nil"/>
              <w:left w:val="single" w:sz="4" w:space="0" w:color="auto"/>
              <w:bottom w:val="single" w:sz="4" w:space="0" w:color="000000"/>
              <w:right w:val="single" w:sz="4" w:space="0" w:color="auto"/>
            </w:tcBorders>
            <w:shd w:val="clear" w:color="auto" w:fill="auto"/>
            <w:vAlign w:val="bottom"/>
            <w:hideMark/>
          </w:tcPr>
          <w:p w:rsidR="008E0F00" w:rsidRPr="008E0F00" w:rsidRDefault="008E0F00" w:rsidP="008E0F00">
            <w:pPr>
              <w:spacing w:after="0" w:line="240" w:lineRule="auto"/>
              <w:rPr>
                <w:rFonts w:ascii="Calibri" w:eastAsia="Times New Roman" w:hAnsi="Calibri" w:cs="Times New Roman"/>
                <w:b/>
                <w:bCs/>
                <w:color w:val="000000"/>
                <w:lang w:val="de-DE" w:eastAsia="de-DE"/>
              </w:rPr>
            </w:pPr>
            <w:r w:rsidRPr="008E0F00">
              <w:rPr>
                <w:rFonts w:ascii="Calibri" w:eastAsia="Times New Roman" w:hAnsi="Calibri" w:cs="Times New Roman"/>
                <w:b/>
                <w:bCs/>
                <w:color w:val="000000"/>
                <w:lang w:val="de-DE" w:eastAsia="de-DE"/>
              </w:rPr>
              <w:t>Metabolite</w:t>
            </w:r>
          </w:p>
        </w:tc>
        <w:tc>
          <w:tcPr>
            <w:tcW w:w="2060" w:type="dxa"/>
            <w:gridSpan w:val="2"/>
            <w:tcBorders>
              <w:top w:val="single" w:sz="4" w:space="0" w:color="auto"/>
              <w:left w:val="nil"/>
              <w:bottom w:val="nil"/>
              <w:right w:val="single" w:sz="4" w:space="0" w:color="000000"/>
            </w:tcBorders>
            <w:shd w:val="clear" w:color="auto" w:fill="auto"/>
            <w:vAlign w:val="bottom"/>
            <w:hideMark/>
          </w:tcPr>
          <w:p w:rsidR="008E0F00" w:rsidRPr="008E0F00" w:rsidRDefault="008E0F00" w:rsidP="008E0F00">
            <w:pPr>
              <w:spacing w:after="0" w:line="240" w:lineRule="auto"/>
              <w:jc w:val="center"/>
              <w:rPr>
                <w:rFonts w:ascii="Calibri" w:eastAsia="Times New Roman" w:hAnsi="Calibri" w:cs="Times New Roman"/>
                <w:b/>
                <w:bCs/>
                <w:color w:val="000000"/>
                <w:lang w:val="de-DE" w:eastAsia="de-DE"/>
              </w:rPr>
            </w:pPr>
            <w:r w:rsidRPr="008E0F00">
              <w:rPr>
                <w:rFonts w:ascii="Calibri" w:eastAsia="Times New Roman" w:hAnsi="Calibri" w:cs="Times New Roman"/>
                <w:b/>
                <w:bCs/>
                <w:color w:val="000000"/>
                <w:lang w:val="de-DE" w:eastAsia="de-DE"/>
              </w:rPr>
              <w:t>µg g</w:t>
            </w:r>
            <w:r w:rsidRPr="008E0F00">
              <w:rPr>
                <w:rFonts w:ascii="Calibri" w:eastAsia="Times New Roman" w:hAnsi="Calibri" w:cs="Times New Roman"/>
                <w:b/>
                <w:bCs/>
                <w:color w:val="000000"/>
                <w:vertAlign w:val="superscript"/>
                <w:lang w:val="de-DE" w:eastAsia="de-DE"/>
              </w:rPr>
              <w:t>-1</w:t>
            </w:r>
            <w:r w:rsidRPr="008E0F00">
              <w:rPr>
                <w:rFonts w:ascii="Calibri" w:eastAsia="Times New Roman" w:hAnsi="Calibri" w:cs="Times New Roman"/>
                <w:b/>
                <w:bCs/>
                <w:color w:val="000000"/>
                <w:lang w:val="de-DE" w:eastAsia="de-DE"/>
              </w:rPr>
              <w:t xml:space="preserve"> FW</w:t>
            </w:r>
          </w:p>
        </w:tc>
        <w:tc>
          <w:tcPr>
            <w:tcW w:w="960" w:type="dxa"/>
            <w:vMerge w:val="restart"/>
            <w:tcBorders>
              <w:top w:val="nil"/>
              <w:left w:val="single" w:sz="4" w:space="0" w:color="auto"/>
              <w:bottom w:val="single" w:sz="4" w:space="0" w:color="000000"/>
              <w:right w:val="single" w:sz="4" w:space="0" w:color="auto"/>
            </w:tcBorders>
            <w:shd w:val="clear" w:color="auto" w:fill="auto"/>
            <w:vAlign w:val="center"/>
            <w:hideMark/>
          </w:tcPr>
          <w:p w:rsidR="008E0F00" w:rsidRPr="008E0F00" w:rsidRDefault="008E0F00" w:rsidP="008E0F00">
            <w:pPr>
              <w:spacing w:after="0" w:line="240" w:lineRule="auto"/>
              <w:jc w:val="center"/>
              <w:rPr>
                <w:rFonts w:ascii="Calibri" w:eastAsia="Times New Roman" w:hAnsi="Calibri" w:cs="Times New Roman"/>
                <w:b/>
                <w:bCs/>
                <w:color w:val="000000"/>
                <w:lang w:val="de-DE" w:eastAsia="de-DE"/>
              </w:rPr>
            </w:pPr>
            <w:r w:rsidRPr="008E0F00">
              <w:rPr>
                <w:rFonts w:ascii="Calibri" w:eastAsia="Times New Roman" w:hAnsi="Calibri" w:cs="Times New Roman"/>
                <w:b/>
                <w:bCs/>
                <w:color w:val="000000"/>
                <w:lang w:val="de-DE" w:eastAsia="de-DE"/>
              </w:rPr>
              <w:t>ratio               P/M</w:t>
            </w:r>
          </w:p>
        </w:tc>
        <w:tc>
          <w:tcPr>
            <w:tcW w:w="2180" w:type="dxa"/>
            <w:gridSpan w:val="2"/>
            <w:tcBorders>
              <w:top w:val="single" w:sz="4" w:space="0" w:color="auto"/>
              <w:left w:val="nil"/>
              <w:bottom w:val="nil"/>
              <w:right w:val="single" w:sz="4" w:space="0" w:color="000000"/>
            </w:tcBorders>
            <w:shd w:val="clear" w:color="auto" w:fill="auto"/>
            <w:vAlign w:val="bottom"/>
            <w:hideMark/>
          </w:tcPr>
          <w:p w:rsidR="008E0F00" w:rsidRPr="008E0F00" w:rsidRDefault="008E0F00" w:rsidP="008E0F00">
            <w:pPr>
              <w:spacing w:after="0" w:line="240" w:lineRule="auto"/>
              <w:jc w:val="center"/>
              <w:rPr>
                <w:rFonts w:ascii="Calibri" w:eastAsia="Times New Roman" w:hAnsi="Calibri" w:cs="Times New Roman"/>
                <w:b/>
                <w:bCs/>
                <w:color w:val="000000"/>
                <w:lang w:val="de-DE" w:eastAsia="de-DE"/>
              </w:rPr>
            </w:pPr>
            <w:r w:rsidRPr="008E0F00">
              <w:rPr>
                <w:rFonts w:ascii="Calibri" w:eastAsia="Times New Roman" w:hAnsi="Calibri" w:cs="Times New Roman"/>
                <w:b/>
                <w:bCs/>
                <w:color w:val="000000"/>
                <w:lang w:val="de-DE" w:eastAsia="de-DE"/>
              </w:rPr>
              <w:t>µg g</w:t>
            </w:r>
            <w:r w:rsidRPr="008E0F00">
              <w:rPr>
                <w:rFonts w:ascii="Calibri" w:eastAsia="Times New Roman" w:hAnsi="Calibri" w:cs="Times New Roman"/>
                <w:b/>
                <w:bCs/>
                <w:color w:val="000000"/>
                <w:vertAlign w:val="superscript"/>
                <w:lang w:val="de-DE" w:eastAsia="de-DE"/>
              </w:rPr>
              <w:t>-1</w:t>
            </w:r>
            <w:r w:rsidRPr="008E0F00">
              <w:rPr>
                <w:rFonts w:ascii="Calibri" w:eastAsia="Times New Roman" w:hAnsi="Calibri" w:cs="Times New Roman"/>
                <w:b/>
                <w:bCs/>
                <w:color w:val="000000"/>
                <w:lang w:val="de-DE" w:eastAsia="de-DE"/>
              </w:rPr>
              <w:t xml:space="preserve"> FW</w:t>
            </w:r>
          </w:p>
        </w:tc>
        <w:tc>
          <w:tcPr>
            <w:tcW w:w="1200" w:type="dxa"/>
            <w:vMerge w:val="restart"/>
            <w:tcBorders>
              <w:top w:val="nil"/>
              <w:left w:val="single" w:sz="4" w:space="0" w:color="auto"/>
              <w:bottom w:val="single" w:sz="4" w:space="0" w:color="000000"/>
              <w:right w:val="single" w:sz="4" w:space="0" w:color="auto"/>
            </w:tcBorders>
            <w:shd w:val="clear" w:color="auto" w:fill="auto"/>
            <w:vAlign w:val="center"/>
            <w:hideMark/>
          </w:tcPr>
          <w:p w:rsidR="008E0F00" w:rsidRPr="008E0F00" w:rsidRDefault="008E0F00" w:rsidP="008E0F00">
            <w:pPr>
              <w:spacing w:after="0" w:line="240" w:lineRule="auto"/>
              <w:jc w:val="center"/>
              <w:rPr>
                <w:rFonts w:ascii="Calibri" w:eastAsia="Times New Roman" w:hAnsi="Calibri" w:cs="Times New Roman"/>
                <w:b/>
                <w:bCs/>
                <w:color w:val="000000"/>
                <w:lang w:val="de-DE" w:eastAsia="de-DE"/>
              </w:rPr>
            </w:pPr>
            <w:r w:rsidRPr="008E0F00">
              <w:rPr>
                <w:rFonts w:ascii="Calibri" w:eastAsia="Times New Roman" w:hAnsi="Calibri" w:cs="Times New Roman"/>
                <w:b/>
                <w:bCs/>
                <w:color w:val="000000"/>
                <w:lang w:val="de-DE" w:eastAsia="de-DE"/>
              </w:rPr>
              <w:t>ratio            PM</w:t>
            </w:r>
          </w:p>
        </w:tc>
        <w:tc>
          <w:tcPr>
            <w:tcW w:w="2160" w:type="dxa"/>
            <w:gridSpan w:val="2"/>
            <w:tcBorders>
              <w:top w:val="single" w:sz="4" w:space="0" w:color="auto"/>
              <w:left w:val="nil"/>
              <w:bottom w:val="nil"/>
              <w:right w:val="single" w:sz="4" w:space="0" w:color="000000"/>
            </w:tcBorders>
            <w:shd w:val="clear" w:color="auto" w:fill="auto"/>
            <w:vAlign w:val="bottom"/>
            <w:hideMark/>
          </w:tcPr>
          <w:p w:rsidR="008E0F00" w:rsidRPr="008E0F00" w:rsidRDefault="008E0F00" w:rsidP="008E0F00">
            <w:pPr>
              <w:spacing w:after="0" w:line="240" w:lineRule="auto"/>
              <w:jc w:val="center"/>
              <w:rPr>
                <w:rFonts w:ascii="Calibri" w:eastAsia="Times New Roman" w:hAnsi="Calibri" w:cs="Times New Roman"/>
                <w:b/>
                <w:bCs/>
                <w:color w:val="000000"/>
                <w:lang w:val="de-DE" w:eastAsia="de-DE"/>
              </w:rPr>
            </w:pPr>
            <w:r w:rsidRPr="008E0F00">
              <w:rPr>
                <w:rFonts w:ascii="Calibri" w:eastAsia="Times New Roman" w:hAnsi="Calibri" w:cs="Times New Roman"/>
                <w:b/>
                <w:bCs/>
                <w:color w:val="000000"/>
                <w:lang w:val="de-DE" w:eastAsia="de-DE"/>
              </w:rPr>
              <w:t>µg g</w:t>
            </w:r>
            <w:r w:rsidRPr="008E0F00">
              <w:rPr>
                <w:rFonts w:ascii="Calibri" w:eastAsia="Times New Roman" w:hAnsi="Calibri" w:cs="Times New Roman"/>
                <w:b/>
                <w:bCs/>
                <w:color w:val="000000"/>
                <w:vertAlign w:val="superscript"/>
                <w:lang w:val="de-DE" w:eastAsia="de-DE"/>
              </w:rPr>
              <w:t>-1</w:t>
            </w:r>
            <w:r w:rsidRPr="008E0F00">
              <w:rPr>
                <w:rFonts w:ascii="Calibri" w:eastAsia="Times New Roman" w:hAnsi="Calibri" w:cs="Times New Roman"/>
                <w:b/>
                <w:bCs/>
                <w:color w:val="000000"/>
                <w:lang w:val="de-DE" w:eastAsia="de-DE"/>
              </w:rPr>
              <w:t xml:space="preserve"> FW</w:t>
            </w:r>
          </w:p>
        </w:tc>
        <w:tc>
          <w:tcPr>
            <w:tcW w:w="1020" w:type="dxa"/>
            <w:vMerge w:val="restart"/>
            <w:tcBorders>
              <w:top w:val="nil"/>
              <w:left w:val="single" w:sz="4" w:space="0" w:color="auto"/>
              <w:bottom w:val="single" w:sz="4" w:space="0" w:color="000000"/>
              <w:right w:val="single" w:sz="4" w:space="0" w:color="auto"/>
            </w:tcBorders>
            <w:shd w:val="clear" w:color="auto" w:fill="auto"/>
            <w:vAlign w:val="center"/>
            <w:hideMark/>
          </w:tcPr>
          <w:p w:rsidR="008E0F00" w:rsidRPr="008E0F00" w:rsidRDefault="008E0F00" w:rsidP="008E0F00">
            <w:pPr>
              <w:spacing w:after="0" w:line="240" w:lineRule="auto"/>
              <w:jc w:val="center"/>
              <w:rPr>
                <w:rFonts w:ascii="Calibri" w:eastAsia="Times New Roman" w:hAnsi="Calibri" w:cs="Times New Roman"/>
                <w:b/>
                <w:bCs/>
                <w:color w:val="000000"/>
                <w:lang w:val="de-DE" w:eastAsia="de-DE"/>
              </w:rPr>
            </w:pPr>
            <w:r w:rsidRPr="008E0F00">
              <w:rPr>
                <w:rFonts w:ascii="Calibri" w:eastAsia="Times New Roman" w:hAnsi="Calibri" w:cs="Times New Roman"/>
                <w:b/>
                <w:bCs/>
                <w:color w:val="000000"/>
                <w:lang w:val="de-DE" w:eastAsia="de-DE"/>
              </w:rPr>
              <w:t>ratio        P/M</w:t>
            </w:r>
          </w:p>
        </w:tc>
        <w:tc>
          <w:tcPr>
            <w:tcW w:w="2260" w:type="dxa"/>
            <w:gridSpan w:val="2"/>
            <w:tcBorders>
              <w:top w:val="single" w:sz="4" w:space="0" w:color="auto"/>
              <w:left w:val="nil"/>
              <w:bottom w:val="nil"/>
              <w:right w:val="single" w:sz="4" w:space="0" w:color="000000"/>
            </w:tcBorders>
            <w:shd w:val="clear" w:color="auto" w:fill="auto"/>
            <w:vAlign w:val="bottom"/>
            <w:hideMark/>
          </w:tcPr>
          <w:p w:rsidR="008E0F00" w:rsidRPr="008E0F00" w:rsidRDefault="008E0F00" w:rsidP="008E0F00">
            <w:pPr>
              <w:spacing w:after="0" w:line="240" w:lineRule="auto"/>
              <w:jc w:val="center"/>
              <w:rPr>
                <w:rFonts w:ascii="Calibri" w:eastAsia="Times New Roman" w:hAnsi="Calibri" w:cs="Times New Roman"/>
                <w:b/>
                <w:bCs/>
                <w:color w:val="000000"/>
                <w:lang w:val="de-DE" w:eastAsia="de-DE"/>
              </w:rPr>
            </w:pPr>
            <w:r w:rsidRPr="008E0F00">
              <w:rPr>
                <w:rFonts w:ascii="Calibri" w:eastAsia="Times New Roman" w:hAnsi="Calibri" w:cs="Times New Roman"/>
                <w:b/>
                <w:bCs/>
                <w:color w:val="000000"/>
                <w:lang w:val="de-DE" w:eastAsia="de-DE"/>
              </w:rPr>
              <w:t>µg g</w:t>
            </w:r>
            <w:r w:rsidRPr="008E0F00">
              <w:rPr>
                <w:rFonts w:ascii="Calibri" w:eastAsia="Times New Roman" w:hAnsi="Calibri" w:cs="Times New Roman"/>
                <w:b/>
                <w:bCs/>
                <w:color w:val="000000"/>
                <w:vertAlign w:val="superscript"/>
                <w:lang w:val="de-DE" w:eastAsia="de-DE"/>
              </w:rPr>
              <w:t>-1</w:t>
            </w:r>
            <w:r w:rsidRPr="008E0F00">
              <w:rPr>
                <w:rFonts w:ascii="Calibri" w:eastAsia="Times New Roman" w:hAnsi="Calibri" w:cs="Times New Roman"/>
                <w:b/>
                <w:bCs/>
                <w:color w:val="000000"/>
                <w:lang w:val="de-DE" w:eastAsia="de-DE"/>
              </w:rPr>
              <w:t xml:space="preserve"> FW</w:t>
            </w:r>
          </w:p>
        </w:tc>
        <w:tc>
          <w:tcPr>
            <w:tcW w:w="840" w:type="dxa"/>
            <w:vMerge w:val="restart"/>
            <w:tcBorders>
              <w:top w:val="nil"/>
              <w:left w:val="single" w:sz="4" w:space="0" w:color="auto"/>
              <w:bottom w:val="single" w:sz="4" w:space="0" w:color="000000"/>
              <w:right w:val="single" w:sz="4" w:space="0" w:color="auto"/>
            </w:tcBorders>
            <w:shd w:val="clear" w:color="auto" w:fill="auto"/>
            <w:vAlign w:val="center"/>
            <w:hideMark/>
          </w:tcPr>
          <w:p w:rsidR="008E0F00" w:rsidRPr="008E0F00" w:rsidRDefault="008E0F00" w:rsidP="008E0F00">
            <w:pPr>
              <w:spacing w:after="0" w:line="240" w:lineRule="auto"/>
              <w:jc w:val="center"/>
              <w:rPr>
                <w:rFonts w:ascii="Calibri" w:eastAsia="Times New Roman" w:hAnsi="Calibri" w:cs="Times New Roman"/>
                <w:b/>
                <w:bCs/>
                <w:color w:val="000000"/>
                <w:lang w:val="de-DE" w:eastAsia="de-DE"/>
              </w:rPr>
            </w:pPr>
            <w:r w:rsidRPr="008E0F00">
              <w:rPr>
                <w:rFonts w:ascii="Calibri" w:eastAsia="Times New Roman" w:hAnsi="Calibri" w:cs="Times New Roman"/>
                <w:b/>
                <w:bCs/>
                <w:color w:val="000000"/>
                <w:lang w:val="de-DE" w:eastAsia="de-DE"/>
              </w:rPr>
              <w:t>ratio         P/M</w:t>
            </w:r>
          </w:p>
        </w:tc>
      </w:tr>
      <w:tr w:rsidR="008E0F00" w:rsidRPr="008E0F00" w:rsidTr="008E0F00">
        <w:trPr>
          <w:trHeight w:val="360"/>
        </w:trPr>
        <w:tc>
          <w:tcPr>
            <w:tcW w:w="1480" w:type="dxa"/>
            <w:vMerge/>
            <w:tcBorders>
              <w:top w:val="nil"/>
              <w:left w:val="single" w:sz="4" w:space="0" w:color="auto"/>
              <w:bottom w:val="single" w:sz="4" w:space="0" w:color="000000"/>
              <w:right w:val="single" w:sz="4" w:space="0" w:color="auto"/>
            </w:tcBorders>
            <w:vAlign w:val="center"/>
            <w:hideMark/>
          </w:tcPr>
          <w:p w:rsidR="008E0F00" w:rsidRPr="008E0F00" w:rsidRDefault="008E0F00" w:rsidP="008E0F00">
            <w:pPr>
              <w:spacing w:after="0" w:line="240" w:lineRule="auto"/>
              <w:rPr>
                <w:rFonts w:ascii="Calibri" w:eastAsia="Times New Roman" w:hAnsi="Calibri" w:cs="Times New Roman"/>
                <w:b/>
                <w:bCs/>
                <w:color w:val="000000"/>
                <w:lang w:val="de-DE" w:eastAsia="de-DE"/>
              </w:rPr>
            </w:pPr>
          </w:p>
        </w:tc>
        <w:tc>
          <w:tcPr>
            <w:tcW w:w="1060" w:type="dxa"/>
            <w:tcBorders>
              <w:top w:val="nil"/>
              <w:left w:val="nil"/>
              <w:bottom w:val="single" w:sz="4" w:space="0" w:color="auto"/>
              <w:right w:val="nil"/>
            </w:tcBorders>
            <w:shd w:val="clear" w:color="auto" w:fill="auto"/>
            <w:vAlign w:val="bottom"/>
            <w:hideMark/>
          </w:tcPr>
          <w:p w:rsidR="008E0F00" w:rsidRPr="008E0F00" w:rsidRDefault="008E0F00" w:rsidP="008E0F00">
            <w:pPr>
              <w:spacing w:after="0" w:line="240" w:lineRule="auto"/>
              <w:jc w:val="center"/>
              <w:rPr>
                <w:rFonts w:ascii="Calibri" w:eastAsia="Times New Roman" w:hAnsi="Calibri" w:cs="Times New Roman"/>
                <w:b/>
                <w:bCs/>
                <w:color w:val="000000"/>
                <w:lang w:val="de-DE" w:eastAsia="de-DE"/>
              </w:rPr>
            </w:pPr>
            <w:r w:rsidRPr="008E0F00">
              <w:rPr>
                <w:rFonts w:ascii="Calibri" w:eastAsia="Times New Roman" w:hAnsi="Calibri" w:cs="Times New Roman"/>
                <w:b/>
                <w:bCs/>
                <w:color w:val="000000"/>
                <w:lang w:val="de-DE" w:eastAsia="de-DE"/>
              </w:rPr>
              <w:t>MgCl</w:t>
            </w:r>
            <w:r w:rsidRPr="008E0F00">
              <w:rPr>
                <w:rFonts w:ascii="Calibri" w:eastAsia="Times New Roman" w:hAnsi="Calibri" w:cs="Times New Roman"/>
                <w:b/>
                <w:bCs/>
                <w:color w:val="000000"/>
                <w:vertAlign w:val="subscript"/>
                <w:lang w:val="de-DE" w:eastAsia="de-DE"/>
              </w:rPr>
              <w:t>2</w:t>
            </w:r>
          </w:p>
        </w:tc>
        <w:tc>
          <w:tcPr>
            <w:tcW w:w="1000" w:type="dxa"/>
            <w:tcBorders>
              <w:top w:val="nil"/>
              <w:left w:val="nil"/>
              <w:bottom w:val="single" w:sz="4" w:space="0" w:color="auto"/>
              <w:right w:val="single" w:sz="4" w:space="0" w:color="auto"/>
            </w:tcBorders>
            <w:shd w:val="clear" w:color="auto" w:fill="auto"/>
            <w:vAlign w:val="bottom"/>
            <w:hideMark/>
          </w:tcPr>
          <w:p w:rsidR="008E0F00" w:rsidRPr="008E0F00" w:rsidRDefault="008E0F00" w:rsidP="008E0F00">
            <w:pPr>
              <w:spacing w:after="0" w:line="240" w:lineRule="auto"/>
              <w:jc w:val="center"/>
              <w:rPr>
                <w:rFonts w:ascii="Calibri" w:eastAsia="Times New Roman" w:hAnsi="Calibri" w:cs="Times New Roman"/>
                <w:b/>
                <w:bCs/>
                <w:color w:val="000000"/>
                <w:lang w:val="de-DE" w:eastAsia="de-DE"/>
              </w:rPr>
            </w:pPr>
            <w:r w:rsidRPr="008E0F00">
              <w:rPr>
                <w:rFonts w:ascii="Calibri" w:eastAsia="Times New Roman" w:hAnsi="Calibri" w:cs="Times New Roman"/>
                <w:b/>
                <w:bCs/>
                <w:i/>
                <w:iCs/>
                <w:color w:val="000000"/>
                <w:lang w:val="de-DE" w:eastAsia="de-DE"/>
              </w:rPr>
              <w:t>Psm</w:t>
            </w:r>
            <w:r w:rsidRPr="008E0F00">
              <w:rPr>
                <w:rFonts w:ascii="Calibri" w:eastAsia="Times New Roman" w:hAnsi="Calibri" w:cs="Times New Roman"/>
                <w:b/>
                <w:bCs/>
                <w:color w:val="000000"/>
                <w:lang w:val="de-DE" w:eastAsia="de-DE"/>
              </w:rPr>
              <w:t xml:space="preserve"> </w:t>
            </w:r>
          </w:p>
        </w:tc>
        <w:tc>
          <w:tcPr>
            <w:tcW w:w="960" w:type="dxa"/>
            <w:vMerge/>
            <w:tcBorders>
              <w:top w:val="nil"/>
              <w:left w:val="single" w:sz="4" w:space="0" w:color="auto"/>
              <w:bottom w:val="single" w:sz="4" w:space="0" w:color="000000"/>
              <w:right w:val="single" w:sz="4" w:space="0" w:color="auto"/>
            </w:tcBorders>
            <w:vAlign w:val="center"/>
            <w:hideMark/>
          </w:tcPr>
          <w:p w:rsidR="008E0F00" w:rsidRPr="008E0F00" w:rsidRDefault="008E0F00" w:rsidP="008E0F00">
            <w:pPr>
              <w:spacing w:after="0" w:line="240" w:lineRule="auto"/>
              <w:rPr>
                <w:rFonts w:ascii="Calibri" w:eastAsia="Times New Roman" w:hAnsi="Calibri" w:cs="Times New Roman"/>
                <w:b/>
                <w:bCs/>
                <w:color w:val="000000"/>
                <w:lang w:val="de-DE" w:eastAsia="de-DE"/>
              </w:rPr>
            </w:pPr>
          </w:p>
        </w:tc>
        <w:tc>
          <w:tcPr>
            <w:tcW w:w="1120" w:type="dxa"/>
            <w:tcBorders>
              <w:top w:val="nil"/>
              <w:left w:val="nil"/>
              <w:bottom w:val="single" w:sz="4" w:space="0" w:color="auto"/>
              <w:right w:val="nil"/>
            </w:tcBorders>
            <w:shd w:val="clear" w:color="auto" w:fill="auto"/>
            <w:vAlign w:val="center"/>
            <w:hideMark/>
          </w:tcPr>
          <w:p w:rsidR="008E0F00" w:rsidRPr="008E0F00" w:rsidRDefault="008E0F00" w:rsidP="008E0F00">
            <w:pPr>
              <w:spacing w:after="0" w:line="240" w:lineRule="auto"/>
              <w:jc w:val="center"/>
              <w:rPr>
                <w:rFonts w:ascii="Calibri" w:eastAsia="Times New Roman" w:hAnsi="Calibri" w:cs="Times New Roman"/>
                <w:b/>
                <w:bCs/>
                <w:color w:val="000000"/>
                <w:lang w:val="de-DE" w:eastAsia="de-DE"/>
              </w:rPr>
            </w:pPr>
            <w:r w:rsidRPr="008E0F00">
              <w:rPr>
                <w:rFonts w:ascii="Calibri" w:eastAsia="Times New Roman" w:hAnsi="Calibri" w:cs="Times New Roman"/>
                <w:b/>
                <w:bCs/>
                <w:color w:val="000000"/>
                <w:lang w:val="de-DE" w:eastAsia="de-DE"/>
              </w:rPr>
              <w:t>SM</w:t>
            </w:r>
          </w:p>
        </w:tc>
        <w:tc>
          <w:tcPr>
            <w:tcW w:w="1060" w:type="dxa"/>
            <w:tcBorders>
              <w:top w:val="nil"/>
              <w:left w:val="nil"/>
              <w:bottom w:val="single" w:sz="4" w:space="0" w:color="auto"/>
              <w:right w:val="single" w:sz="4" w:space="0" w:color="auto"/>
            </w:tcBorders>
            <w:shd w:val="clear" w:color="auto" w:fill="auto"/>
            <w:vAlign w:val="center"/>
            <w:hideMark/>
          </w:tcPr>
          <w:p w:rsidR="008E0F00" w:rsidRPr="008E0F00" w:rsidRDefault="008E0F00" w:rsidP="008E0F00">
            <w:pPr>
              <w:spacing w:after="0" w:line="240" w:lineRule="auto"/>
              <w:jc w:val="center"/>
              <w:rPr>
                <w:rFonts w:ascii="Calibri" w:eastAsia="Times New Roman" w:hAnsi="Calibri" w:cs="Times New Roman"/>
                <w:b/>
                <w:bCs/>
                <w:i/>
                <w:iCs/>
                <w:color w:val="000000"/>
                <w:lang w:val="de-DE" w:eastAsia="de-DE"/>
              </w:rPr>
            </w:pPr>
            <w:r w:rsidRPr="008E0F00">
              <w:rPr>
                <w:rFonts w:ascii="Calibri" w:eastAsia="Times New Roman" w:hAnsi="Calibri" w:cs="Times New Roman"/>
                <w:b/>
                <w:bCs/>
                <w:i/>
                <w:iCs/>
                <w:color w:val="000000"/>
                <w:lang w:val="de-DE" w:eastAsia="de-DE"/>
              </w:rPr>
              <w:t>Bc</w:t>
            </w:r>
          </w:p>
        </w:tc>
        <w:tc>
          <w:tcPr>
            <w:tcW w:w="1200" w:type="dxa"/>
            <w:vMerge/>
            <w:tcBorders>
              <w:top w:val="nil"/>
              <w:left w:val="single" w:sz="4" w:space="0" w:color="auto"/>
              <w:bottom w:val="single" w:sz="4" w:space="0" w:color="000000"/>
              <w:right w:val="single" w:sz="4" w:space="0" w:color="auto"/>
            </w:tcBorders>
            <w:vAlign w:val="center"/>
            <w:hideMark/>
          </w:tcPr>
          <w:p w:rsidR="008E0F00" w:rsidRPr="008E0F00" w:rsidRDefault="008E0F00" w:rsidP="008E0F00">
            <w:pPr>
              <w:spacing w:after="0" w:line="240" w:lineRule="auto"/>
              <w:rPr>
                <w:rFonts w:ascii="Calibri" w:eastAsia="Times New Roman" w:hAnsi="Calibri" w:cs="Times New Roman"/>
                <w:b/>
                <w:bCs/>
                <w:color w:val="000000"/>
                <w:lang w:val="de-DE" w:eastAsia="de-DE"/>
              </w:rPr>
            </w:pPr>
          </w:p>
        </w:tc>
        <w:tc>
          <w:tcPr>
            <w:tcW w:w="1140" w:type="dxa"/>
            <w:tcBorders>
              <w:top w:val="nil"/>
              <w:left w:val="nil"/>
              <w:bottom w:val="single" w:sz="4" w:space="0" w:color="auto"/>
              <w:right w:val="nil"/>
            </w:tcBorders>
            <w:shd w:val="clear" w:color="auto" w:fill="auto"/>
            <w:vAlign w:val="bottom"/>
            <w:hideMark/>
          </w:tcPr>
          <w:p w:rsidR="008E0F00" w:rsidRPr="008E0F00" w:rsidRDefault="008E0F00" w:rsidP="008E0F00">
            <w:pPr>
              <w:spacing w:after="0" w:line="240" w:lineRule="auto"/>
              <w:jc w:val="center"/>
              <w:rPr>
                <w:rFonts w:ascii="Calibri" w:eastAsia="Times New Roman" w:hAnsi="Calibri" w:cs="Times New Roman"/>
                <w:b/>
                <w:bCs/>
                <w:color w:val="000000"/>
                <w:lang w:val="de-DE" w:eastAsia="de-DE"/>
              </w:rPr>
            </w:pPr>
            <w:r w:rsidRPr="008E0F00">
              <w:rPr>
                <w:rFonts w:ascii="Calibri" w:eastAsia="Times New Roman" w:hAnsi="Calibri" w:cs="Times New Roman"/>
                <w:b/>
                <w:bCs/>
                <w:color w:val="000000"/>
                <w:lang w:val="de-DE" w:eastAsia="de-DE"/>
              </w:rPr>
              <w:t>H</w:t>
            </w:r>
            <w:r w:rsidRPr="008E0F00">
              <w:rPr>
                <w:rFonts w:ascii="Calibri" w:eastAsia="Times New Roman" w:hAnsi="Calibri" w:cs="Times New Roman"/>
                <w:b/>
                <w:bCs/>
                <w:color w:val="000000"/>
                <w:vertAlign w:val="subscript"/>
                <w:lang w:val="de-DE" w:eastAsia="de-DE"/>
              </w:rPr>
              <w:t>2</w:t>
            </w:r>
            <w:r w:rsidRPr="008E0F00">
              <w:rPr>
                <w:rFonts w:ascii="Calibri" w:eastAsia="Times New Roman" w:hAnsi="Calibri" w:cs="Times New Roman"/>
                <w:b/>
                <w:bCs/>
                <w:color w:val="000000"/>
                <w:lang w:val="de-DE" w:eastAsia="de-DE"/>
              </w:rPr>
              <w:t>O</w:t>
            </w:r>
          </w:p>
        </w:tc>
        <w:tc>
          <w:tcPr>
            <w:tcW w:w="1020" w:type="dxa"/>
            <w:tcBorders>
              <w:top w:val="nil"/>
              <w:left w:val="nil"/>
              <w:bottom w:val="single" w:sz="4" w:space="0" w:color="auto"/>
              <w:right w:val="single" w:sz="4" w:space="0" w:color="auto"/>
            </w:tcBorders>
            <w:shd w:val="clear" w:color="auto" w:fill="auto"/>
            <w:vAlign w:val="bottom"/>
            <w:hideMark/>
          </w:tcPr>
          <w:p w:rsidR="008E0F00" w:rsidRPr="008E0F00" w:rsidRDefault="008E0F00" w:rsidP="008E0F00">
            <w:pPr>
              <w:spacing w:after="0" w:line="240" w:lineRule="auto"/>
              <w:jc w:val="center"/>
              <w:rPr>
                <w:rFonts w:ascii="Calibri" w:eastAsia="Times New Roman" w:hAnsi="Calibri" w:cs="Times New Roman"/>
                <w:b/>
                <w:bCs/>
                <w:i/>
                <w:iCs/>
                <w:color w:val="000000"/>
                <w:lang w:val="de-DE" w:eastAsia="de-DE"/>
              </w:rPr>
            </w:pPr>
            <w:r w:rsidRPr="008E0F00">
              <w:rPr>
                <w:rFonts w:ascii="Calibri" w:eastAsia="Times New Roman" w:hAnsi="Calibri" w:cs="Times New Roman"/>
                <w:b/>
                <w:bCs/>
                <w:i/>
                <w:iCs/>
                <w:color w:val="000000"/>
                <w:lang w:val="de-DE" w:eastAsia="de-DE"/>
              </w:rPr>
              <w:t>Hpa</w:t>
            </w:r>
          </w:p>
        </w:tc>
        <w:tc>
          <w:tcPr>
            <w:tcW w:w="1020" w:type="dxa"/>
            <w:vMerge/>
            <w:tcBorders>
              <w:top w:val="nil"/>
              <w:left w:val="single" w:sz="4" w:space="0" w:color="auto"/>
              <w:bottom w:val="single" w:sz="4" w:space="0" w:color="000000"/>
              <w:right w:val="single" w:sz="4" w:space="0" w:color="auto"/>
            </w:tcBorders>
            <w:vAlign w:val="center"/>
            <w:hideMark/>
          </w:tcPr>
          <w:p w:rsidR="008E0F00" w:rsidRPr="008E0F00" w:rsidRDefault="008E0F00" w:rsidP="008E0F00">
            <w:pPr>
              <w:spacing w:after="0" w:line="240" w:lineRule="auto"/>
              <w:rPr>
                <w:rFonts w:ascii="Calibri" w:eastAsia="Times New Roman" w:hAnsi="Calibri" w:cs="Times New Roman"/>
                <w:b/>
                <w:bCs/>
                <w:color w:val="000000"/>
                <w:lang w:val="de-DE" w:eastAsia="de-DE"/>
              </w:rPr>
            </w:pPr>
          </w:p>
        </w:tc>
        <w:tc>
          <w:tcPr>
            <w:tcW w:w="1140" w:type="dxa"/>
            <w:tcBorders>
              <w:top w:val="nil"/>
              <w:left w:val="nil"/>
              <w:bottom w:val="single" w:sz="4" w:space="0" w:color="auto"/>
              <w:right w:val="nil"/>
            </w:tcBorders>
            <w:shd w:val="clear" w:color="auto" w:fill="auto"/>
            <w:vAlign w:val="bottom"/>
            <w:hideMark/>
          </w:tcPr>
          <w:p w:rsidR="008E0F00" w:rsidRPr="008E0F00" w:rsidRDefault="008E0F00" w:rsidP="008E0F00">
            <w:pPr>
              <w:spacing w:after="0" w:line="240" w:lineRule="auto"/>
              <w:jc w:val="center"/>
              <w:rPr>
                <w:rFonts w:ascii="Calibri" w:eastAsia="Times New Roman" w:hAnsi="Calibri" w:cs="Times New Roman"/>
                <w:b/>
                <w:bCs/>
                <w:color w:val="000000"/>
                <w:lang w:val="de-DE" w:eastAsia="de-DE"/>
              </w:rPr>
            </w:pPr>
            <w:r w:rsidRPr="008E0F00">
              <w:rPr>
                <w:rFonts w:ascii="Calibri" w:eastAsia="Times New Roman" w:hAnsi="Calibri" w:cs="Times New Roman"/>
                <w:b/>
                <w:bCs/>
                <w:color w:val="000000"/>
                <w:lang w:val="de-DE" w:eastAsia="de-DE"/>
              </w:rPr>
              <w:t>nt</w:t>
            </w:r>
          </w:p>
        </w:tc>
        <w:tc>
          <w:tcPr>
            <w:tcW w:w="1120" w:type="dxa"/>
            <w:tcBorders>
              <w:top w:val="nil"/>
              <w:left w:val="nil"/>
              <w:bottom w:val="single" w:sz="4" w:space="0" w:color="auto"/>
              <w:right w:val="single" w:sz="4" w:space="0" w:color="auto"/>
            </w:tcBorders>
            <w:shd w:val="clear" w:color="auto" w:fill="auto"/>
            <w:vAlign w:val="bottom"/>
            <w:hideMark/>
          </w:tcPr>
          <w:p w:rsidR="008E0F00" w:rsidRPr="008E0F00" w:rsidRDefault="008E0F00" w:rsidP="008E0F00">
            <w:pPr>
              <w:spacing w:after="0" w:line="240" w:lineRule="auto"/>
              <w:jc w:val="center"/>
              <w:rPr>
                <w:rFonts w:ascii="Calibri" w:eastAsia="Times New Roman" w:hAnsi="Calibri" w:cs="Times New Roman"/>
                <w:b/>
                <w:bCs/>
                <w:i/>
                <w:iCs/>
                <w:color w:val="000000"/>
                <w:lang w:val="de-DE" w:eastAsia="de-DE"/>
              </w:rPr>
            </w:pPr>
            <w:r w:rsidRPr="008E0F00">
              <w:rPr>
                <w:rFonts w:ascii="Calibri" w:eastAsia="Times New Roman" w:hAnsi="Calibri" w:cs="Times New Roman"/>
                <w:b/>
                <w:bCs/>
                <w:i/>
                <w:iCs/>
                <w:color w:val="000000"/>
                <w:lang w:val="de-DE" w:eastAsia="de-DE"/>
              </w:rPr>
              <w:t>Go</w:t>
            </w:r>
          </w:p>
        </w:tc>
        <w:tc>
          <w:tcPr>
            <w:tcW w:w="840" w:type="dxa"/>
            <w:vMerge/>
            <w:tcBorders>
              <w:top w:val="nil"/>
              <w:left w:val="single" w:sz="4" w:space="0" w:color="auto"/>
              <w:bottom w:val="single" w:sz="4" w:space="0" w:color="000000"/>
              <w:right w:val="single" w:sz="4" w:space="0" w:color="auto"/>
            </w:tcBorders>
            <w:vAlign w:val="center"/>
            <w:hideMark/>
          </w:tcPr>
          <w:p w:rsidR="008E0F00" w:rsidRPr="008E0F00" w:rsidRDefault="008E0F00" w:rsidP="008E0F00">
            <w:pPr>
              <w:spacing w:after="0" w:line="240" w:lineRule="auto"/>
              <w:rPr>
                <w:rFonts w:ascii="Calibri" w:eastAsia="Times New Roman" w:hAnsi="Calibri" w:cs="Times New Roman"/>
                <w:b/>
                <w:bCs/>
                <w:color w:val="000000"/>
                <w:lang w:val="de-DE" w:eastAsia="de-DE"/>
              </w:rPr>
            </w:pPr>
          </w:p>
        </w:tc>
      </w:tr>
      <w:tr w:rsidR="008E0F00" w:rsidRPr="008E0F00" w:rsidTr="008E0F00">
        <w:trPr>
          <w:trHeight w:val="600"/>
        </w:trPr>
        <w:tc>
          <w:tcPr>
            <w:tcW w:w="1480" w:type="dxa"/>
            <w:tcBorders>
              <w:top w:val="nil"/>
              <w:left w:val="single" w:sz="4" w:space="0" w:color="auto"/>
              <w:bottom w:val="nil"/>
              <w:right w:val="single" w:sz="4" w:space="0" w:color="auto"/>
            </w:tcBorders>
            <w:shd w:val="clear" w:color="auto" w:fill="auto"/>
            <w:noWrap/>
            <w:vAlign w:val="center"/>
            <w:hideMark/>
          </w:tcPr>
          <w:p w:rsidR="008E0F00" w:rsidRPr="008E0F00" w:rsidRDefault="008E0F00" w:rsidP="008E0F00">
            <w:pPr>
              <w:spacing w:after="0" w:line="240" w:lineRule="auto"/>
              <w:jc w:val="center"/>
              <w:rPr>
                <w:rFonts w:ascii="Calibri" w:eastAsia="Times New Roman" w:hAnsi="Calibri" w:cs="Times New Roman"/>
                <w:color w:val="000000"/>
                <w:lang w:val="de-DE" w:eastAsia="de-DE"/>
              </w:rPr>
            </w:pPr>
            <w:r w:rsidRPr="008E0F00">
              <w:rPr>
                <w:rFonts w:ascii="Calibri" w:eastAsia="Times New Roman" w:hAnsi="Calibri" w:cs="Times New Roman"/>
                <w:color w:val="000000"/>
                <w:lang w:val="de-DE" w:eastAsia="de-DE"/>
              </w:rPr>
              <w:t>Salicylic acid</w:t>
            </w:r>
          </w:p>
        </w:tc>
        <w:tc>
          <w:tcPr>
            <w:tcW w:w="1060" w:type="dxa"/>
            <w:tcBorders>
              <w:top w:val="nil"/>
              <w:left w:val="nil"/>
              <w:bottom w:val="nil"/>
              <w:right w:val="nil"/>
            </w:tcBorders>
            <w:shd w:val="clear" w:color="auto" w:fill="auto"/>
            <w:noWrap/>
            <w:vAlign w:val="center"/>
            <w:hideMark/>
          </w:tcPr>
          <w:p w:rsidR="008E0F00" w:rsidRPr="008E0F00" w:rsidRDefault="008E0F00" w:rsidP="008E0F00">
            <w:pPr>
              <w:spacing w:after="0" w:line="240" w:lineRule="auto"/>
              <w:jc w:val="center"/>
              <w:rPr>
                <w:rFonts w:ascii="Calibri" w:eastAsia="Times New Roman" w:hAnsi="Calibri" w:cs="Times New Roman"/>
                <w:color w:val="000000"/>
                <w:lang w:val="de-DE" w:eastAsia="de-DE"/>
              </w:rPr>
            </w:pPr>
            <w:r w:rsidRPr="008E0F00">
              <w:rPr>
                <w:rFonts w:ascii="Calibri" w:eastAsia="Times New Roman" w:hAnsi="Calibri" w:cs="Times New Roman"/>
                <w:color w:val="000000"/>
                <w:lang w:val="de-DE" w:eastAsia="de-DE"/>
              </w:rPr>
              <w:t>0.27</w:t>
            </w:r>
            <w:r w:rsidRPr="008E0F00">
              <w:rPr>
                <w:rFonts w:ascii="Calibri" w:eastAsia="Times New Roman" w:hAnsi="Calibri" w:cs="Times New Roman"/>
                <w:color w:val="000000"/>
                <w:sz w:val="16"/>
                <w:szCs w:val="16"/>
                <w:lang w:val="de-DE" w:eastAsia="de-DE"/>
              </w:rPr>
              <w:t xml:space="preserve"> ±</w:t>
            </w:r>
            <w:r w:rsidRPr="008E0F00">
              <w:rPr>
                <w:rFonts w:ascii="Calibri" w:eastAsia="Times New Roman" w:hAnsi="Calibri" w:cs="Times New Roman"/>
                <w:color w:val="000000"/>
                <w:lang w:val="de-DE" w:eastAsia="de-DE"/>
              </w:rPr>
              <w:t xml:space="preserve"> </w:t>
            </w:r>
            <w:r w:rsidRPr="008E0F00">
              <w:rPr>
                <w:rFonts w:ascii="Calibri" w:eastAsia="Times New Roman" w:hAnsi="Calibri" w:cs="Times New Roman"/>
                <w:color w:val="000000"/>
                <w:sz w:val="16"/>
                <w:szCs w:val="16"/>
                <w:lang w:val="de-DE" w:eastAsia="de-DE"/>
              </w:rPr>
              <w:t>0.07</w:t>
            </w:r>
          </w:p>
        </w:tc>
        <w:tc>
          <w:tcPr>
            <w:tcW w:w="1000" w:type="dxa"/>
            <w:tcBorders>
              <w:top w:val="nil"/>
              <w:left w:val="nil"/>
              <w:bottom w:val="nil"/>
              <w:right w:val="single" w:sz="4" w:space="0" w:color="auto"/>
            </w:tcBorders>
            <w:shd w:val="clear" w:color="auto" w:fill="auto"/>
            <w:noWrap/>
            <w:vAlign w:val="center"/>
            <w:hideMark/>
          </w:tcPr>
          <w:p w:rsidR="008E0F00" w:rsidRPr="008E0F00" w:rsidRDefault="008E0F00" w:rsidP="008E0F00">
            <w:pPr>
              <w:spacing w:after="0" w:line="240" w:lineRule="auto"/>
              <w:jc w:val="center"/>
              <w:rPr>
                <w:rFonts w:ascii="Calibri" w:eastAsia="Times New Roman" w:hAnsi="Calibri" w:cs="Times New Roman"/>
                <w:color w:val="000000"/>
                <w:lang w:val="de-DE" w:eastAsia="de-DE"/>
              </w:rPr>
            </w:pPr>
            <w:r w:rsidRPr="008E0F00">
              <w:rPr>
                <w:rFonts w:ascii="Calibri" w:eastAsia="Times New Roman" w:hAnsi="Calibri" w:cs="Times New Roman"/>
                <w:color w:val="000000"/>
                <w:lang w:val="de-DE" w:eastAsia="de-DE"/>
              </w:rPr>
              <w:t xml:space="preserve">5.0 </w:t>
            </w:r>
            <w:r w:rsidRPr="008E0F00">
              <w:rPr>
                <w:rFonts w:ascii="Calibri" w:eastAsia="Times New Roman" w:hAnsi="Calibri" w:cs="Times New Roman"/>
                <w:color w:val="000000"/>
                <w:sz w:val="16"/>
                <w:szCs w:val="16"/>
                <w:lang w:val="de-DE" w:eastAsia="de-DE"/>
              </w:rPr>
              <w:t>±</w:t>
            </w:r>
            <w:r w:rsidRPr="008E0F00">
              <w:rPr>
                <w:rFonts w:ascii="Calibri" w:eastAsia="Times New Roman" w:hAnsi="Calibri" w:cs="Times New Roman"/>
                <w:color w:val="000000"/>
                <w:lang w:val="de-DE" w:eastAsia="de-DE"/>
              </w:rPr>
              <w:t xml:space="preserve"> </w:t>
            </w:r>
            <w:r w:rsidRPr="008E0F00">
              <w:rPr>
                <w:rFonts w:ascii="Calibri" w:eastAsia="Times New Roman" w:hAnsi="Calibri" w:cs="Times New Roman"/>
                <w:color w:val="000000"/>
                <w:sz w:val="16"/>
                <w:szCs w:val="16"/>
                <w:lang w:val="de-DE" w:eastAsia="de-DE"/>
              </w:rPr>
              <w:t>1.9</w:t>
            </w:r>
          </w:p>
        </w:tc>
        <w:tc>
          <w:tcPr>
            <w:tcW w:w="960" w:type="dxa"/>
            <w:tcBorders>
              <w:top w:val="nil"/>
              <w:left w:val="nil"/>
              <w:bottom w:val="nil"/>
              <w:right w:val="single" w:sz="4" w:space="0" w:color="auto"/>
            </w:tcBorders>
            <w:shd w:val="clear" w:color="000000" w:fill="DA9694"/>
            <w:noWrap/>
            <w:vAlign w:val="center"/>
            <w:hideMark/>
          </w:tcPr>
          <w:p w:rsidR="008E0F00" w:rsidRPr="008E0F00" w:rsidRDefault="008E0F00" w:rsidP="008E0F00">
            <w:pPr>
              <w:spacing w:after="0" w:line="240" w:lineRule="auto"/>
              <w:jc w:val="center"/>
              <w:rPr>
                <w:rFonts w:ascii="Calibri" w:eastAsia="Times New Roman" w:hAnsi="Calibri" w:cs="Times New Roman"/>
                <w:color w:val="000000"/>
                <w:lang w:val="de-DE" w:eastAsia="de-DE"/>
              </w:rPr>
            </w:pPr>
            <w:r w:rsidRPr="008E0F00">
              <w:rPr>
                <w:rFonts w:ascii="Calibri" w:eastAsia="Times New Roman" w:hAnsi="Calibri" w:cs="Times New Roman"/>
                <w:color w:val="000000"/>
                <w:lang w:val="de-DE" w:eastAsia="de-DE"/>
              </w:rPr>
              <w:t xml:space="preserve">18.6 </w:t>
            </w:r>
            <w:r w:rsidRPr="008E0F00">
              <w:rPr>
                <w:rFonts w:ascii="Calibri" w:eastAsia="Times New Roman" w:hAnsi="Calibri" w:cs="Times New Roman"/>
                <w:color w:val="000000"/>
                <w:sz w:val="18"/>
                <w:szCs w:val="18"/>
                <w:lang w:val="de-DE" w:eastAsia="de-DE"/>
              </w:rPr>
              <w:t>*</w:t>
            </w:r>
          </w:p>
        </w:tc>
        <w:tc>
          <w:tcPr>
            <w:tcW w:w="1120" w:type="dxa"/>
            <w:tcBorders>
              <w:top w:val="nil"/>
              <w:left w:val="nil"/>
              <w:bottom w:val="nil"/>
              <w:right w:val="nil"/>
            </w:tcBorders>
            <w:shd w:val="clear" w:color="auto" w:fill="auto"/>
            <w:noWrap/>
            <w:vAlign w:val="center"/>
            <w:hideMark/>
          </w:tcPr>
          <w:p w:rsidR="008E0F00" w:rsidRPr="008E0F00" w:rsidRDefault="008E0F00" w:rsidP="008E0F00">
            <w:pPr>
              <w:spacing w:after="0" w:line="240" w:lineRule="auto"/>
              <w:jc w:val="center"/>
              <w:rPr>
                <w:rFonts w:ascii="Calibri" w:eastAsia="Times New Roman" w:hAnsi="Calibri" w:cs="Times New Roman"/>
                <w:color w:val="000000"/>
                <w:lang w:val="de-DE" w:eastAsia="de-DE"/>
              </w:rPr>
            </w:pPr>
            <w:r w:rsidRPr="008E0F00">
              <w:rPr>
                <w:rFonts w:ascii="Calibri" w:eastAsia="Times New Roman" w:hAnsi="Calibri" w:cs="Times New Roman"/>
                <w:color w:val="000000"/>
                <w:lang w:val="de-DE" w:eastAsia="de-DE"/>
              </w:rPr>
              <w:t>0.26</w:t>
            </w:r>
            <w:r w:rsidRPr="008E0F00">
              <w:rPr>
                <w:rFonts w:ascii="Calibri" w:eastAsia="Times New Roman" w:hAnsi="Calibri" w:cs="Times New Roman"/>
                <w:color w:val="000000"/>
                <w:sz w:val="16"/>
                <w:szCs w:val="16"/>
                <w:lang w:val="de-DE" w:eastAsia="de-DE"/>
              </w:rPr>
              <w:t xml:space="preserve"> ±</w:t>
            </w:r>
            <w:r w:rsidRPr="008E0F00">
              <w:rPr>
                <w:rFonts w:ascii="Calibri" w:eastAsia="Times New Roman" w:hAnsi="Calibri" w:cs="Times New Roman"/>
                <w:color w:val="000000"/>
                <w:lang w:val="de-DE" w:eastAsia="de-DE"/>
              </w:rPr>
              <w:t xml:space="preserve"> </w:t>
            </w:r>
            <w:r w:rsidRPr="008E0F00">
              <w:rPr>
                <w:rFonts w:ascii="Calibri" w:eastAsia="Times New Roman" w:hAnsi="Calibri" w:cs="Times New Roman"/>
                <w:color w:val="000000"/>
                <w:sz w:val="16"/>
                <w:szCs w:val="16"/>
                <w:lang w:val="de-DE" w:eastAsia="de-DE"/>
              </w:rPr>
              <w:t>0.1</w:t>
            </w:r>
          </w:p>
        </w:tc>
        <w:tc>
          <w:tcPr>
            <w:tcW w:w="1060" w:type="dxa"/>
            <w:tcBorders>
              <w:top w:val="nil"/>
              <w:left w:val="nil"/>
              <w:bottom w:val="nil"/>
              <w:right w:val="single" w:sz="4" w:space="0" w:color="auto"/>
            </w:tcBorders>
            <w:shd w:val="clear" w:color="auto" w:fill="auto"/>
            <w:noWrap/>
            <w:vAlign w:val="center"/>
            <w:hideMark/>
          </w:tcPr>
          <w:p w:rsidR="008E0F00" w:rsidRPr="008E0F00" w:rsidRDefault="008E0F00" w:rsidP="008E0F00">
            <w:pPr>
              <w:spacing w:after="0" w:line="240" w:lineRule="auto"/>
              <w:jc w:val="center"/>
              <w:rPr>
                <w:rFonts w:ascii="Calibri" w:eastAsia="Times New Roman" w:hAnsi="Calibri" w:cs="Times New Roman"/>
                <w:color w:val="000000"/>
                <w:lang w:val="de-DE" w:eastAsia="de-DE"/>
              </w:rPr>
            </w:pPr>
            <w:r w:rsidRPr="008E0F00">
              <w:rPr>
                <w:rFonts w:ascii="Calibri" w:eastAsia="Times New Roman" w:hAnsi="Calibri" w:cs="Times New Roman"/>
                <w:color w:val="000000"/>
                <w:lang w:val="de-DE" w:eastAsia="de-DE"/>
              </w:rPr>
              <w:t xml:space="preserve">0.38 </w:t>
            </w:r>
            <w:r w:rsidRPr="008E0F00">
              <w:rPr>
                <w:rFonts w:ascii="Calibri" w:eastAsia="Times New Roman" w:hAnsi="Calibri" w:cs="Times New Roman"/>
                <w:color w:val="000000"/>
                <w:sz w:val="16"/>
                <w:szCs w:val="16"/>
                <w:lang w:val="de-DE" w:eastAsia="de-DE"/>
              </w:rPr>
              <w:t>±</w:t>
            </w:r>
            <w:r w:rsidRPr="008E0F00">
              <w:rPr>
                <w:rFonts w:ascii="Calibri" w:eastAsia="Times New Roman" w:hAnsi="Calibri" w:cs="Times New Roman"/>
                <w:color w:val="000000"/>
                <w:lang w:val="de-DE" w:eastAsia="de-DE"/>
              </w:rPr>
              <w:t xml:space="preserve"> </w:t>
            </w:r>
            <w:r w:rsidRPr="008E0F00">
              <w:rPr>
                <w:rFonts w:ascii="Calibri" w:eastAsia="Times New Roman" w:hAnsi="Calibri" w:cs="Times New Roman"/>
                <w:color w:val="000000"/>
                <w:sz w:val="16"/>
                <w:szCs w:val="16"/>
                <w:lang w:val="de-DE" w:eastAsia="de-DE"/>
              </w:rPr>
              <w:t>0.07</w:t>
            </w:r>
          </w:p>
        </w:tc>
        <w:tc>
          <w:tcPr>
            <w:tcW w:w="1200" w:type="dxa"/>
            <w:tcBorders>
              <w:top w:val="nil"/>
              <w:left w:val="nil"/>
              <w:bottom w:val="nil"/>
              <w:right w:val="single" w:sz="4" w:space="0" w:color="auto"/>
            </w:tcBorders>
            <w:shd w:val="clear" w:color="auto" w:fill="auto"/>
            <w:noWrap/>
            <w:vAlign w:val="center"/>
            <w:hideMark/>
          </w:tcPr>
          <w:p w:rsidR="008E0F00" w:rsidRPr="008E0F00" w:rsidRDefault="008E0F00" w:rsidP="008E0F00">
            <w:pPr>
              <w:spacing w:after="0" w:line="240" w:lineRule="auto"/>
              <w:jc w:val="center"/>
              <w:rPr>
                <w:rFonts w:ascii="Calibri" w:eastAsia="Times New Roman" w:hAnsi="Calibri" w:cs="Times New Roman"/>
                <w:color w:val="000000"/>
                <w:lang w:val="de-DE" w:eastAsia="de-DE"/>
              </w:rPr>
            </w:pPr>
            <w:r w:rsidRPr="008E0F00">
              <w:rPr>
                <w:rFonts w:ascii="Calibri" w:eastAsia="Times New Roman" w:hAnsi="Calibri" w:cs="Times New Roman"/>
                <w:color w:val="000000"/>
                <w:lang w:val="de-DE" w:eastAsia="de-DE"/>
              </w:rPr>
              <w:t>1.5</w:t>
            </w:r>
          </w:p>
        </w:tc>
        <w:tc>
          <w:tcPr>
            <w:tcW w:w="1140" w:type="dxa"/>
            <w:tcBorders>
              <w:top w:val="nil"/>
              <w:left w:val="nil"/>
              <w:bottom w:val="nil"/>
              <w:right w:val="nil"/>
            </w:tcBorders>
            <w:shd w:val="clear" w:color="auto" w:fill="auto"/>
            <w:noWrap/>
            <w:vAlign w:val="center"/>
            <w:hideMark/>
          </w:tcPr>
          <w:p w:rsidR="008E0F00" w:rsidRPr="008E0F00" w:rsidRDefault="008E0F00" w:rsidP="008E0F00">
            <w:pPr>
              <w:spacing w:after="0" w:line="240" w:lineRule="auto"/>
              <w:jc w:val="center"/>
              <w:rPr>
                <w:rFonts w:ascii="Calibri" w:eastAsia="Times New Roman" w:hAnsi="Calibri" w:cs="Times New Roman"/>
                <w:color w:val="000000"/>
                <w:lang w:val="de-DE" w:eastAsia="de-DE"/>
              </w:rPr>
            </w:pPr>
            <w:r w:rsidRPr="008E0F00">
              <w:rPr>
                <w:rFonts w:ascii="Calibri" w:eastAsia="Times New Roman" w:hAnsi="Calibri" w:cs="Times New Roman"/>
                <w:color w:val="000000"/>
                <w:lang w:val="de-DE" w:eastAsia="de-DE"/>
              </w:rPr>
              <w:t>0.05</w:t>
            </w:r>
            <w:r w:rsidRPr="008E0F00">
              <w:rPr>
                <w:rFonts w:ascii="Calibri" w:eastAsia="Times New Roman" w:hAnsi="Calibri" w:cs="Times New Roman"/>
                <w:color w:val="000000"/>
                <w:sz w:val="16"/>
                <w:szCs w:val="16"/>
                <w:lang w:val="de-DE" w:eastAsia="de-DE"/>
              </w:rPr>
              <w:t xml:space="preserve"> ±</w:t>
            </w:r>
            <w:r w:rsidRPr="008E0F00">
              <w:rPr>
                <w:rFonts w:ascii="Calibri" w:eastAsia="Times New Roman" w:hAnsi="Calibri" w:cs="Times New Roman"/>
                <w:color w:val="000000"/>
                <w:lang w:val="de-DE" w:eastAsia="de-DE"/>
              </w:rPr>
              <w:t xml:space="preserve"> </w:t>
            </w:r>
            <w:r w:rsidRPr="008E0F00">
              <w:rPr>
                <w:rFonts w:ascii="Calibri" w:eastAsia="Times New Roman" w:hAnsi="Calibri" w:cs="Times New Roman"/>
                <w:color w:val="000000"/>
                <w:sz w:val="16"/>
                <w:szCs w:val="16"/>
                <w:lang w:val="de-DE" w:eastAsia="de-DE"/>
              </w:rPr>
              <w:t>0.02</w:t>
            </w:r>
          </w:p>
        </w:tc>
        <w:tc>
          <w:tcPr>
            <w:tcW w:w="1020" w:type="dxa"/>
            <w:tcBorders>
              <w:top w:val="nil"/>
              <w:left w:val="nil"/>
              <w:bottom w:val="nil"/>
              <w:right w:val="single" w:sz="4" w:space="0" w:color="auto"/>
            </w:tcBorders>
            <w:shd w:val="clear" w:color="auto" w:fill="auto"/>
            <w:noWrap/>
            <w:vAlign w:val="center"/>
            <w:hideMark/>
          </w:tcPr>
          <w:p w:rsidR="008E0F00" w:rsidRPr="008E0F00" w:rsidRDefault="008E0F00" w:rsidP="008E0F00">
            <w:pPr>
              <w:spacing w:after="0" w:line="240" w:lineRule="auto"/>
              <w:jc w:val="center"/>
              <w:rPr>
                <w:rFonts w:ascii="Calibri" w:eastAsia="Times New Roman" w:hAnsi="Calibri" w:cs="Times New Roman"/>
                <w:color w:val="000000"/>
                <w:lang w:val="de-DE" w:eastAsia="de-DE"/>
              </w:rPr>
            </w:pPr>
            <w:r w:rsidRPr="008E0F00">
              <w:rPr>
                <w:rFonts w:ascii="Calibri" w:eastAsia="Times New Roman" w:hAnsi="Calibri" w:cs="Times New Roman"/>
                <w:color w:val="000000"/>
                <w:lang w:val="de-DE" w:eastAsia="de-DE"/>
              </w:rPr>
              <w:t>0.51</w:t>
            </w:r>
            <w:r w:rsidRPr="008E0F00">
              <w:rPr>
                <w:rFonts w:ascii="Calibri" w:eastAsia="Times New Roman" w:hAnsi="Calibri" w:cs="Times New Roman"/>
                <w:color w:val="000000"/>
                <w:sz w:val="16"/>
                <w:szCs w:val="16"/>
                <w:lang w:val="de-DE" w:eastAsia="de-DE"/>
              </w:rPr>
              <w:t xml:space="preserve"> ±</w:t>
            </w:r>
            <w:r w:rsidRPr="008E0F00">
              <w:rPr>
                <w:rFonts w:ascii="Calibri" w:eastAsia="Times New Roman" w:hAnsi="Calibri" w:cs="Times New Roman"/>
                <w:color w:val="000000"/>
                <w:lang w:val="de-DE" w:eastAsia="de-DE"/>
              </w:rPr>
              <w:t xml:space="preserve"> </w:t>
            </w:r>
            <w:r w:rsidRPr="008E0F00">
              <w:rPr>
                <w:rFonts w:ascii="Calibri" w:eastAsia="Times New Roman" w:hAnsi="Calibri" w:cs="Times New Roman"/>
                <w:color w:val="000000"/>
                <w:sz w:val="16"/>
                <w:szCs w:val="16"/>
                <w:lang w:val="de-DE" w:eastAsia="de-DE"/>
              </w:rPr>
              <w:t>0.04</w:t>
            </w:r>
          </w:p>
        </w:tc>
        <w:tc>
          <w:tcPr>
            <w:tcW w:w="1020" w:type="dxa"/>
            <w:tcBorders>
              <w:top w:val="nil"/>
              <w:left w:val="nil"/>
              <w:bottom w:val="nil"/>
              <w:right w:val="single" w:sz="4" w:space="0" w:color="auto"/>
            </w:tcBorders>
            <w:shd w:val="clear" w:color="000000" w:fill="DA9694"/>
            <w:noWrap/>
            <w:vAlign w:val="center"/>
            <w:hideMark/>
          </w:tcPr>
          <w:p w:rsidR="008E0F00" w:rsidRPr="008E0F00" w:rsidRDefault="008E0F00" w:rsidP="008E0F00">
            <w:pPr>
              <w:spacing w:after="0" w:line="240" w:lineRule="auto"/>
              <w:jc w:val="center"/>
              <w:rPr>
                <w:rFonts w:ascii="Calibri" w:eastAsia="Times New Roman" w:hAnsi="Calibri" w:cs="Times New Roman"/>
                <w:color w:val="000000"/>
                <w:lang w:val="de-DE" w:eastAsia="de-DE"/>
              </w:rPr>
            </w:pPr>
            <w:r w:rsidRPr="008E0F00">
              <w:rPr>
                <w:rFonts w:ascii="Calibri" w:eastAsia="Times New Roman" w:hAnsi="Calibri" w:cs="Times New Roman"/>
                <w:color w:val="000000"/>
                <w:lang w:val="de-DE" w:eastAsia="de-DE"/>
              </w:rPr>
              <w:t xml:space="preserve">9.8 </w:t>
            </w:r>
            <w:r w:rsidRPr="008E0F00">
              <w:rPr>
                <w:rFonts w:ascii="Calibri" w:eastAsia="Times New Roman" w:hAnsi="Calibri" w:cs="Times New Roman"/>
                <w:color w:val="000000"/>
                <w:sz w:val="18"/>
                <w:szCs w:val="18"/>
                <w:lang w:val="de-DE" w:eastAsia="de-DE"/>
              </w:rPr>
              <w:t>***</w:t>
            </w:r>
          </w:p>
        </w:tc>
        <w:tc>
          <w:tcPr>
            <w:tcW w:w="1140" w:type="dxa"/>
            <w:tcBorders>
              <w:top w:val="nil"/>
              <w:left w:val="nil"/>
              <w:bottom w:val="nil"/>
              <w:right w:val="nil"/>
            </w:tcBorders>
            <w:shd w:val="clear" w:color="auto" w:fill="auto"/>
            <w:noWrap/>
            <w:vAlign w:val="center"/>
            <w:hideMark/>
          </w:tcPr>
          <w:p w:rsidR="008E0F00" w:rsidRPr="008E0F00" w:rsidRDefault="008E0F00" w:rsidP="008E0F00">
            <w:pPr>
              <w:spacing w:after="0" w:line="240" w:lineRule="auto"/>
              <w:jc w:val="center"/>
              <w:rPr>
                <w:rFonts w:ascii="Calibri" w:eastAsia="Times New Roman" w:hAnsi="Calibri" w:cs="Times New Roman"/>
                <w:color w:val="000000"/>
                <w:lang w:val="de-DE" w:eastAsia="de-DE"/>
              </w:rPr>
            </w:pPr>
            <w:r w:rsidRPr="008E0F00">
              <w:rPr>
                <w:rFonts w:ascii="Calibri" w:eastAsia="Times New Roman" w:hAnsi="Calibri" w:cs="Times New Roman"/>
                <w:color w:val="000000"/>
                <w:lang w:val="de-DE" w:eastAsia="de-DE"/>
              </w:rPr>
              <w:t>0.04</w:t>
            </w:r>
            <w:r w:rsidRPr="008E0F00">
              <w:rPr>
                <w:rFonts w:ascii="Calibri" w:eastAsia="Times New Roman" w:hAnsi="Calibri" w:cs="Times New Roman"/>
                <w:color w:val="000000"/>
                <w:sz w:val="16"/>
                <w:szCs w:val="16"/>
                <w:lang w:val="de-DE" w:eastAsia="de-DE"/>
              </w:rPr>
              <w:t xml:space="preserve"> ± 0.01</w:t>
            </w:r>
          </w:p>
        </w:tc>
        <w:tc>
          <w:tcPr>
            <w:tcW w:w="1120" w:type="dxa"/>
            <w:tcBorders>
              <w:top w:val="nil"/>
              <w:left w:val="nil"/>
              <w:bottom w:val="nil"/>
              <w:right w:val="single" w:sz="4" w:space="0" w:color="auto"/>
            </w:tcBorders>
            <w:shd w:val="clear" w:color="auto" w:fill="auto"/>
            <w:noWrap/>
            <w:vAlign w:val="center"/>
            <w:hideMark/>
          </w:tcPr>
          <w:p w:rsidR="008E0F00" w:rsidRPr="008E0F00" w:rsidRDefault="008E0F00" w:rsidP="008E0F00">
            <w:pPr>
              <w:spacing w:after="0" w:line="240" w:lineRule="auto"/>
              <w:jc w:val="center"/>
              <w:rPr>
                <w:rFonts w:ascii="Calibri" w:eastAsia="Times New Roman" w:hAnsi="Calibri" w:cs="Times New Roman"/>
                <w:color w:val="000000"/>
                <w:lang w:val="de-DE" w:eastAsia="de-DE"/>
              </w:rPr>
            </w:pPr>
            <w:r w:rsidRPr="008E0F00">
              <w:rPr>
                <w:rFonts w:ascii="Calibri" w:eastAsia="Times New Roman" w:hAnsi="Calibri" w:cs="Times New Roman"/>
                <w:color w:val="000000"/>
                <w:lang w:val="de-DE" w:eastAsia="de-DE"/>
              </w:rPr>
              <w:t xml:space="preserve">0.09 </w:t>
            </w:r>
            <w:r w:rsidRPr="008E0F00">
              <w:rPr>
                <w:rFonts w:ascii="Calibri" w:eastAsia="Times New Roman" w:hAnsi="Calibri" w:cs="Times New Roman"/>
                <w:color w:val="000000"/>
                <w:sz w:val="16"/>
                <w:szCs w:val="16"/>
                <w:lang w:val="de-DE" w:eastAsia="de-DE"/>
              </w:rPr>
              <w:t>± 0.01</w:t>
            </w:r>
          </w:p>
        </w:tc>
        <w:tc>
          <w:tcPr>
            <w:tcW w:w="840" w:type="dxa"/>
            <w:tcBorders>
              <w:top w:val="nil"/>
              <w:left w:val="nil"/>
              <w:bottom w:val="nil"/>
              <w:right w:val="single" w:sz="4" w:space="0" w:color="auto"/>
            </w:tcBorders>
            <w:shd w:val="clear" w:color="000000" w:fill="F2DCDB"/>
            <w:noWrap/>
            <w:vAlign w:val="center"/>
            <w:hideMark/>
          </w:tcPr>
          <w:p w:rsidR="008E0F00" w:rsidRPr="008E0F00" w:rsidRDefault="008E0F00" w:rsidP="008E0F00">
            <w:pPr>
              <w:spacing w:after="0" w:line="240" w:lineRule="auto"/>
              <w:jc w:val="center"/>
              <w:rPr>
                <w:rFonts w:ascii="Calibri" w:eastAsia="Times New Roman" w:hAnsi="Calibri" w:cs="Times New Roman"/>
                <w:color w:val="000000"/>
                <w:lang w:val="de-DE" w:eastAsia="de-DE"/>
              </w:rPr>
            </w:pPr>
            <w:r w:rsidRPr="008E0F00">
              <w:rPr>
                <w:rFonts w:ascii="Calibri" w:eastAsia="Times New Roman" w:hAnsi="Calibri" w:cs="Times New Roman"/>
                <w:color w:val="000000"/>
                <w:lang w:val="de-DE" w:eastAsia="de-DE"/>
              </w:rPr>
              <w:t xml:space="preserve">2.4 </w:t>
            </w:r>
            <w:r w:rsidRPr="008E0F00">
              <w:rPr>
                <w:rFonts w:ascii="Calibri" w:eastAsia="Times New Roman" w:hAnsi="Calibri" w:cs="Times New Roman"/>
                <w:color w:val="000000"/>
                <w:sz w:val="18"/>
                <w:szCs w:val="18"/>
                <w:lang w:val="de-DE" w:eastAsia="de-DE"/>
              </w:rPr>
              <w:t>**</w:t>
            </w:r>
          </w:p>
        </w:tc>
      </w:tr>
      <w:tr w:rsidR="008E0F00" w:rsidRPr="008E0F00" w:rsidTr="008E0F00">
        <w:trPr>
          <w:trHeight w:val="600"/>
        </w:trPr>
        <w:tc>
          <w:tcPr>
            <w:tcW w:w="1480" w:type="dxa"/>
            <w:tcBorders>
              <w:top w:val="nil"/>
              <w:left w:val="single" w:sz="4" w:space="0" w:color="auto"/>
              <w:bottom w:val="nil"/>
              <w:right w:val="single" w:sz="4" w:space="0" w:color="auto"/>
            </w:tcBorders>
            <w:shd w:val="clear" w:color="auto" w:fill="auto"/>
            <w:vAlign w:val="center"/>
            <w:hideMark/>
          </w:tcPr>
          <w:p w:rsidR="008E0F00" w:rsidRPr="008E0F00" w:rsidRDefault="008E0F00" w:rsidP="008E0F00">
            <w:pPr>
              <w:spacing w:after="0" w:line="240" w:lineRule="auto"/>
              <w:jc w:val="center"/>
              <w:rPr>
                <w:rFonts w:ascii="Calibri" w:eastAsia="Times New Roman" w:hAnsi="Calibri" w:cs="Times New Roman"/>
                <w:color w:val="000000"/>
                <w:lang w:val="de-DE" w:eastAsia="de-DE"/>
              </w:rPr>
            </w:pPr>
            <w:r w:rsidRPr="008E0F00">
              <w:rPr>
                <w:rFonts w:ascii="Calibri" w:eastAsia="Times New Roman" w:hAnsi="Calibri" w:cs="Times New Roman"/>
                <w:color w:val="000000"/>
                <w:lang w:val="de-DE" w:eastAsia="de-DE"/>
              </w:rPr>
              <w:t>Pipecolic acid</w:t>
            </w:r>
          </w:p>
        </w:tc>
        <w:tc>
          <w:tcPr>
            <w:tcW w:w="1060" w:type="dxa"/>
            <w:tcBorders>
              <w:top w:val="nil"/>
              <w:left w:val="nil"/>
              <w:bottom w:val="nil"/>
              <w:right w:val="nil"/>
            </w:tcBorders>
            <w:shd w:val="clear" w:color="auto" w:fill="auto"/>
            <w:noWrap/>
            <w:vAlign w:val="center"/>
            <w:hideMark/>
          </w:tcPr>
          <w:p w:rsidR="008E0F00" w:rsidRPr="008E0F00" w:rsidRDefault="008E0F00" w:rsidP="008E0F00">
            <w:pPr>
              <w:spacing w:after="0" w:line="240" w:lineRule="auto"/>
              <w:jc w:val="center"/>
              <w:rPr>
                <w:rFonts w:ascii="Calibri" w:eastAsia="Times New Roman" w:hAnsi="Calibri" w:cs="Times New Roman"/>
                <w:color w:val="000000"/>
                <w:lang w:val="de-DE" w:eastAsia="de-DE"/>
              </w:rPr>
            </w:pPr>
            <w:r w:rsidRPr="008E0F00">
              <w:rPr>
                <w:rFonts w:ascii="Calibri" w:eastAsia="Times New Roman" w:hAnsi="Calibri" w:cs="Times New Roman"/>
                <w:color w:val="000000"/>
                <w:lang w:val="de-DE" w:eastAsia="de-DE"/>
              </w:rPr>
              <w:t xml:space="preserve">0.6 </w:t>
            </w:r>
            <w:r w:rsidRPr="008E0F00">
              <w:rPr>
                <w:rFonts w:ascii="Calibri" w:eastAsia="Times New Roman" w:hAnsi="Calibri" w:cs="Times New Roman"/>
                <w:color w:val="000000"/>
                <w:sz w:val="16"/>
                <w:szCs w:val="16"/>
                <w:lang w:val="de-DE" w:eastAsia="de-DE"/>
              </w:rPr>
              <w:t>±</w:t>
            </w:r>
            <w:r w:rsidRPr="008E0F00">
              <w:rPr>
                <w:rFonts w:ascii="Calibri" w:eastAsia="Times New Roman" w:hAnsi="Calibri" w:cs="Times New Roman"/>
                <w:color w:val="000000"/>
                <w:lang w:val="de-DE" w:eastAsia="de-DE"/>
              </w:rPr>
              <w:t xml:space="preserve"> </w:t>
            </w:r>
            <w:r w:rsidRPr="008E0F00">
              <w:rPr>
                <w:rFonts w:ascii="Calibri" w:eastAsia="Times New Roman" w:hAnsi="Calibri" w:cs="Times New Roman"/>
                <w:color w:val="000000"/>
                <w:sz w:val="16"/>
                <w:szCs w:val="16"/>
                <w:lang w:val="de-DE" w:eastAsia="de-DE"/>
              </w:rPr>
              <w:t>0.2</w:t>
            </w:r>
          </w:p>
        </w:tc>
        <w:tc>
          <w:tcPr>
            <w:tcW w:w="1000" w:type="dxa"/>
            <w:tcBorders>
              <w:top w:val="nil"/>
              <w:left w:val="nil"/>
              <w:bottom w:val="nil"/>
              <w:right w:val="single" w:sz="4" w:space="0" w:color="auto"/>
            </w:tcBorders>
            <w:shd w:val="clear" w:color="auto" w:fill="auto"/>
            <w:noWrap/>
            <w:vAlign w:val="center"/>
            <w:hideMark/>
          </w:tcPr>
          <w:p w:rsidR="008E0F00" w:rsidRPr="008E0F00" w:rsidRDefault="008E0F00" w:rsidP="008E0F00">
            <w:pPr>
              <w:spacing w:after="0" w:line="240" w:lineRule="auto"/>
              <w:jc w:val="center"/>
              <w:rPr>
                <w:rFonts w:ascii="Calibri" w:eastAsia="Times New Roman" w:hAnsi="Calibri" w:cs="Times New Roman"/>
                <w:color w:val="000000"/>
                <w:lang w:val="de-DE" w:eastAsia="de-DE"/>
              </w:rPr>
            </w:pPr>
            <w:r w:rsidRPr="008E0F00">
              <w:rPr>
                <w:rFonts w:ascii="Calibri" w:eastAsia="Times New Roman" w:hAnsi="Calibri" w:cs="Times New Roman"/>
                <w:color w:val="000000"/>
                <w:lang w:val="de-DE" w:eastAsia="de-DE"/>
              </w:rPr>
              <w:t xml:space="preserve">42.2 </w:t>
            </w:r>
            <w:r w:rsidRPr="008E0F00">
              <w:rPr>
                <w:rFonts w:ascii="Calibri" w:eastAsia="Times New Roman" w:hAnsi="Calibri" w:cs="Times New Roman"/>
                <w:color w:val="000000"/>
                <w:sz w:val="16"/>
                <w:szCs w:val="16"/>
                <w:lang w:val="de-DE" w:eastAsia="de-DE"/>
              </w:rPr>
              <w:t>±</w:t>
            </w:r>
            <w:r w:rsidRPr="008E0F00">
              <w:rPr>
                <w:rFonts w:ascii="Calibri" w:eastAsia="Times New Roman" w:hAnsi="Calibri" w:cs="Times New Roman"/>
                <w:color w:val="000000"/>
                <w:lang w:val="de-DE" w:eastAsia="de-DE"/>
              </w:rPr>
              <w:t xml:space="preserve"> </w:t>
            </w:r>
            <w:r w:rsidRPr="008E0F00">
              <w:rPr>
                <w:rFonts w:ascii="Calibri" w:eastAsia="Times New Roman" w:hAnsi="Calibri" w:cs="Times New Roman"/>
                <w:color w:val="000000"/>
                <w:sz w:val="16"/>
                <w:szCs w:val="16"/>
                <w:lang w:val="de-DE" w:eastAsia="de-DE"/>
              </w:rPr>
              <w:t>15.8</w:t>
            </w:r>
          </w:p>
        </w:tc>
        <w:tc>
          <w:tcPr>
            <w:tcW w:w="960" w:type="dxa"/>
            <w:tcBorders>
              <w:top w:val="nil"/>
              <w:left w:val="nil"/>
              <w:bottom w:val="nil"/>
              <w:right w:val="single" w:sz="4" w:space="0" w:color="auto"/>
            </w:tcBorders>
            <w:shd w:val="clear" w:color="000000" w:fill="963634"/>
            <w:noWrap/>
            <w:vAlign w:val="center"/>
            <w:hideMark/>
          </w:tcPr>
          <w:p w:rsidR="008E0F00" w:rsidRPr="008E0F00" w:rsidRDefault="008E0F00" w:rsidP="008E0F00">
            <w:pPr>
              <w:spacing w:after="0" w:line="240" w:lineRule="auto"/>
              <w:jc w:val="center"/>
              <w:rPr>
                <w:rFonts w:ascii="Calibri" w:eastAsia="Times New Roman" w:hAnsi="Calibri" w:cs="Times New Roman"/>
                <w:color w:val="FFFFFF"/>
                <w:lang w:val="de-DE" w:eastAsia="de-DE"/>
              </w:rPr>
            </w:pPr>
            <w:r w:rsidRPr="008E0F00">
              <w:rPr>
                <w:rFonts w:ascii="Calibri" w:eastAsia="Times New Roman" w:hAnsi="Calibri" w:cs="Times New Roman"/>
                <w:color w:val="FFFFFF"/>
                <w:lang w:val="de-DE" w:eastAsia="de-DE"/>
              </w:rPr>
              <w:t xml:space="preserve">65.3 </w:t>
            </w:r>
            <w:r w:rsidRPr="008E0F00">
              <w:rPr>
                <w:rFonts w:ascii="Calibri" w:eastAsia="Times New Roman" w:hAnsi="Calibri" w:cs="Times New Roman"/>
                <w:color w:val="FFFFFF"/>
                <w:sz w:val="18"/>
                <w:szCs w:val="18"/>
                <w:lang w:val="de-DE" w:eastAsia="de-DE"/>
              </w:rPr>
              <w:t>***</w:t>
            </w:r>
          </w:p>
        </w:tc>
        <w:tc>
          <w:tcPr>
            <w:tcW w:w="1120" w:type="dxa"/>
            <w:tcBorders>
              <w:top w:val="nil"/>
              <w:left w:val="nil"/>
              <w:bottom w:val="nil"/>
              <w:right w:val="nil"/>
            </w:tcBorders>
            <w:shd w:val="clear" w:color="auto" w:fill="auto"/>
            <w:noWrap/>
            <w:vAlign w:val="center"/>
            <w:hideMark/>
          </w:tcPr>
          <w:p w:rsidR="008E0F00" w:rsidRPr="008E0F00" w:rsidRDefault="008E0F00" w:rsidP="008E0F00">
            <w:pPr>
              <w:spacing w:after="0" w:line="240" w:lineRule="auto"/>
              <w:jc w:val="center"/>
              <w:rPr>
                <w:rFonts w:ascii="Calibri" w:eastAsia="Times New Roman" w:hAnsi="Calibri" w:cs="Times New Roman"/>
                <w:color w:val="000000"/>
                <w:lang w:val="de-DE" w:eastAsia="de-DE"/>
              </w:rPr>
            </w:pPr>
            <w:r w:rsidRPr="008E0F00">
              <w:rPr>
                <w:rFonts w:ascii="Calibri" w:eastAsia="Times New Roman" w:hAnsi="Calibri" w:cs="Times New Roman"/>
                <w:color w:val="000000"/>
                <w:lang w:val="de-DE" w:eastAsia="de-DE"/>
              </w:rPr>
              <w:t xml:space="preserve">0.07 </w:t>
            </w:r>
            <w:r w:rsidRPr="008E0F00">
              <w:rPr>
                <w:rFonts w:ascii="Calibri" w:eastAsia="Times New Roman" w:hAnsi="Calibri" w:cs="Times New Roman"/>
                <w:color w:val="000000"/>
                <w:sz w:val="16"/>
                <w:szCs w:val="16"/>
                <w:lang w:val="de-DE" w:eastAsia="de-DE"/>
              </w:rPr>
              <w:t>±</w:t>
            </w:r>
            <w:r w:rsidRPr="008E0F00">
              <w:rPr>
                <w:rFonts w:ascii="Calibri" w:eastAsia="Times New Roman" w:hAnsi="Calibri" w:cs="Times New Roman"/>
                <w:color w:val="000000"/>
                <w:lang w:val="de-DE" w:eastAsia="de-DE"/>
              </w:rPr>
              <w:t xml:space="preserve"> </w:t>
            </w:r>
            <w:r w:rsidRPr="008E0F00">
              <w:rPr>
                <w:rFonts w:ascii="Calibri" w:eastAsia="Times New Roman" w:hAnsi="Calibri" w:cs="Times New Roman"/>
                <w:color w:val="000000"/>
                <w:sz w:val="16"/>
                <w:szCs w:val="16"/>
                <w:lang w:val="de-DE" w:eastAsia="de-DE"/>
              </w:rPr>
              <w:t>0.02</w:t>
            </w:r>
          </w:p>
        </w:tc>
        <w:tc>
          <w:tcPr>
            <w:tcW w:w="1060" w:type="dxa"/>
            <w:tcBorders>
              <w:top w:val="nil"/>
              <w:left w:val="nil"/>
              <w:bottom w:val="nil"/>
              <w:right w:val="single" w:sz="4" w:space="0" w:color="auto"/>
            </w:tcBorders>
            <w:shd w:val="clear" w:color="auto" w:fill="auto"/>
            <w:noWrap/>
            <w:vAlign w:val="center"/>
            <w:hideMark/>
          </w:tcPr>
          <w:p w:rsidR="008E0F00" w:rsidRPr="008E0F00" w:rsidRDefault="008E0F00" w:rsidP="008E0F00">
            <w:pPr>
              <w:spacing w:after="0" w:line="240" w:lineRule="auto"/>
              <w:jc w:val="center"/>
              <w:rPr>
                <w:rFonts w:ascii="Calibri" w:eastAsia="Times New Roman" w:hAnsi="Calibri" w:cs="Times New Roman"/>
                <w:color w:val="000000"/>
                <w:lang w:val="de-DE" w:eastAsia="de-DE"/>
              </w:rPr>
            </w:pPr>
            <w:r w:rsidRPr="008E0F00">
              <w:rPr>
                <w:rFonts w:ascii="Calibri" w:eastAsia="Times New Roman" w:hAnsi="Calibri" w:cs="Times New Roman"/>
                <w:color w:val="000000"/>
                <w:lang w:val="de-DE" w:eastAsia="de-DE"/>
              </w:rPr>
              <w:t>0.25</w:t>
            </w:r>
            <w:r w:rsidRPr="008E0F00">
              <w:rPr>
                <w:rFonts w:ascii="Calibri" w:eastAsia="Times New Roman" w:hAnsi="Calibri" w:cs="Times New Roman"/>
                <w:color w:val="000000"/>
                <w:sz w:val="16"/>
                <w:szCs w:val="16"/>
                <w:lang w:val="de-DE" w:eastAsia="de-DE"/>
              </w:rPr>
              <w:t xml:space="preserve"> ±</w:t>
            </w:r>
            <w:r w:rsidRPr="008E0F00">
              <w:rPr>
                <w:rFonts w:ascii="Calibri" w:eastAsia="Times New Roman" w:hAnsi="Calibri" w:cs="Times New Roman"/>
                <w:color w:val="000000"/>
                <w:lang w:val="de-DE" w:eastAsia="de-DE"/>
              </w:rPr>
              <w:t xml:space="preserve"> </w:t>
            </w:r>
            <w:r w:rsidRPr="008E0F00">
              <w:rPr>
                <w:rFonts w:ascii="Calibri" w:eastAsia="Times New Roman" w:hAnsi="Calibri" w:cs="Times New Roman"/>
                <w:color w:val="000000"/>
                <w:sz w:val="16"/>
                <w:szCs w:val="16"/>
                <w:lang w:val="de-DE" w:eastAsia="de-DE"/>
              </w:rPr>
              <w:t>0.08</w:t>
            </w:r>
          </w:p>
        </w:tc>
        <w:tc>
          <w:tcPr>
            <w:tcW w:w="1200" w:type="dxa"/>
            <w:tcBorders>
              <w:top w:val="nil"/>
              <w:left w:val="nil"/>
              <w:bottom w:val="nil"/>
              <w:right w:val="single" w:sz="4" w:space="0" w:color="auto"/>
            </w:tcBorders>
            <w:shd w:val="clear" w:color="000000" w:fill="E6B8B7"/>
            <w:noWrap/>
            <w:vAlign w:val="center"/>
            <w:hideMark/>
          </w:tcPr>
          <w:p w:rsidR="008E0F00" w:rsidRPr="008E0F00" w:rsidRDefault="008E0F00" w:rsidP="008E0F00">
            <w:pPr>
              <w:spacing w:after="0" w:line="240" w:lineRule="auto"/>
              <w:jc w:val="center"/>
              <w:rPr>
                <w:rFonts w:ascii="Calibri" w:eastAsia="Times New Roman" w:hAnsi="Calibri" w:cs="Times New Roman"/>
                <w:color w:val="000000"/>
                <w:lang w:val="de-DE" w:eastAsia="de-DE"/>
              </w:rPr>
            </w:pPr>
            <w:r w:rsidRPr="008E0F00">
              <w:rPr>
                <w:rFonts w:ascii="Calibri" w:eastAsia="Times New Roman" w:hAnsi="Calibri" w:cs="Times New Roman"/>
                <w:color w:val="000000"/>
                <w:lang w:val="de-DE" w:eastAsia="de-DE"/>
              </w:rPr>
              <w:t xml:space="preserve">3.4 </w:t>
            </w:r>
            <w:r w:rsidRPr="008E0F00">
              <w:rPr>
                <w:rFonts w:ascii="Calibri" w:eastAsia="Times New Roman" w:hAnsi="Calibri" w:cs="Times New Roman"/>
                <w:color w:val="000000"/>
                <w:sz w:val="18"/>
                <w:szCs w:val="18"/>
                <w:lang w:val="de-DE" w:eastAsia="de-DE"/>
              </w:rPr>
              <w:t>*</w:t>
            </w:r>
          </w:p>
        </w:tc>
        <w:tc>
          <w:tcPr>
            <w:tcW w:w="1140" w:type="dxa"/>
            <w:tcBorders>
              <w:top w:val="nil"/>
              <w:left w:val="nil"/>
              <w:bottom w:val="nil"/>
              <w:right w:val="nil"/>
            </w:tcBorders>
            <w:shd w:val="clear" w:color="auto" w:fill="auto"/>
            <w:noWrap/>
            <w:vAlign w:val="center"/>
            <w:hideMark/>
          </w:tcPr>
          <w:p w:rsidR="008E0F00" w:rsidRPr="008E0F00" w:rsidRDefault="008E0F00" w:rsidP="008E0F00">
            <w:pPr>
              <w:spacing w:after="0" w:line="240" w:lineRule="auto"/>
              <w:jc w:val="center"/>
              <w:rPr>
                <w:rFonts w:ascii="Calibri" w:eastAsia="Times New Roman" w:hAnsi="Calibri" w:cs="Times New Roman"/>
                <w:color w:val="000000"/>
                <w:lang w:val="de-DE" w:eastAsia="de-DE"/>
              </w:rPr>
            </w:pPr>
            <w:r w:rsidRPr="008E0F00">
              <w:rPr>
                <w:rFonts w:ascii="Calibri" w:eastAsia="Times New Roman" w:hAnsi="Calibri" w:cs="Times New Roman"/>
                <w:color w:val="000000"/>
                <w:lang w:val="de-DE" w:eastAsia="de-DE"/>
              </w:rPr>
              <w:t xml:space="preserve">0.46 </w:t>
            </w:r>
            <w:r w:rsidRPr="008E0F00">
              <w:rPr>
                <w:rFonts w:ascii="Calibri" w:eastAsia="Times New Roman" w:hAnsi="Calibri" w:cs="Times New Roman"/>
                <w:color w:val="000000"/>
                <w:sz w:val="16"/>
                <w:szCs w:val="16"/>
                <w:lang w:val="de-DE" w:eastAsia="de-DE"/>
              </w:rPr>
              <w:t>± 0.1</w:t>
            </w:r>
          </w:p>
        </w:tc>
        <w:tc>
          <w:tcPr>
            <w:tcW w:w="1020" w:type="dxa"/>
            <w:tcBorders>
              <w:top w:val="nil"/>
              <w:left w:val="nil"/>
              <w:bottom w:val="nil"/>
              <w:right w:val="single" w:sz="4" w:space="0" w:color="auto"/>
            </w:tcBorders>
            <w:shd w:val="clear" w:color="auto" w:fill="auto"/>
            <w:noWrap/>
            <w:vAlign w:val="center"/>
            <w:hideMark/>
          </w:tcPr>
          <w:p w:rsidR="008E0F00" w:rsidRPr="008E0F00" w:rsidRDefault="008E0F00" w:rsidP="008E0F00">
            <w:pPr>
              <w:spacing w:after="0" w:line="240" w:lineRule="auto"/>
              <w:jc w:val="center"/>
              <w:rPr>
                <w:rFonts w:ascii="Calibri" w:eastAsia="Times New Roman" w:hAnsi="Calibri" w:cs="Times New Roman"/>
                <w:color w:val="000000"/>
                <w:lang w:val="de-DE" w:eastAsia="de-DE"/>
              </w:rPr>
            </w:pPr>
            <w:r w:rsidRPr="008E0F00">
              <w:rPr>
                <w:rFonts w:ascii="Calibri" w:eastAsia="Times New Roman" w:hAnsi="Calibri" w:cs="Times New Roman"/>
                <w:color w:val="000000"/>
                <w:lang w:val="de-DE" w:eastAsia="de-DE"/>
              </w:rPr>
              <w:t>2.9</w:t>
            </w:r>
            <w:r w:rsidRPr="008E0F00">
              <w:rPr>
                <w:rFonts w:ascii="Calibri" w:eastAsia="Times New Roman" w:hAnsi="Calibri" w:cs="Times New Roman"/>
                <w:color w:val="000000"/>
                <w:sz w:val="16"/>
                <w:szCs w:val="16"/>
                <w:lang w:val="de-DE" w:eastAsia="de-DE"/>
              </w:rPr>
              <w:t xml:space="preserve"> ±</w:t>
            </w:r>
            <w:r w:rsidRPr="008E0F00">
              <w:rPr>
                <w:rFonts w:ascii="Calibri" w:eastAsia="Times New Roman" w:hAnsi="Calibri" w:cs="Times New Roman"/>
                <w:color w:val="000000"/>
                <w:lang w:val="de-DE" w:eastAsia="de-DE"/>
              </w:rPr>
              <w:t xml:space="preserve"> </w:t>
            </w:r>
            <w:r w:rsidRPr="008E0F00">
              <w:rPr>
                <w:rFonts w:ascii="Calibri" w:eastAsia="Times New Roman" w:hAnsi="Calibri" w:cs="Times New Roman"/>
                <w:color w:val="000000"/>
                <w:sz w:val="16"/>
                <w:szCs w:val="16"/>
                <w:lang w:val="de-DE" w:eastAsia="de-DE"/>
              </w:rPr>
              <w:t>0.6</w:t>
            </w:r>
          </w:p>
        </w:tc>
        <w:tc>
          <w:tcPr>
            <w:tcW w:w="1020" w:type="dxa"/>
            <w:tcBorders>
              <w:top w:val="nil"/>
              <w:left w:val="nil"/>
              <w:bottom w:val="nil"/>
              <w:right w:val="single" w:sz="4" w:space="0" w:color="auto"/>
            </w:tcBorders>
            <w:shd w:val="clear" w:color="000000" w:fill="DA9694"/>
            <w:noWrap/>
            <w:vAlign w:val="center"/>
            <w:hideMark/>
          </w:tcPr>
          <w:p w:rsidR="008E0F00" w:rsidRPr="008E0F00" w:rsidRDefault="008E0F00" w:rsidP="008E0F00">
            <w:pPr>
              <w:spacing w:after="0" w:line="240" w:lineRule="auto"/>
              <w:jc w:val="center"/>
              <w:rPr>
                <w:rFonts w:ascii="Calibri" w:eastAsia="Times New Roman" w:hAnsi="Calibri" w:cs="Times New Roman"/>
                <w:color w:val="000000"/>
                <w:lang w:val="de-DE" w:eastAsia="de-DE"/>
              </w:rPr>
            </w:pPr>
            <w:r w:rsidRPr="008E0F00">
              <w:rPr>
                <w:rFonts w:ascii="Calibri" w:eastAsia="Times New Roman" w:hAnsi="Calibri" w:cs="Times New Roman"/>
                <w:color w:val="000000"/>
                <w:lang w:val="de-DE" w:eastAsia="de-DE"/>
              </w:rPr>
              <w:t xml:space="preserve">6.2 </w:t>
            </w:r>
            <w:r w:rsidRPr="008E0F00">
              <w:rPr>
                <w:rFonts w:ascii="Calibri" w:eastAsia="Times New Roman" w:hAnsi="Calibri" w:cs="Times New Roman"/>
                <w:color w:val="000000"/>
                <w:sz w:val="18"/>
                <w:szCs w:val="18"/>
                <w:lang w:val="de-DE" w:eastAsia="de-DE"/>
              </w:rPr>
              <w:t>**</w:t>
            </w:r>
          </w:p>
        </w:tc>
        <w:tc>
          <w:tcPr>
            <w:tcW w:w="1140" w:type="dxa"/>
            <w:tcBorders>
              <w:top w:val="nil"/>
              <w:left w:val="nil"/>
              <w:bottom w:val="nil"/>
              <w:right w:val="nil"/>
            </w:tcBorders>
            <w:shd w:val="clear" w:color="auto" w:fill="auto"/>
            <w:noWrap/>
            <w:vAlign w:val="center"/>
            <w:hideMark/>
          </w:tcPr>
          <w:p w:rsidR="008E0F00" w:rsidRPr="008E0F00" w:rsidRDefault="008E0F00" w:rsidP="008E0F00">
            <w:pPr>
              <w:spacing w:after="0" w:line="240" w:lineRule="auto"/>
              <w:jc w:val="center"/>
              <w:rPr>
                <w:rFonts w:ascii="Calibri" w:eastAsia="Times New Roman" w:hAnsi="Calibri" w:cs="Times New Roman"/>
                <w:color w:val="000000"/>
                <w:lang w:val="de-DE" w:eastAsia="de-DE"/>
              </w:rPr>
            </w:pPr>
            <w:r w:rsidRPr="008E0F00">
              <w:rPr>
                <w:rFonts w:ascii="Calibri" w:eastAsia="Times New Roman" w:hAnsi="Calibri" w:cs="Times New Roman"/>
                <w:color w:val="000000"/>
                <w:lang w:val="de-DE" w:eastAsia="de-DE"/>
              </w:rPr>
              <w:t xml:space="preserve">0.12 </w:t>
            </w:r>
            <w:r w:rsidRPr="008E0F00">
              <w:rPr>
                <w:rFonts w:ascii="Calibri" w:eastAsia="Times New Roman" w:hAnsi="Calibri" w:cs="Times New Roman"/>
                <w:color w:val="000000"/>
                <w:sz w:val="16"/>
                <w:szCs w:val="16"/>
                <w:lang w:val="de-DE" w:eastAsia="de-DE"/>
              </w:rPr>
              <w:t>± 0.01</w:t>
            </w:r>
          </w:p>
        </w:tc>
        <w:tc>
          <w:tcPr>
            <w:tcW w:w="1120" w:type="dxa"/>
            <w:tcBorders>
              <w:top w:val="nil"/>
              <w:left w:val="nil"/>
              <w:bottom w:val="nil"/>
              <w:right w:val="single" w:sz="4" w:space="0" w:color="auto"/>
            </w:tcBorders>
            <w:shd w:val="clear" w:color="auto" w:fill="auto"/>
            <w:noWrap/>
            <w:vAlign w:val="center"/>
            <w:hideMark/>
          </w:tcPr>
          <w:p w:rsidR="008E0F00" w:rsidRPr="008E0F00" w:rsidRDefault="008E0F00" w:rsidP="008E0F00">
            <w:pPr>
              <w:spacing w:after="0" w:line="240" w:lineRule="auto"/>
              <w:jc w:val="center"/>
              <w:rPr>
                <w:rFonts w:ascii="Calibri" w:eastAsia="Times New Roman" w:hAnsi="Calibri" w:cs="Times New Roman"/>
                <w:color w:val="000000"/>
                <w:lang w:val="de-DE" w:eastAsia="de-DE"/>
              </w:rPr>
            </w:pPr>
            <w:r w:rsidRPr="008E0F00">
              <w:rPr>
                <w:rFonts w:ascii="Calibri" w:eastAsia="Times New Roman" w:hAnsi="Calibri" w:cs="Times New Roman"/>
                <w:color w:val="000000"/>
                <w:lang w:val="de-DE" w:eastAsia="de-DE"/>
              </w:rPr>
              <w:t xml:space="preserve">0.87 </w:t>
            </w:r>
            <w:r w:rsidRPr="008E0F00">
              <w:rPr>
                <w:rFonts w:ascii="Calibri" w:eastAsia="Times New Roman" w:hAnsi="Calibri" w:cs="Times New Roman"/>
                <w:color w:val="000000"/>
                <w:sz w:val="16"/>
                <w:szCs w:val="16"/>
                <w:lang w:val="de-DE" w:eastAsia="de-DE"/>
              </w:rPr>
              <w:t>± 0.2</w:t>
            </w:r>
          </w:p>
        </w:tc>
        <w:tc>
          <w:tcPr>
            <w:tcW w:w="840" w:type="dxa"/>
            <w:tcBorders>
              <w:top w:val="nil"/>
              <w:left w:val="nil"/>
              <w:bottom w:val="nil"/>
              <w:right w:val="single" w:sz="4" w:space="0" w:color="auto"/>
            </w:tcBorders>
            <w:shd w:val="clear" w:color="000000" w:fill="DA9694"/>
            <w:noWrap/>
            <w:vAlign w:val="center"/>
            <w:hideMark/>
          </w:tcPr>
          <w:p w:rsidR="008E0F00" w:rsidRPr="008E0F00" w:rsidRDefault="008E0F00" w:rsidP="008E0F00">
            <w:pPr>
              <w:spacing w:after="0" w:line="240" w:lineRule="auto"/>
              <w:jc w:val="center"/>
              <w:rPr>
                <w:rFonts w:ascii="Calibri" w:eastAsia="Times New Roman" w:hAnsi="Calibri" w:cs="Times New Roman"/>
                <w:color w:val="000000"/>
                <w:lang w:val="de-DE" w:eastAsia="de-DE"/>
              </w:rPr>
            </w:pPr>
            <w:r w:rsidRPr="008E0F00">
              <w:rPr>
                <w:rFonts w:ascii="Calibri" w:eastAsia="Times New Roman" w:hAnsi="Calibri" w:cs="Times New Roman"/>
                <w:color w:val="000000"/>
                <w:lang w:val="de-DE" w:eastAsia="de-DE"/>
              </w:rPr>
              <w:t xml:space="preserve">7.2 </w:t>
            </w:r>
            <w:r w:rsidRPr="008E0F00">
              <w:rPr>
                <w:rFonts w:ascii="Calibri" w:eastAsia="Times New Roman" w:hAnsi="Calibri" w:cs="Times New Roman"/>
                <w:color w:val="000000"/>
                <w:sz w:val="18"/>
                <w:szCs w:val="18"/>
                <w:lang w:val="de-DE" w:eastAsia="de-DE"/>
              </w:rPr>
              <w:t>**</w:t>
            </w:r>
          </w:p>
        </w:tc>
      </w:tr>
      <w:tr w:rsidR="008E0F00" w:rsidRPr="008E0F00" w:rsidTr="008E0F00">
        <w:trPr>
          <w:trHeight w:val="600"/>
        </w:trPr>
        <w:tc>
          <w:tcPr>
            <w:tcW w:w="1480" w:type="dxa"/>
            <w:tcBorders>
              <w:top w:val="nil"/>
              <w:left w:val="single" w:sz="4" w:space="0" w:color="auto"/>
              <w:bottom w:val="nil"/>
              <w:right w:val="single" w:sz="4" w:space="0" w:color="auto"/>
            </w:tcBorders>
            <w:shd w:val="clear" w:color="auto" w:fill="auto"/>
            <w:noWrap/>
            <w:vAlign w:val="center"/>
            <w:hideMark/>
          </w:tcPr>
          <w:p w:rsidR="008E0F00" w:rsidRPr="008E0F00" w:rsidRDefault="008E0F00" w:rsidP="008E0F00">
            <w:pPr>
              <w:spacing w:after="0" w:line="240" w:lineRule="auto"/>
              <w:jc w:val="center"/>
              <w:rPr>
                <w:rFonts w:ascii="Calibri" w:eastAsia="Times New Roman" w:hAnsi="Calibri" w:cs="Times New Roman"/>
                <w:color w:val="000000"/>
                <w:lang w:val="de-DE" w:eastAsia="de-DE"/>
              </w:rPr>
            </w:pPr>
            <w:r w:rsidRPr="008E0F00">
              <w:rPr>
                <w:rFonts w:ascii="Calibri" w:eastAsia="Times New Roman" w:hAnsi="Calibri" w:cs="Times New Roman"/>
                <w:color w:val="000000"/>
                <w:lang w:val="de-DE" w:eastAsia="de-DE"/>
              </w:rPr>
              <w:t>Camalexin</w:t>
            </w:r>
          </w:p>
        </w:tc>
        <w:tc>
          <w:tcPr>
            <w:tcW w:w="1060" w:type="dxa"/>
            <w:tcBorders>
              <w:top w:val="nil"/>
              <w:left w:val="nil"/>
              <w:bottom w:val="nil"/>
              <w:right w:val="nil"/>
            </w:tcBorders>
            <w:shd w:val="clear" w:color="auto" w:fill="auto"/>
            <w:noWrap/>
            <w:vAlign w:val="center"/>
            <w:hideMark/>
          </w:tcPr>
          <w:p w:rsidR="008E0F00" w:rsidRPr="008E0F00" w:rsidRDefault="008E0F00" w:rsidP="008E0F00">
            <w:pPr>
              <w:spacing w:after="0" w:line="240" w:lineRule="auto"/>
              <w:jc w:val="center"/>
              <w:rPr>
                <w:rFonts w:ascii="Calibri" w:eastAsia="Times New Roman" w:hAnsi="Calibri" w:cs="Times New Roman"/>
                <w:color w:val="000000"/>
                <w:lang w:val="de-DE" w:eastAsia="de-DE"/>
              </w:rPr>
            </w:pPr>
            <w:r w:rsidRPr="008E0F00">
              <w:rPr>
                <w:rFonts w:ascii="Calibri" w:eastAsia="Times New Roman" w:hAnsi="Calibri" w:cs="Times New Roman"/>
                <w:color w:val="000000"/>
                <w:lang w:val="de-DE" w:eastAsia="de-DE"/>
              </w:rPr>
              <w:t xml:space="preserve">0.09 </w:t>
            </w:r>
            <w:r w:rsidRPr="008E0F00">
              <w:rPr>
                <w:rFonts w:ascii="Calibri" w:eastAsia="Times New Roman" w:hAnsi="Calibri" w:cs="Times New Roman"/>
                <w:color w:val="000000"/>
                <w:sz w:val="16"/>
                <w:szCs w:val="16"/>
                <w:lang w:val="de-DE" w:eastAsia="de-DE"/>
              </w:rPr>
              <w:t>±</w:t>
            </w:r>
            <w:r w:rsidRPr="008E0F00">
              <w:rPr>
                <w:rFonts w:ascii="Calibri" w:eastAsia="Times New Roman" w:hAnsi="Calibri" w:cs="Times New Roman"/>
                <w:color w:val="000000"/>
                <w:lang w:val="de-DE" w:eastAsia="de-DE"/>
              </w:rPr>
              <w:t xml:space="preserve"> </w:t>
            </w:r>
            <w:r w:rsidRPr="008E0F00">
              <w:rPr>
                <w:rFonts w:ascii="Calibri" w:eastAsia="Times New Roman" w:hAnsi="Calibri" w:cs="Times New Roman"/>
                <w:color w:val="000000"/>
                <w:sz w:val="16"/>
                <w:szCs w:val="16"/>
                <w:lang w:val="de-DE" w:eastAsia="de-DE"/>
              </w:rPr>
              <w:t>0.01</w:t>
            </w:r>
          </w:p>
        </w:tc>
        <w:tc>
          <w:tcPr>
            <w:tcW w:w="1000" w:type="dxa"/>
            <w:tcBorders>
              <w:top w:val="nil"/>
              <w:left w:val="nil"/>
              <w:bottom w:val="nil"/>
              <w:right w:val="single" w:sz="4" w:space="0" w:color="auto"/>
            </w:tcBorders>
            <w:shd w:val="clear" w:color="auto" w:fill="auto"/>
            <w:noWrap/>
            <w:vAlign w:val="center"/>
            <w:hideMark/>
          </w:tcPr>
          <w:p w:rsidR="008E0F00" w:rsidRPr="008E0F00" w:rsidRDefault="008E0F00" w:rsidP="008E0F00">
            <w:pPr>
              <w:spacing w:after="0" w:line="240" w:lineRule="auto"/>
              <w:jc w:val="center"/>
              <w:rPr>
                <w:rFonts w:ascii="Calibri" w:eastAsia="Times New Roman" w:hAnsi="Calibri" w:cs="Times New Roman"/>
                <w:color w:val="000000"/>
                <w:lang w:val="de-DE" w:eastAsia="de-DE"/>
              </w:rPr>
            </w:pPr>
            <w:r w:rsidRPr="008E0F00">
              <w:rPr>
                <w:rFonts w:ascii="Calibri" w:eastAsia="Times New Roman" w:hAnsi="Calibri" w:cs="Times New Roman"/>
                <w:color w:val="000000"/>
                <w:lang w:val="de-DE" w:eastAsia="de-DE"/>
              </w:rPr>
              <w:t xml:space="preserve">69.3 </w:t>
            </w:r>
            <w:r w:rsidRPr="008E0F00">
              <w:rPr>
                <w:rFonts w:ascii="Calibri" w:eastAsia="Times New Roman" w:hAnsi="Calibri" w:cs="Times New Roman"/>
                <w:color w:val="000000"/>
                <w:sz w:val="16"/>
                <w:szCs w:val="16"/>
                <w:lang w:val="de-DE" w:eastAsia="de-DE"/>
              </w:rPr>
              <w:t>±</w:t>
            </w:r>
            <w:r w:rsidRPr="008E0F00">
              <w:rPr>
                <w:rFonts w:ascii="Calibri" w:eastAsia="Times New Roman" w:hAnsi="Calibri" w:cs="Times New Roman"/>
                <w:color w:val="000000"/>
                <w:lang w:val="de-DE" w:eastAsia="de-DE"/>
              </w:rPr>
              <w:t xml:space="preserve"> </w:t>
            </w:r>
            <w:r w:rsidRPr="008E0F00">
              <w:rPr>
                <w:rFonts w:ascii="Calibri" w:eastAsia="Times New Roman" w:hAnsi="Calibri" w:cs="Times New Roman"/>
                <w:color w:val="000000"/>
                <w:sz w:val="16"/>
                <w:szCs w:val="16"/>
                <w:lang w:val="de-DE" w:eastAsia="de-DE"/>
              </w:rPr>
              <w:t>6.2</w:t>
            </w:r>
          </w:p>
        </w:tc>
        <w:tc>
          <w:tcPr>
            <w:tcW w:w="960" w:type="dxa"/>
            <w:tcBorders>
              <w:top w:val="nil"/>
              <w:left w:val="nil"/>
              <w:bottom w:val="nil"/>
              <w:right w:val="single" w:sz="4" w:space="0" w:color="auto"/>
            </w:tcBorders>
            <w:shd w:val="clear" w:color="000000" w:fill="632523"/>
            <w:noWrap/>
            <w:vAlign w:val="center"/>
            <w:hideMark/>
          </w:tcPr>
          <w:p w:rsidR="008E0F00" w:rsidRPr="008E0F00" w:rsidRDefault="008E0F00" w:rsidP="008E0F00">
            <w:pPr>
              <w:spacing w:after="0" w:line="240" w:lineRule="auto"/>
              <w:jc w:val="center"/>
              <w:rPr>
                <w:rFonts w:ascii="Calibri" w:eastAsia="Times New Roman" w:hAnsi="Calibri" w:cs="Times New Roman"/>
                <w:color w:val="FFFFFF"/>
                <w:lang w:val="de-DE" w:eastAsia="de-DE"/>
              </w:rPr>
            </w:pPr>
            <w:r w:rsidRPr="008E0F00">
              <w:rPr>
                <w:rFonts w:ascii="Calibri" w:eastAsia="Times New Roman" w:hAnsi="Calibri" w:cs="Times New Roman"/>
                <w:color w:val="FFFFFF"/>
                <w:lang w:val="de-DE" w:eastAsia="de-DE"/>
              </w:rPr>
              <w:t xml:space="preserve">741.2 </w:t>
            </w:r>
            <w:r w:rsidRPr="008E0F00">
              <w:rPr>
                <w:rFonts w:ascii="Calibri" w:eastAsia="Times New Roman" w:hAnsi="Calibri" w:cs="Times New Roman"/>
                <w:color w:val="FFFFFF"/>
                <w:sz w:val="18"/>
                <w:szCs w:val="18"/>
                <w:lang w:val="de-DE" w:eastAsia="de-DE"/>
              </w:rPr>
              <w:t>***</w:t>
            </w:r>
          </w:p>
        </w:tc>
        <w:tc>
          <w:tcPr>
            <w:tcW w:w="1120" w:type="dxa"/>
            <w:tcBorders>
              <w:top w:val="nil"/>
              <w:left w:val="nil"/>
              <w:bottom w:val="nil"/>
              <w:right w:val="nil"/>
            </w:tcBorders>
            <w:shd w:val="clear" w:color="auto" w:fill="auto"/>
            <w:noWrap/>
            <w:vAlign w:val="center"/>
            <w:hideMark/>
          </w:tcPr>
          <w:p w:rsidR="008E0F00" w:rsidRPr="008E0F00" w:rsidRDefault="008E0F00" w:rsidP="008E0F00">
            <w:pPr>
              <w:spacing w:after="0" w:line="240" w:lineRule="auto"/>
              <w:jc w:val="center"/>
              <w:rPr>
                <w:rFonts w:ascii="Calibri" w:eastAsia="Times New Roman" w:hAnsi="Calibri" w:cs="Times New Roman"/>
                <w:color w:val="000000"/>
                <w:lang w:val="de-DE" w:eastAsia="de-DE"/>
              </w:rPr>
            </w:pPr>
            <w:r w:rsidRPr="008E0F00">
              <w:rPr>
                <w:rFonts w:ascii="Calibri" w:eastAsia="Times New Roman" w:hAnsi="Calibri" w:cs="Times New Roman"/>
                <w:color w:val="000000"/>
                <w:lang w:val="de-DE" w:eastAsia="de-DE"/>
              </w:rPr>
              <w:t xml:space="preserve">0.06 </w:t>
            </w:r>
            <w:r w:rsidRPr="008E0F00">
              <w:rPr>
                <w:rFonts w:ascii="Calibri" w:eastAsia="Times New Roman" w:hAnsi="Calibri" w:cs="Times New Roman"/>
                <w:color w:val="000000"/>
                <w:sz w:val="16"/>
                <w:szCs w:val="16"/>
                <w:lang w:val="de-DE" w:eastAsia="de-DE"/>
              </w:rPr>
              <w:t>±</w:t>
            </w:r>
            <w:r w:rsidRPr="008E0F00">
              <w:rPr>
                <w:rFonts w:ascii="Calibri" w:eastAsia="Times New Roman" w:hAnsi="Calibri" w:cs="Times New Roman"/>
                <w:color w:val="000000"/>
                <w:lang w:val="de-DE" w:eastAsia="de-DE"/>
              </w:rPr>
              <w:t xml:space="preserve"> </w:t>
            </w:r>
            <w:r w:rsidRPr="008E0F00">
              <w:rPr>
                <w:rFonts w:ascii="Calibri" w:eastAsia="Times New Roman" w:hAnsi="Calibri" w:cs="Times New Roman"/>
                <w:color w:val="000000"/>
                <w:sz w:val="16"/>
                <w:szCs w:val="16"/>
                <w:lang w:val="de-DE" w:eastAsia="de-DE"/>
              </w:rPr>
              <w:t>0.07</w:t>
            </w:r>
          </w:p>
        </w:tc>
        <w:tc>
          <w:tcPr>
            <w:tcW w:w="1060" w:type="dxa"/>
            <w:tcBorders>
              <w:top w:val="nil"/>
              <w:left w:val="nil"/>
              <w:bottom w:val="nil"/>
              <w:right w:val="single" w:sz="4" w:space="0" w:color="auto"/>
            </w:tcBorders>
            <w:shd w:val="clear" w:color="auto" w:fill="auto"/>
            <w:noWrap/>
            <w:vAlign w:val="center"/>
            <w:hideMark/>
          </w:tcPr>
          <w:p w:rsidR="008E0F00" w:rsidRPr="008E0F00" w:rsidRDefault="008E0F00" w:rsidP="008E0F00">
            <w:pPr>
              <w:spacing w:after="0" w:line="240" w:lineRule="auto"/>
              <w:jc w:val="center"/>
              <w:rPr>
                <w:rFonts w:ascii="Calibri" w:eastAsia="Times New Roman" w:hAnsi="Calibri" w:cs="Times New Roman"/>
                <w:color w:val="000000"/>
                <w:lang w:val="de-DE" w:eastAsia="de-DE"/>
              </w:rPr>
            </w:pPr>
            <w:r w:rsidRPr="008E0F00">
              <w:rPr>
                <w:rFonts w:ascii="Calibri" w:eastAsia="Times New Roman" w:hAnsi="Calibri" w:cs="Times New Roman"/>
                <w:color w:val="000000"/>
                <w:lang w:val="de-DE" w:eastAsia="de-DE"/>
              </w:rPr>
              <w:t>4.6</w:t>
            </w:r>
            <w:r w:rsidRPr="008E0F00">
              <w:rPr>
                <w:rFonts w:ascii="Calibri" w:eastAsia="Times New Roman" w:hAnsi="Calibri" w:cs="Times New Roman"/>
                <w:color w:val="000000"/>
                <w:sz w:val="16"/>
                <w:szCs w:val="16"/>
                <w:lang w:val="de-DE" w:eastAsia="de-DE"/>
              </w:rPr>
              <w:t xml:space="preserve"> ±</w:t>
            </w:r>
            <w:r w:rsidRPr="008E0F00">
              <w:rPr>
                <w:rFonts w:ascii="Calibri" w:eastAsia="Times New Roman" w:hAnsi="Calibri" w:cs="Times New Roman"/>
                <w:color w:val="000000"/>
                <w:lang w:val="de-DE" w:eastAsia="de-DE"/>
              </w:rPr>
              <w:t xml:space="preserve"> </w:t>
            </w:r>
            <w:r w:rsidRPr="008E0F00">
              <w:rPr>
                <w:rFonts w:ascii="Calibri" w:eastAsia="Times New Roman" w:hAnsi="Calibri" w:cs="Times New Roman"/>
                <w:color w:val="000000"/>
                <w:sz w:val="16"/>
                <w:szCs w:val="16"/>
                <w:lang w:val="de-DE" w:eastAsia="de-DE"/>
              </w:rPr>
              <w:t>1.2</w:t>
            </w:r>
          </w:p>
        </w:tc>
        <w:tc>
          <w:tcPr>
            <w:tcW w:w="1200" w:type="dxa"/>
            <w:tcBorders>
              <w:top w:val="nil"/>
              <w:left w:val="nil"/>
              <w:bottom w:val="nil"/>
              <w:right w:val="single" w:sz="4" w:space="0" w:color="auto"/>
            </w:tcBorders>
            <w:shd w:val="clear" w:color="000000" w:fill="963634"/>
            <w:noWrap/>
            <w:vAlign w:val="center"/>
            <w:hideMark/>
          </w:tcPr>
          <w:p w:rsidR="008E0F00" w:rsidRPr="008E0F00" w:rsidRDefault="008E0F00" w:rsidP="008E0F00">
            <w:pPr>
              <w:spacing w:after="0" w:line="240" w:lineRule="auto"/>
              <w:jc w:val="center"/>
              <w:rPr>
                <w:rFonts w:ascii="Calibri" w:eastAsia="Times New Roman" w:hAnsi="Calibri" w:cs="Times New Roman"/>
                <w:color w:val="FFFFFF"/>
                <w:lang w:val="de-DE" w:eastAsia="de-DE"/>
              </w:rPr>
            </w:pPr>
            <w:r w:rsidRPr="008E0F00">
              <w:rPr>
                <w:rFonts w:ascii="Calibri" w:eastAsia="Times New Roman" w:hAnsi="Calibri" w:cs="Times New Roman"/>
                <w:color w:val="FFFFFF"/>
                <w:lang w:val="de-DE" w:eastAsia="de-DE"/>
              </w:rPr>
              <w:t xml:space="preserve">76.1 </w:t>
            </w:r>
            <w:r w:rsidRPr="008E0F00">
              <w:rPr>
                <w:rFonts w:ascii="Calibri" w:eastAsia="Times New Roman" w:hAnsi="Calibri" w:cs="Times New Roman"/>
                <w:color w:val="FFFFFF"/>
                <w:sz w:val="18"/>
                <w:szCs w:val="18"/>
                <w:lang w:val="de-DE" w:eastAsia="de-DE"/>
              </w:rPr>
              <w:t>**</w:t>
            </w:r>
          </w:p>
        </w:tc>
        <w:tc>
          <w:tcPr>
            <w:tcW w:w="1140" w:type="dxa"/>
            <w:tcBorders>
              <w:top w:val="nil"/>
              <w:left w:val="nil"/>
              <w:bottom w:val="nil"/>
              <w:right w:val="nil"/>
            </w:tcBorders>
            <w:shd w:val="clear" w:color="auto" w:fill="auto"/>
            <w:noWrap/>
            <w:vAlign w:val="center"/>
            <w:hideMark/>
          </w:tcPr>
          <w:p w:rsidR="008E0F00" w:rsidRPr="008E0F00" w:rsidRDefault="008E0F00" w:rsidP="008E0F00">
            <w:pPr>
              <w:spacing w:after="0" w:line="240" w:lineRule="auto"/>
              <w:jc w:val="center"/>
              <w:rPr>
                <w:rFonts w:ascii="Calibri" w:eastAsia="Times New Roman" w:hAnsi="Calibri" w:cs="Times New Roman"/>
                <w:color w:val="000000"/>
                <w:lang w:val="de-DE" w:eastAsia="de-DE"/>
              </w:rPr>
            </w:pPr>
            <w:r w:rsidRPr="008E0F00">
              <w:rPr>
                <w:rFonts w:ascii="Calibri" w:eastAsia="Times New Roman" w:hAnsi="Calibri" w:cs="Times New Roman"/>
                <w:color w:val="000000"/>
                <w:lang w:val="de-DE" w:eastAsia="de-DE"/>
              </w:rPr>
              <w:t xml:space="preserve">0.01 </w:t>
            </w:r>
            <w:r w:rsidRPr="008E0F00">
              <w:rPr>
                <w:rFonts w:ascii="Calibri" w:eastAsia="Times New Roman" w:hAnsi="Calibri" w:cs="Times New Roman"/>
                <w:color w:val="000000"/>
                <w:sz w:val="16"/>
                <w:szCs w:val="16"/>
                <w:lang w:val="de-DE" w:eastAsia="de-DE"/>
              </w:rPr>
              <w:t>±</w:t>
            </w:r>
            <w:r w:rsidRPr="008E0F00">
              <w:rPr>
                <w:rFonts w:ascii="Calibri" w:eastAsia="Times New Roman" w:hAnsi="Calibri" w:cs="Times New Roman"/>
                <w:color w:val="000000"/>
                <w:lang w:val="de-DE" w:eastAsia="de-DE"/>
              </w:rPr>
              <w:t xml:space="preserve"> </w:t>
            </w:r>
            <w:r w:rsidRPr="008E0F00">
              <w:rPr>
                <w:rFonts w:ascii="Calibri" w:eastAsia="Times New Roman" w:hAnsi="Calibri" w:cs="Times New Roman"/>
                <w:color w:val="000000"/>
                <w:sz w:val="16"/>
                <w:szCs w:val="16"/>
                <w:lang w:val="de-DE" w:eastAsia="de-DE"/>
              </w:rPr>
              <w:t>0.001</w:t>
            </w:r>
          </w:p>
        </w:tc>
        <w:tc>
          <w:tcPr>
            <w:tcW w:w="1020" w:type="dxa"/>
            <w:tcBorders>
              <w:top w:val="nil"/>
              <w:left w:val="nil"/>
              <w:bottom w:val="nil"/>
              <w:right w:val="single" w:sz="4" w:space="0" w:color="auto"/>
            </w:tcBorders>
            <w:shd w:val="clear" w:color="auto" w:fill="auto"/>
            <w:noWrap/>
            <w:vAlign w:val="center"/>
            <w:hideMark/>
          </w:tcPr>
          <w:p w:rsidR="008E0F00" w:rsidRPr="008E0F00" w:rsidRDefault="008E0F00" w:rsidP="008E0F00">
            <w:pPr>
              <w:spacing w:after="0" w:line="240" w:lineRule="auto"/>
              <w:jc w:val="center"/>
              <w:rPr>
                <w:rFonts w:ascii="Calibri" w:eastAsia="Times New Roman" w:hAnsi="Calibri" w:cs="Times New Roman"/>
                <w:color w:val="000000"/>
                <w:lang w:val="de-DE" w:eastAsia="de-DE"/>
              </w:rPr>
            </w:pPr>
            <w:r w:rsidRPr="008E0F00">
              <w:rPr>
                <w:rFonts w:ascii="Calibri" w:eastAsia="Times New Roman" w:hAnsi="Calibri" w:cs="Times New Roman"/>
                <w:color w:val="000000"/>
                <w:lang w:val="de-DE" w:eastAsia="de-DE"/>
              </w:rPr>
              <w:t xml:space="preserve">1.7 </w:t>
            </w:r>
            <w:r w:rsidRPr="008E0F00">
              <w:rPr>
                <w:rFonts w:ascii="Calibri" w:eastAsia="Times New Roman" w:hAnsi="Calibri" w:cs="Times New Roman"/>
                <w:color w:val="000000"/>
                <w:sz w:val="16"/>
                <w:szCs w:val="16"/>
                <w:lang w:val="de-DE" w:eastAsia="de-DE"/>
              </w:rPr>
              <w:t>±</w:t>
            </w:r>
            <w:r w:rsidRPr="008E0F00">
              <w:rPr>
                <w:rFonts w:ascii="Calibri" w:eastAsia="Times New Roman" w:hAnsi="Calibri" w:cs="Times New Roman"/>
                <w:color w:val="000000"/>
                <w:lang w:val="de-DE" w:eastAsia="de-DE"/>
              </w:rPr>
              <w:t xml:space="preserve"> </w:t>
            </w:r>
            <w:r w:rsidRPr="008E0F00">
              <w:rPr>
                <w:rFonts w:ascii="Calibri" w:eastAsia="Times New Roman" w:hAnsi="Calibri" w:cs="Times New Roman"/>
                <w:color w:val="000000"/>
                <w:sz w:val="16"/>
                <w:szCs w:val="16"/>
                <w:lang w:val="de-DE" w:eastAsia="de-DE"/>
              </w:rPr>
              <w:t>0.2</w:t>
            </w:r>
          </w:p>
        </w:tc>
        <w:tc>
          <w:tcPr>
            <w:tcW w:w="1020" w:type="dxa"/>
            <w:tcBorders>
              <w:top w:val="nil"/>
              <w:left w:val="nil"/>
              <w:bottom w:val="nil"/>
              <w:right w:val="single" w:sz="4" w:space="0" w:color="auto"/>
            </w:tcBorders>
            <w:shd w:val="clear" w:color="000000" w:fill="632523"/>
            <w:noWrap/>
            <w:vAlign w:val="center"/>
            <w:hideMark/>
          </w:tcPr>
          <w:p w:rsidR="008E0F00" w:rsidRPr="008E0F00" w:rsidRDefault="008E0F00" w:rsidP="008E0F00">
            <w:pPr>
              <w:spacing w:after="0" w:line="240" w:lineRule="auto"/>
              <w:jc w:val="center"/>
              <w:rPr>
                <w:rFonts w:ascii="Calibri" w:eastAsia="Times New Roman" w:hAnsi="Calibri" w:cs="Times New Roman"/>
                <w:color w:val="FFFFFF"/>
                <w:lang w:val="de-DE" w:eastAsia="de-DE"/>
              </w:rPr>
            </w:pPr>
            <w:r w:rsidRPr="008E0F00">
              <w:rPr>
                <w:rFonts w:ascii="Calibri" w:eastAsia="Times New Roman" w:hAnsi="Calibri" w:cs="Times New Roman"/>
                <w:color w:val="FFFFFF"/>
                <w:lang w:val="de-DE" w:eastAsia="de-DE"/>
              </w:rPr>
              <w:t xml:space="preserve">307.2 </w:t>
            </w:r>
            <w:r w:rsidRPr="008E0F00">
              <w:rPr>
                <w:rFonts w:ascii="Calibri" w:eastAsia="Times New Roman" w:hAnsi="Calibri" w:cs="Times New Roman"/>
                <w:color w:val="FFFFFF"/>
                <w:sz w:val="18"/>
                <w:szCs w:val="18"/>
                <w:lang w:val="de-DE" w:eastAsia="de-DE"/>
              </w:rPr>
              <w:t>***</w:t>
            </w:r>
          </w:p>
        </w:tc>
        <w:tc>
          <w:tcPr>
            <w:tcW w:w="1140" w:type="dxa"/>
            <w:tcBorders>
              <w:top w:val="nil"/>
              <w:left w:val="nil"/>
              <w:bottom w:val="nil"/>
              <w:right w:val="nil"/>
            </w:tcBorders>
            <w:shd w:val="clear" w:color="auto" w:fill="auto"/>
            <w:noWrap/>
            <w:vAlign w:val="center"/>
            <w:hideMark/>
          </w:tcPr>
          <w:p w:rsidR="008E0F00" w:rsidRPr="008E0F00" w:rsidRDefault="008E0F00" w:rsidP="008E0F00">
            <w:pPr>
              <w:spacing w:after="0" w:line="240" w:lineRule="auto"/>
              <w:jc w:val="center"/>
              <w:rPr>
                <w:rFonts w:ascii="Calibri" w:eastAsia="Times New Roman" w:hAnsi="Calibri" w:cs="Times New Roman"/>
                <w:color w:val="000000"/>
                <w:lang w:val="de-DE" w:eastAsia="de-DE"/>
              </w:rPr>
            </w:pPr>
            <w:r w:rsidRPr="008E0F00">
              <w:rPr>
                <w:rFonts w:ascii="Calibri" w:eastAsia="Times New Roman" w:hAnsi="Calibri" w:cs="Times New Roman"/>
                <w:color w:val="000000"/>
                <w:lang w:val="de-DE" w:eastAsia="de-DE"/>
              </w:rPr>
              <w:t xml:space="preserve">0.002 </w:t>
            </w:r>
            <w:r w:rsidRPr="008E0F00">
              <w:rPr>
                <w:rFonts w:ascii="Calibri" w:eastAsia="Times New Roman" w:hAnsi="Calibri" w:cs="Times New Roman"/>
                <w:color w:val="000000"/>
                <w:sz w:val="16"/>
                <w:szCs w:val="16"/>
                <w:lang w:val="de-DE" w:eastAsia="de-DE"/>
              </w:rPr>
              <w:t>± 0.001</w:t>
            </w:r>
          </w:p>
        </w:tc>
        <w:tc>
          <w:tcPr>
            <w:tcW w:w="1120" w:type="dxa"/>
            <w:tcBorders>
              <w:top w:val="nil"/>
              <w:left w:val="nil"/>
              <w:bottom w:val="nil"/>
              <w:right w:val="single" w:sz="4" w:space="0" w:color="auto"/>
            </w:tcBorders>
            <w:shd w:val="clear" w:color="auto" w:fill="auto"/>
            <w:noWrap/>
            <w:vAlign w:val="center"/>
            <w:hideMark/>
          </w:tcPr>
          <w:p w:rsidR="008E0F00" w:rsidRPr="008E0F00" w:rsidRDefault="008E0F00" w:rsidP="008E0F00">
            <w:pPr>
              <w:spacing w:after="0" w:line="240" w:lineRule="auto"/>
              <w:jc w:val="center"/>
              <w:rPr>
                <w:rFonts w:ascii="Calibri" w:eastAsia="Times New Roman" w:hAnsi="Calibri" w:cs="Times New Roman"/>
                <w:color w:val="000000"/>
                <w:lang w:val="de-DE" w:eastAsia="de-DE"/>
              </w:rPr>
            </w:pPr>
            <w:r w:rsidRPr="008E0F00">
              <w:rPr>
                <w:rFonts w:ascii="Calibri" w:eastAsia="Times New Roman" w:hAnsi="Calibri" w:cs="Times New Roman"/>
                <w:color w:val="000000"/>
                <w:lang w:val="de-DE" w:eastAsia="de-DE"/>
              </w:rPr>
              <w:t>0.03</w:t>
            </w:r>
            <w:r w:rsidRPr="008E0F00">
              <w:rPr>
                <w:rFonts w:ascii="Calibri" w:eastAsia="Times New Roman" w:hAnsi="Calibri" w:cs="Times New Roman"/>
                <w:color w:val="000000"/>
                <w:sz w:val="16"/>
                <w:szCs w:val="16"/>
                <w:lang w:val="de-DE" w:eastAsia="de-DE"/>
              </w:rPr>
              <w:t xml:space="preserve"> ± 0.004</w:t>
            </w:r>
          </w:p>
        </w:tc>
        <w:tc>
          <w:tcPr>
            <w:tcW w:w="840" w:type="dxa"/>
            <w:tcBorders>
              <w:top w:val="nil"/>
              <w:left w:val="nil"/>
              <w:bottom w:val="nil"/>
              <w:right w:val="single" w:sz="4" w:space="0" w:color="auto"/>
            </w:tcBorders>
            <w:shd w:val="clear" w:color="000000" w:fill="DA9694"/>
            <w:noWrap/>
            <w:vAlign w:val="center"/>
            <w:hideMark/>
          </w:tcPr>
          <w:p w:rsidR="008E0F00" w:rsidRPr="008E0F00" w:rsidRDefault="008E0F00" w:rsidP="008E0F00">
            <w:pPr>
              <w:spacing w:after="0" w:line="240" w:lineRule="auto"/>
              <w:jc w:val="center"/>
              <w:rPr>
                <w:rFonts w:ascii="Calibri" w:eastAsia="Times New Roman" w:hAnsi="Calibri" w:cs="Times New Roman"/>
                <w:color w:val="000000"/>
                <w:lang w:val="de-DE" w:eastAsia="de-DE"/>
              </w:rPr>
            </w:pPr>
            <w:r w:rsidRPr="008E0F00">
              <w:rPr>
                <w:rFonts w:ascii="Calibri" w:eastAsia="Times New Roman" w:hAnsi="Calibri" w:cs="Times New Roman"/>
                <w:color w:val="000000"/>
                <w:lang w:val="de-DE" w:eastAsia="de-DE"/>
              </w:rPr>
              <w:t xml:space="preserve">10.4 </w:t>
            </w:r>
            <w:r w:rsidRPr="008E0F00">
              <w:rPr>
                <w:rFonts w:ascii="Calibri" w:eastAsia="Times New Roman" w:hAnsi="Calibri" w:cs="Times New Roman"/>
                <w:color w:val="000000"/>
                <w:sz w:val="18"/>
                <w:szCs w:val="18"/>
                <w:lang w:val="de-DE" w:eastAsia="de-DE"/>
              </w:rPr>
              <w:t>**</w:t>
            </w:r>
          </w:p>
        </w:tc>
      </w:tr>
      <w:tr w:rsidR="008E0F00" w:rsidRPr="008E0F00" w:rsidTr="008E0F00">
        <w:trPr>
          <w:trHeight w:val="600"/>
        </w:trPr>
        <w:tc>
          <w:tcPr>
            <w:tcW w:w="1480" w:type="dxa"/>
            <w:tcBorders>
              <w:top w:val="nil"/>
              <w:left w:val="single" w:sz="4" w:space="0" w:color="auto"/>
              <w:bottom w:val="nil"/>
              <w:right w:val="single" w:sz="4" w:space="0" w:color="auto"/>
            </w:tcBorders>
            <w:shd w:val="clear" w:color="auto" w:fill="auto"/>
            <w:vAlign w:val="center"/>
            <w:hideMark/>
          </w:tcPr>
          <w:p w:rsidR="008E0F00" w:rsidRPr="008E0F00" w:rsidRDefault="008E0F00" w:rsidP="008E0F00">
            <w:pPr>
              <w:spacing w:after="0" w:line="240" w:lineRule="auto"/>
              <w:jc w:val="center"/>
              <w:rPr>
                <w:rFonts w:ascii="Calibri" w:eastAsia="Times New Roman" w:hAnsi="Calibri" w:cs="Times New Roman"/>
                <w:color w:val="000000"/>
                <w:lang w:val="de-DE" w:eastAsia="de-DE"/>
              </w:rPr>
            </w:pPr>
            <w:r w:rsidRPr="008E0F00">
              <w:rPr>
                <w:rFonts w:ascii="Calibri" w:eastAsia="Times New Roman" w:hAnsi="Calibri" w:cs="Times New Roman"/>
                <w:color w:val="000000"/>
                <w:lang w:val="de-DE" w:eastAsia="de-DE"/>
              </w:rPr>
              <w:t>Indole-3-carboxylic acid</w:t>
            </w:r>
          </w:p>
        </w:tc>
        <w:tc>
          <w:tcPr>
            <w:tcW w:w="1060" w:type="dxa"/>
            <w:tcBorders>
              <w:top w:val="nil"/>
              <w:left w:val="nil"/>
              <w:bottom w:val="nil"/>
              <w:right w:val="nil"/>
            </w:tcBorders>
            <w:shd w:val="clear" w:color="auto" w:fill="auto"/>
            <w:noWrap/>
            <w:vAlign w:val="center"/>
            <w:hideMark/>
          </w:tcPr>
          <w:p w:rsidR="008E0F00" w:rsidRPr="008E0F00" w:rsidRDefault="008E0F00" w:rsidP="008E0F00">
            <w:pPr>
              <w:spacing w:after="0" w:line="240" w:lineRule="auto"/>
              <w:jc w:val="center"/>
              <w:rPr>
                <w:rFonts w:ascii="Calibri" w:eastAsia="Times New Roman" w:hAnsi="Calibri" w:cs="Times New Roman"/>
                <w:color w:val="000000"/>
                <w:lang w:val="de-DE" w:eastAsia="de-DE"/>
              </w:rPr>
            </w:pPr>
            <w:r w:rsidRPr="008E0F00">
              <w:rPr>
                <w:rFonts w:ascii="Calibri" w:eastAsia="Times New Roman" w:hAnsi="Calibri" w:cs="Times New Roman"/>
                <w:color w:val="000000"/>
                <w:lang w:val="de-DE" w:eastAsia="de-DE"/>
              </w:rPr>
              <w:t xml:space="preserve">0.01 </w:t>
            </w:r>
            <w:r w:rsidRPr="008E0F00">
              <w:rPr>
                <w:rFonts w:ascii="Calibri" w:eastAsia="Times New Roman" w:hAnsi="Calibri" w:cs="Times New Roman"/>
                <w:color w:val="000000"/>
                <w:sz w:val="16"/>
                <w:szCs w:val="16"/>
                <w:lang w:val="de-DE" w:eastAsia="de-DE"/>
              </w:rPr>
              <w:t>±</w:t>
            </w:r>
            <w:r w:rsidRPr="008E0F00">
              <w:rPr>
                <w:rFonts w:ascii="Calibri" w:eastAsia="Times New Roman" w:hAnsi="Calibri" w:cs="Times New Roman"/>
                <w:color w:val="000000"/>
                <w:lang w:val="de-DE" w:eastAsia="de-DE"/>
              </w:rPr>
              <w:t xml:space="preserve"> </w:t>
            </w:r>
            <w:r w:rsidRPr="008E0F00">
              <w:rPr>
                <w:rFonts w:ascii="Calibri" w:eastAsia="Times New Roman" w:hAnsi="Calibri" w:cs="Times New Roman"/>
                <w:color w:val="000000"/>
                <w:sz w:val="16"/>
                <w:szCs w:val="16"/>
                <w:lang w:val="de-DE" w:eastAsia="de-DE"/>
              </w:rPr>
              <w:t>0.001</w:t>
            </w:r>
          </w:p>
        </w:tc>
        <w:tc>
          <w:tcPr>
            <w:tcW w:w="1000" w:type="dxa"/>
            <w:tcBorders>
              <w:top w:val="nil"/>
              <w:left w:val="nil"/>
              <w:bottom w:val="nil"/>
              <w:right w:val="single" w:sz="4" w:space="0" w:color="auto"/>
            </w:tcBorders>
            <w:shd w:val="clear" w:color="auto" w:fill="auto"/>
            <w:noWrap/>
            <w:vAlign w:val="center"/>
            <w:hideMark/>
          </w:tcPr>
          <w:p w:rsidR="008E0F00" w:rsidRPr="008E0F00" w:rsidRDefault="008E0F00" w:rsidP="008E0F00">
            <w:pPr>
              <w:spacing w:after="0" w:line="240" w:lineRule="auto"/>
              <w:jc w:val="center"/>
              <w:rPr>
                <w:rFonts w:ascii="Calibri" w:eastAsia="Times New Roman" w:hAnsi="Calibri" w:cs="Times New Roman"/>
                <w:color w:val="000000"/>
                <w:lang w:val="de-DE" w:eastAsia="de-DE"/>
              </w:rPr>
            </w:pPr>
            <w:r w:rsidRPr="008E0F00">
              <w:rPr>
                <w:rFonts w:ascii="Calibri" w:eastAsia="Times New Roman" w:hAnsi="Calibri" w:cs="Times New Roman"/>
                <w:color w:val="000000"/>
                <w:lang w:val="de-DE" w:eastAsia="de-DE"/>
              </w:rPr>
              <w:t xml:space="preserve">6.92 </w:t>
            </w:r>
            <w:r w:rsidRPr="008E0F00">
              <w:rPr>
                <w:rFonts w:ascii="Calibri" w:eastAsia="Times New Roman" w:hAnsi="Calibri" w:cs="Times New Roman"/>
                <w:color w:val="000000"/>
                <w:sz w:val="16"/>
                <w:szCs w:val="16"/>
                <w:lang w:val="de-DE" w:eastAsia="de-DE"/>
              </w:rPr>
              <w:t>±</w:t>
            </w:r>
            <w:r w:rsidRPr="008E0F00">
              <w:rPr>
                <w:rFonts w:ascii="Calibri" w:eastAsia="Times New Roman" w:hAnsi="Calibri" w:cs="Times New Roman"/>
                <w:color w:val="000000"/>
                <w:lang w:val="de-DE" w:eastAsia="de-DE"/>
              </w:rPr>
              <w:t xml:space="preserve"> </w:t>
            </w:r>
            <w:r w:rsidRPr="008E0F00">
              <w:rPr>
                <w:rFonts w:ascii="Calibri" w:eastAsia="Times New Roman" w:hAnsi="Calibri" w:cs="Times New Roman"/>
                <w:color w:val="000000"/>
                <w:sz w:val="16"/>
                <w:szCs w:val="16"/>
                <w:lang w:val="de-DE" w:eastAsia="de-DE"/>
              </w:rPr>
              <w:t>1.3</w:t>
            </w:r>
          </w:p>
        </w:tc>
        <w:tc>
          <w:tcPr>
            <w:tcW w:w="960" w:type="dxa"/>
            <w:tcBorders>
              <w:top w:val="nil"/>
              <w:left w:val="nil"/>
              <w:bottom w:val="nil"/>
              <w:right w:val="single" w:sz="4" w:space="0" w:color="auto"/>
            </w:tcBorders>
            <w:shd w:val="clear" w:color="000000" w:fill="632523"/>
            <w:noWrap/>
            <w:vAlign w:val="center"/>
            <w:hideMark/>
          </w:tcPr>
          <w:p w:rsidR="008E0F00" w:rsidRPr="008E0F00" w:rsidRDefault="008E0F00" w:rsidP="008E0F00">
            <w:pPr>
              <w:spacing w:after="0" w:line="240" w:lineRule="auto"/>
              <w:jc w:val="center"/>
              <w:rPr>
                <w:rFonts w:ascii="Calibri" w:eastAsia="Times New Roman" w:hAnsi="Calibri" w:cs="Times New Roman"/>
                <w:color w:val="FFFFFF"/>
                <w:lang w:val="de-DE" w:eastAsia="de-DE"/>
              </w:rPr>
            </w:pPr>
            <w:r w:rsidRPr="008E0F00">
              <w:rPr>
                <w:rFonts w:ascii="Calibri" w:eastAsia="Times New Roman" w:hAnsi="Calibri" w:cs="Times New Roman"/>
                <w:color w:val="FFFFFF"/>
                <w:lang w:val="de-DE" w:eastAsia="de-DE"/>
              </w:rPr>
              <w:t xml:space="preserve">676.0 </w:t>
            </w:r>
            <w:r w:rsidRPr="008E0F00">
              <w:rPr>
                <w:rFonts w:ascii="Calibri" w:eastAsia="Times New Roman" w:hAnsi="Calibri" w:cs="Times New Roman"/>
                <w:color w:val="FFFFFF"/>
                <w:sz w:val="18"/>
                <w:szCs w:val="18"/>
                <w:lang w:val="de-DE" w:eastAsia="de-DE"/>
              </w:rPr>
              <w:t>**</w:t>
            </w:r>
          </w:p>
        </w:tc>
        <w:tc>
          <w:tcPr>
            <w:tcW w:w="1120" w:type="dxa"/>
            <w:tcBorders>
              <w:top w:val="nil"/>
              <w:left w:val="nil"/>
              <w:bottom w:val="nil"/>
              <w:right w:val="nil"/>
            </w:tcBorders>
            <w:shd w:val="clear" w:color="auto" w:fill="auto"/>
            <w:noWrap/>
            <w:vAlign w:val="center"/>
            <w:hideMark/>
          </w:tcPr>
          <w:p w:rsidR="008E0F00" w:rsidRPr="008E0F00" w:rsidRDefault="008E0F00" w:rsidP="008E0F00">
            <w:pPr>
              <w:spacing w:after="0" w:line="240" w:lineRule="auto"/>
              <w:jc w:val="center"/>
              <w:rPr>
                <w:rFonts w:ascii="Calibri" w:eastAsia="Times New Roman" w:hAnsi="Calibri" w:cs="Times New Roman"/>
                <w:color w:val="000000"/>
                <w:lang w:val="de-DE" w:eastAsia="de-DE"/>
              </w:rPr>
            </w:pPr>
            <w:r w:rsidRPr="008E0F00">
              <w:rPr>
                <w:rFonts w:ascii="Calibri" w:eastAsia="Times New Roman" w:hAnsi="Calibri" w:cs="Times New Roman"/>
                <w:color w:val="000000"/>
                <w:lang w:val="de-DE" w:eastAsia="de-DE"/>
              </w:rPr>
              <w:t>0.01</w:t>
            </w:r>
            <w:r w:rsidRPr="008E0F00">
              <w:rPr>
                <w:rFonts w:ascii="Calibri" w:eastAsia="Times New Roman" w:hAnsi="Calibri" w:cs="Times New Roman"/>
                <w:color w:val="000000"/>
                <w:sz w:val="16"/>
                <w:szCs w:val="16"/>
                <w:lang w:val="de-DE" w:eastAsia="de-DE"/>
              </w:rPr>
              <w:t xml:space="preserve"> ± 0.01</w:t>
            </w:r>
          </w:p>
        </w:tc>
        <w:tc>
          <w:tcPr>
            <w:tcW w:w="1060" w:type="dxa"/>
            <w:tcBorders>
              <w:top w:val="nil"/>
              <w:left w:val="nil"/>
              <w:bottom w:val="nil"/>
              <w:right w:val="single" w:sz="4" w:space="0" w:color="auto"/>
            </w:tcBorders>
            <w:shd w:val="clear" w:color="auto" w:fill="auto"/>
            <w:noWrap/>
            <w:vAlign w:val="center"/>
            <w:hideMark/>
          </w:tcPr>
          <w:p w:rsidR="008E0F00" w:rsidRPr="008E0F00" w:rsidRDefault="008E0F00" w:rsidP="008E0F00">
            <w:pPr>
              <w:spacing w:after="0" w:line="240" w:lineRule="auto"/>
              <w:jc w:val="center"/>
              <w:rPr>
                <w:rFonts w:ascii="Calibri" w:eastAsia="Times New Roman" w:hAnsi="Calibri" w:cs="Times New Roman"/>
                <w:color w:val="000000"/>
                <w:lang w:val="de-DE" w:eastAsia="de-DE"/>
              </w:rPr>
            </w:pPr>
            <w:r w:rsidRPr="008E0F00">
              <w:rPr>
                <w:rFonts w:ascii="Calibri" w:eastAsia="Times New Roman" w:hAnsi="Calibri" w:cs="Times New Roman"/>
                <w:color w:val="000000"/>
                <w:lang w:val="de-DE" w:eastAsia="de-DE"/>
              </w:rPr>
              <w:t xml:space="preserve">0.42 </w:t>
            </w:r>
            <w:r w:rsidRPr="008E0F00">
              <w:rPr>
                <w:rFonts w:ascii="Calibri" w:eastAsia="Times New Roman" w:hAnsi="Calibri" w:cs="Times New Roman"/>
                <w:color w:val="000000"/>
                <w:sz w:val="16"/>
                <w:szCs w:val="16"/>
                <w:lang w:val="de-DE" w:eastAsia="de-DE"/>
              </w:rPr>
              <w:t>± 0.04</w:t>
            </w:r>
          </w:p>
        </w:tc>
        <w:tc>
          <w:tcPr>
            <w:tcW w:w="1200" w:type="dxa"/>
            <w:tcBorders>
              <w:top w:val="nil"/>
              <w:left w:val="nil"/>
              <w:bottom w:val="nil"/>
              <w:right w:val="single" w:sz="4" w:space="0" w:color="auto"/>
            </w:tcBorders>
            <w:shd w:val="clear" w:color="000000" w:fill="963634"/>
            <w:noWrap/>
            <w:vAlign w:val="center"/>
            <w:hideMark/>
          </w:tcPr>
          <w:p w:rsidR="008E0F00" w:rsidRPr="008E0F00" w:rsidRDefault="008E0F00" w:rsidP="008E0F00">
            <w:pPr>
              <w:spacing w:after="0" w:line="240" w:lineRule="auto"/>
              <w:jc w:val="center"/>
              <w:rPr>
                <w:rFonts w:ascii="Calibri" w:eastAsia="Times New Roman" w:hAnsi="Calibri" w:cs="Times New Roman"/>
                <w:color w:val="FFFFFF"/>
                <w:lang w:val="de-DE" w:eastAsia="de-DE"/>
              </w:rPr>
            </w:pPr>
            <w:r w:rsidRPr="008E0F00">
              <w:rPr>
                <w:rFonts w:ascii="Calibri" w:eastAsia="Times New Roman" w:hAnsi="Calibri" w:cs="Times New Roman"/>
                <w:color w:val="FFFFFF"/>
                <w:lang w:val="de-DE" w:eastAsia="de-DE"/>
              </w:rPr>
              <w:t xml:space="preserve">34.9 </w:t>
            </w:r>
            <w:r w:rsidRPr="008E0F00">
              <w:rPr>
                <w:rFonts w:ascii="Calibri" w:eastAsia="Times New Roman" w:hAnsi="Calibri" w:cs="Times New Roman"/>
                <w:color w:val="FFFFFF"/>
                <w:sz w:val="18"/>
                <w:szCs w:val="18"/>
                <w:lang w:val="de-DE" w:eastAsia="de-DE"/>
              </w:rPr>
              <w:t>***</w:t>
            </w:r>
          </w:p>
        </w:tc>
        <w:tc>
          <w:tcPr>
            <w:tcW w:w="1140" w:type="dxa"/>
            <w:tcBorders>
              <w:top w:val="nil"/>
              <w:left w:val="nil"/>
              <w:bottom w:val="nil"/>
              <w:right w:val="nil"/>
            </w:tcBorders>
            <w:shd w:val="clear" w:color="auto" w:fill="auto"/>
            <w:noWrap/>
            <w:vAlign w:val="center"/>
            <w:hideMark/>
          </w:tcPr>
          <w:p w:rsidR="008E0F00" w:rsidRPr="008E0F00" w:rsidRDefault="008E0F00" w:rsidP="008E0F00">
            <w:pPr>
              <w:spacing w:after="0" w:line="240" w:lineRule="auto"/>
              <w:jc w:val="center"/>
              <w:rPr>
                <w:rFonts w:ascii="Calibri" w:eastAsia="Times New Roman" w:hAnsi="Calibri" w:cs="Times New Roman"/>
                <w:color w:val="000000"/>
                <w:lang w:val="de-DE" w:eastAsia="de-DE"/>
              </w:rPr>
            </w:pPr>
            <w:r w:rsidRPr="008E0F00">
              <w:rPr>
                <w:rFonts w:ascii="Calibri" w:eastAsia="Times New Roman" w:hAnsi="Calibri" w:cs="Times New Roman"/>
                <w:color w:val="000000"/>
                <w:lang w:val="de-DE" w:eastAsia="de-DE"/>
              </w:rPr>
              <w:t xml:space="preserve">0.005 </w:t>
            </w:r>
            <w:r w:rsidRPr="008E0F00">
              <w:rPr>
                <w:rFonts w:ascii="Calibri" w:eastAsia="Times New Roman" w:hAnsi="Calibri" w:cs="Times New Roman"/>
                <w:color w:val="000000"/>
                <w:sz w:val="16"/>
                <w:szCs w:val="16"/>
                <w:lang w:val="de-DE" w:eastAsia="de-DE"/>
              </w:rPr>
              <w:t>± 0.002</w:t>
            </w:r>
          </w:p>
        </w:tc>
        <w:tc>
          <w:tcPr>
            <w:tcW w:w="1020" w:type="dxa"/>
            <w:tcBorders>
              <w:top w:val="nil"/>
              <w:left w:val="nil"/>
              <w:bottom w:val="nil"/>
              <w:right w:val="single" w:sz="4" w:space="0" w:color="auto"/>
            </w:tcBorders>
            <w:shd w:val="clear" w:color="auto" w:fill="auto"/>
            <w:noWrap/>
            <w:vAlign w:val="center"/>
            <w:hideMark/>
          </w:tcPr>
          <w:p w:rsidR="008E0F00" w:rsidRPr="008E0F00" w:rsidRDefault="008E0F00" w:rsidP="008E0F00">
            <w:pPr>
              <w:spacing w:after="0" w:line="240" w:lineRule="auto"/>
              <w:jc w:val="center"/>
              <w:rPr>
                <w:rFonts w:ascii="Calibri" w:eastAsia="Times New Roman" w:hAnsi="Calibri" w:cs="Times New Roman"/>
                <w:color w:val="000000"/>
                <w:lang w:val="de-DE" w:eastAsia="de-DE"/>
              </w:rPr>
            </w:pPr>
            <w:r w:rsidRPr="008E0F00">
              <w:rPr>
                <w:rFonts w:ascii="Calibri" w:eastAsia="Times New Roman" w:hAnsi="Calibri" w:cs="Times New Roman"/>
                <w:color w:val="000000"/>
                <w:lang w:val="de-DE" w:eastAsia="de-DE"/>
              </w:rPr>
              <w:t>0.10</w:t>
            </w:r>
            <w:r w:rsidRPr="008E0F00">
              <w:rPr>
                <w:rFonts w:ascii="Calibri" w:eastAsia="Times New Roman" w:hAnsi="Calibri" w:cs="Times New Roman"/>
                <w:color w:val="000000"/>
                <w:sz w:val="16"/>
                <w:szCs w:val="16"/>
                <w:lang w:val="de-DE" w:eastAsia="de-DE"/>
              </w:rPr>
              <w:t xml:space="preserve"> ±</w:t>
            </w:r>
            <w:r w:rsidRPr="008E0F00">
              <w:rPr>
                <w:rFonts w:ascii="Calibri" w:eastAsia="Times New Roman" w:hAnsi="Calibri" w:cs="Times New Roman"/>
                <w:color w:val="000000"/>
                <w:lang w:val="de-DE" w:eastAsia="de-DE"/>
              </w:rPr>
              <w:t xml:space="preserve"> </w:t>
            </w:r>
            <w:r w:rsidRPr="008E0F00">
              <w:rPr>
                <w:rFonts w:ascii="Calibri" w:eastAsia="Times New Roman" w:hAnsi="Calibri" w:cs="Times New Roman"/>
                <w:color w:val="000000"/>
                <w:sz w:val="16"/>
                <w:szCs w:val="16"/>
                <w:lang w:val="de-DE" w:eastAsia="de-DE"/>
              </w:rPr>
              <w:t>0.02</w:t>
            </w:r>
          </w:p>
        </w:tc>
        <w:tc>
          <w:tcPr>
            <w:tcW w:w="1020" w:type="dxa"/>
            <w:tcBorders>
              <w:top w:val="nil"/>
              <w:left w:val="nil"/>
              <w:bottom w:val="nil"/>
              <w:right w:val="single" w:sz="4" w:space="0" w:color="auto"/>
            </w:tcBorders>
            <w:shd w:val="clear" w:color="000000" w:fill="963634"/>
            <w:noWrap/>
            <w:vAlign w:val="center"/>
            <w:hideMark/>
          </w:tcPr>
          <w:p w:rsidR="008E0F00" w:rsidRPr="008E0F00" w:rsidRDefault="008E0F00" w:rsidP="008E0F00">
            <w:pPr>
              <w:spacing w:after="0" w:line="240" w:lineRule="auto"/>
              <w:jc w:val="center"/>
              <w:rPr>
                <w:rFonts w:ascii="Calibri" w:eastAsia="Times New Roman" w:hAnsi="Calibri" w:cs="Times New Roman"/>
                <w:color w:val="FFFFFF"/>
                <w:lang w:val="de-DE" w:eastAsia="de-DE"/>
              </w:rPr>
            </w:pPr>
            <w:r w:rsidRPr="008E0F00">
              <w:rPr>
                <w:rFonts w:ascii="Calibri" w:eastAsia="Times New Roman" w:hAnsi="Calibri" w:cs="Times New Roman"/>
                <w:color w:val="FFFFFF"/>
                <w:lang w:val="de-DE" w:eastAsia="de-DE"/>
              </w:rPr>
              <w:t xml:space="preserve">21.7 </w:t>
            </w:r>
            <w:r w:rsidRPr="008E0F00">
              <w:rPr>
                <w:rFonts w:ascii="Calibri" w:eastAsia="Times New Roman" w:hAnsi="Calibri" w:cs="Times New Roman"/>
                <w:color w:val="FFFFFF"/>
                <w:sz w:val="18"/>
                <w:szCs w:val="18"/>
                <w:lang w:val="de-DE" w:eastAsia="de-DE"/>
              </w:rPr>
              <w:t>**</w:t>
            </w:r>
          </w:p>
        </w:tc>
        <w:tc>
          <w:tcPr>
            <w:tcW w:w="1140" w:type="dxa"/>
            <w:tcBorders>
              <w:top w:val="nil"/>
              <w:left w:val="nil"/>
              <w:bottom w:val="nil"/>
              <w:right w:val="nil"/>
            </w:tcBorders>
            <w:shd w:val="clear" w:color="auto" w:fill="auto"/>
            <w:noWrap/>
            <w:vAlign w:val="center"/>
            <w:hideMark/>
          </w:tcPr>
          <w:p w:rsidR="008E0F00" w:rsidRPr="008E0F00" w:rsidRDefault="008E0F00" w:rsidP="008E0F00">
            <w:pPr>
              <w:spacing w:after="0" w:line="240" w:lineRule="auto"/>
              <w:jc w:val="center"/>
              <w:rPr>
                <w:rFonts w:ascii="Calibri" w:eastAsia="Times New Roman" w:hAnsi="Calibri" w:cs="Times New Roman"/>
                <w:color w:val="000000"/>
                <w:lang w:val="de-DE" w:eastAsia="de-DE"/>
              </w:rPr>
            </w:pPr>
            <w:r w:rsidRPr="008E0F00">
              <w:rPr>
                <w:rFonts w:ascii="Calibri" w:eastAsia="Times New Roman" w:hAnsi="Calibri" w:cs="Times New Roman"/>
                <w:color w:val="000000"/>
                <w:lang w:val="de-DE" w:eastAsia="de-DE"/>
              </w:rPr>
              <w:t>0.006</w:t>
            </w:r>
            <w:r w:rsidRPr="008E0F00">
              <w:rPr>
                <w:rFonts w:ascii="Calibri" w:eastAsia="Times New Roman" w:hAnsi="Calibri" w:cs="Times New Roman"/>
                <w:color w:val="000000"/>
                <w:sz w:val="16"/>
                <w:szCs w:val="16"/>
                <w:lang w:val="de-DE" w:eastAsia="de-DE"/>
              </w:rPr>
              <w:t xml:space="preserve"> ± 0.00</w:t>
            </w:r>
          </w:p>
        </w:tc>
        <w:tc>
          <w:tcPr>
            <w:tcW w:w="1120" w:type="dxa"/>
            <w:tcBorders>
              <w:top w:val="nil"/>
              <w:left w:val="nil"/>
              <w:bottom w:val="nil"/>
              <w:right w:val="single" w:sz="4" w:space="0" w:color="auto"/>
            </w:tcBorders>
            <w:shd w:val="clear" w:color="auto" w:fill="auto"/>
            <w:noWrap/>
            <w:vAlign w:val="center"/>
            <w:hideMark/>
          </w:tcPr>
          <w:p w:rsidR="008E0F00" w:rsidRPr="008E0F00" w:rsidRDefault="008E0F00" w:rsidP="008E0F00">
            <w:pPr>
              <w:spacing w:after="0" w:line="240" w:lineRule="auto"/>
              <w:jc w:val="center"/>
              <w:rPr>
                <w:rFonts w:ascii="Calibri" w:eastAsia="Times New Roman" w:hAnsi="Calibri" w:cs="Times New Roman"/>
                <w:color w:val="000000"/>
                <w:lang w:val="de-DE" w:eastAsia="de-DE"/>
              </w:rPr>
            </w:pPr>
            <w:r w:rsidRPr="008E0F00">
              <w:rPr>
                <w:rFonts w:ascii="Calibri" w:eastAsia="Times New Roman" w:hAnsi="Calibri" w:cs="Times New Roman"/>
                <w:color w:val="000000"/>
                <w:lang w:val="de-DE" w:eastAsia="de-DE"/>
              </w:rPr>
              <w:t xml:space="preserve">0.01 </w:t>
            </w:r>
            <w:r w:rsidRPr="008E0F00">
              <w:rPr>
                <w:rFonts w:ascii="Calibri" w:eastAsia="Times New Roman" w:hAnsi="Calibri" w:cs="Times New Roman"/>
                <w:color w:val="000000"/>
                <w:sz w:val="16"/>
                <w:szCs w:val="16"/>
                <w:lang w:val="de-DE" w:eastAsia="de-DE"/>
              </w:rPr>
              <w:t>± 0.00</w:t>
            </w:r>
          </w:p>
        </w:tc>
        <w:tc>
          <w:tcPr>
            <w:tcW w:w="840" w:type="dxa"/>
            <w:tcBorders>
              <w:top w:val="nil"/>
              <w:left w:val="nil"/>
              <w:bottom w:val="nil"/>
              <w:right w:val="single" w:sz="4" w:space="0" w:color="auto"/>
            </w:tcBorders>
            <w:shd w:val="clear" w:color="000000" w:fill="F2DCDB"/>
            <w:noWrap/>
            <w:vAlign w:val="center"/>
            <w:hideMark/>
          </w:tcPr>
          <w:p w:rsidR="008E0F00" w:rsidRPr="008E0F00" w:rsidRDefault="008E0F00" w:rsidP="008E0F00">
            <w:pPr>
              <w:spacing w:after="0" w:line="240" w:lineRule="auto"/>
              <w:jc w:val="center"/>
              <w:rPr>
                <w:rFonts w:ascii="Calibri" w:eastAsia="Times New Roman" w:hAnsi="Calibri" w:cs="Times New Roman"/>
                <w:color w:val="000000"/>
                <w:lang w:val="de-DE" w:eastAsia="de-DE"/>
              </w:rPr>
            </w:pPr>
            <w:r w:rsidRPr="008E0F00">
              <w:rPr>
                <w:rFonts w:ascii="Calibri" w:eastAsia="Times New Roman" w:hAnsi="Calibri" w:cs="Times New Roman"/>
                <w:color w:val="000000"/>
                <w:lang w:val="de-DE" w:eastAsia="de-DE"/>
              </w:rPr>
              <w:t xml:space="preserve">2.6 </w:t>
            </w:r>
            <w:r w:rsidRPr="008E0F00">
              <w:rPr>
                <w:rFonts w:ascii="Calibri" w:eastAsia="Times New Roman" w:hAnsi="Calibri" w:cs="Times New Roman"/>
                <w:color w:val="000000"/>
                <w:sz w:val="18"/>
                <w:szCs w:val="18"/>
                <w:lang w:val="de-DE" w:eastAsia="de-DE"/>
              </w:rPr>
              <w:t>***</w:t>
            </w:r>
          </w:p>
        </w:tc>
      </w:tr>
      <w:tr w:rsidR="008E0F00" w:rsidRPr="008E0F00" w:rsidTr="008E0F00">
        <w:trPr>
          <w:trHeight w:val="600"/>
        </w:trPr>
        <w:tc>
          <w:tcPr>
            <w:tcW w:w="1480" w:type="dxa"/>
            <w:tcBorders>
              <w:top w:val="nil"/>
              <w:left w:val="single" w:sz="4" w:space="0" w:color="auto"/>
              <w:right w:val="single" w:sz="4" w:space="0" w:color="auto"/>
            </w:tcBorders>
            <w:shd w:val="clear" w:color="auto" w:fill="auto"/>
            <w:vAlign w:val="center"/>
            <w:hideMark/>
          </w:tcPr>
          <w:p w:rsidR="008E0F00" w:rsidRPr="008E0F00" w:rsidRDefault="008E0F00" w:rsidP="008E0F00">
            <w:pPr>
              <w:spacing w:after="0" w:line="240" w:lineRule="auto"/>
              <w:jc w:val="center"/>
              <w:rPr>
                <w:rFonts w:ascii="Calibri" w:eastAsia="Times New Roman" w:hAnsi="Calibri" w:cs="Times New Roman"/>
                <w:color w:val="000000"/>
                <w:lang w:val="de-DE" w:eastAsia="de-DE"/>
              </w:rPr>
            </w:pPr>
            <w:r w:rsidRPr="008E0F00">
              <w:rPr>
                <w:rFonts w:ascii="Calibri" w:eastAsia="Times New Roman" w:hAnsi="Calibri" w:cs="Times New Roman"/>
                <w:color w:val="000000"/>
                <w:lang w:val="de-DE" w:eastAsia="de-DE"/>
              </w:rPr>
              <w:t>Indole-3-carbaldehyde</w:t>
            </w:r>
          </w:p>
        </w:tc>
        <w:tc>
          <w:tcPr>
            <w:tcW w:w="1060" w:type="dxa"/>
            <w:tcBorders>
              <w:top w:val="nil"/>
              <w:left w:val="nil"/>
              <w:right w:val="nil"/>
            </w:tcBorders>
            <w:shd w:val="clear" w:color="auto" w:fill="auto"/>
            <w:noWrap/>
            <w:vAlign w:val="center"/>
            <w:hideMark/>
          </w:tcPr>
          <w:p w:rsidR="008E0F00" w:rsidRPr="008E0F00" w:rsidRDefault="008E0F00" w:rsidP="008E0F00">
            <w:pPr>
              <w:spacing w:after="0" w:line="240" w:lineRule="auto"/>
              <w:jc w:val="center"/>
              <w:rPr>
                <w:rFonts w:ascii="Calibri" w:eastAsia="Times New Roman" w:hAnsi="Calibri" w:cs="Times New Roman"/>
                <w:color w:val="000000"/>
                <w:lang w:val="de-DE" w:eastAsia="de-DE"/>
              </w:rPr>
            </w:pPr>
            <w:r w:rsidRPr="008E0F00">
              <w:rPr>
                <w:rFonts w:ascii="Calibri" w:eastAsia="Times New Roman" w:hAnsi="Calibri" w:cs="Times New Roman"/>
                <w:color w:val="000000"/>
                <w:lang w:val="de-DE" w:eastAsia="de-DE"/>
              </w:rPr>
              <w:t xml:space="preserve">0.03 </w:t>
            </w:r>
            <w:r w:rsidRPr="008E0F00">
              <w:rPr>
                <w:rFonts w:ascii="Calibri" w:eastAsia="Times New Roman" w:hAnsi="Calibri" w:cs="Times New Roman"/>
                <w:color w:val="000000"/>
                <w:sz w:val="16"/>
                <w:szCs w:val="16"/>
                <w:lang w:val="de-DE" w:eastAsia="de-DE"/>
              </w:rPr>
              <w:t>±</w:t>
            </w:r>
            <w:r w:rsidRPr="008E0F00">
              <w:rPr>
                <w:rFonts w:ascii="Calibri" w:eastAsia="Times New Roman" w:hAnsi="Calibri" w:cs="Times New Roman"/>
                <w:color w:val="000000"/>
                <w:lang w:val="de-DE" w:eastAsia="de-DE"/>
              </w:rPr>
              <w:t xml:space="preserve"> </w:t>
            </w:r>
            <w:r w:rsidRPr="008E0F00">
              <w:rPr>
                <w:rFonts w:ascii="Calibri" w:eastAsia="Times New Roman" w:hAnsi="Calibri" w:cs="Times New Roman"/>
                <w:color w:val="000000"/>
                <w:sz w:val="16"/>
                <w:szCs w:val="16"/>
                <w:lang w:val="de-DE" w:eastAsia="de-DE"/>
              </w:rPr>
              <w:t>0.004</w:t>
            </w:r>
          </w:p>
        </w:tc>
        <w:tc>
          <w:tcPr>
            <w:tcW w:w="1000" w:type="dxa"/>
            <w:tcBorders>
              <w:top w:val="nil"/>
              <w:left w:val="nil"/>
              <w:right w:val="single" w:sz="4" w:space="0" w:color="auto"/>
            </w:tcBorders>
            <w:shd w:val="clear" w:color="auto" w:fill="auto"/>
            <w:noWrap/>
            <w:vAlign w:val="center"/>
            <w:hideMark/>
          </w:tcPr>
          <w:p w:rsidR="008E0F00" w:rsidRPr="008E0F00" w:rsidRDefault="008E0F00" w:rsidP="008E0F00">
            <w:pPr>
              <w:spacing w:after="0" w:line="240" w:lineRule="auto"/>
              <w:jc w:val="center"/>
              <w:rPr>
                <w:rFonts w:ascii="Calibri" w:eastAsia="Times New Roman" w:hAnsi="Calibri" w:cs="Times New Roman"/>
                <w:color w:val="000000"/>
                <w:lang w:val="de-DE" w:eastAsia="de-DE"/>
              </w:rPr>
            </w:pPr>
            <w:r w:rsidRPr="008E0F00">
              <w:rPr>
                <w:rFonts w:ascii="Calibri" w:eastAsia="Times New Roman" w:hAnsi="Calibri" w:cs="Times New Roman"/>
                <w:color w:val="000000"/>
                <w:lang w:val="de-DE" w:eastAsia="de-DE"/>
              </w:rPr>
              <w:t xml:space="preserve">0.12 </w:t>
            </w:r>
            <w:r w:rsidRPr="008E0F00">
              <w:rPr>
                <w:rFonts w:ascii="Calibri" w:eastAsia="Times New Roman" w:hAnsi="Calibri" w:cs="Times New Roman"/>
                <w:color w:val="000000"/>
                <w:sz w:val="16"/>
                <w:szCs w:val="16"/>
                <w:lang w:val="de-DE" w:eastAsia="de-DE"/>
              </w:rPr>
              <w:t>± 0.03</w:t>
            </w:r>
          </w:p>
        </w:tc>
        <w:tc>
          <w:tcPr>
            <w:tcW w:w="960" w:type="dxa"/>
            <w:tcBorders>
              <w:top w:val="nil"/>
              <w:left w:val="nil"/>
              <w:right w:val="single" w:sz="4" w:space="0" w:color="auto"/>
            </w:tcBorders>
            <w:shd w:val="clear" w:color="000000" w:fill="E6B8B7"/>
            <w:noWrap/>
            <w:vAlign w:val="center"/>
            <w:hideMark/>
          </w:tcPr>
          <w:p w:rsidR="008E0F00" w:rsidRPr="008E0F00" w:rsidRDefault="008E0F00" w:rsidP="008E0F00">
            <w:pPr>
              <w:spacing w:after="0" w:line="240" w:lineRule="auto"/>
              <w:jc w:val="center"/>
              <w:rPr>
                <w:rFonts w:ascii="Calibri" w:eastAsia="Times New Roman" w:hAnsi="Calibri" w:cs="Times New Roman"/>
                <w:color w:val="000000"/>
                <w:lang w:val="de-DE" w:eastAsia="de-DE"/>
              </w:rPr>
            </w:pPr>
            <w:r w:rsidRPr="008E0F00">
              <w:rPr>
                <w:rFonts w:ascii="Calibri" w:eastAsia="Times New Roman" w:hAnsi="Calibri" w:cs="Times New Roman"/>
                <w:color w:val="000000"/>
                <w:lang w:val="de-DE" w:eastAsia="de-DE"/>
              </w:rPr>
              <w:t xml:space="preserve">4.6 </w:t>
            </w:r>
            <w:r w:rsidRPr="008E0F00">
              <w:rPr>
                <w:rFonts w:ascii="Calibri" w:eastAsia="Times New Roman" w:hAnsi="Calibri" w:cs="Times New Roman"/>
                <w:color w:val="000000"/>
                <w:sz w:val="18"/>
                <w:szCs w:val="18"/>
                <w:lang w:val="de-DE" w:eastAsia="de-DE"/>
              </w:rPr>
              <w:t>*</w:t>
            </w:r>
          </w:p>
        </w:tc>
        <w:tc>
          <w:tcPr>
            <w:tcW w:w="1120" w:type="dxa"/>
            <w:tcBorders>
              <w:top w:val="nil"/>
              <w:left w:val="nil"/>
              <w:right w:val="nil"/>
            </w:tcBorders>
            <w:shd w:val="clear" w:color="auto" w:fill="auto"/>
            <w:noWrap/>
            <w:vAlign w:val="center"/>
            <w:hideMark/>
          </w:tcPr>
          <w:p w:rsidR="008E0F00" w:rsidRPr="008E0F00" w:rsidRDefault="008E0F00" w:rsidP="008E0F00">
            <w:pPr>
              <w:spacing w:after="0" w:line="240" w:lineRule="auto"/>
              <w:jc w:val="center"/>
              <w:rPr>
                <w:rFonts w:ascii="Calibri" w:eastAsia="Times New Roman" w:hAnsi="Calibri" w:cs="Times New Roman"/>
                <w:color w:val="000000"/>
                <w:lang w:val="de-DE" w:eastAsia="de-DE"/>
              </w:rPr>
            </w:pPr>
            <w:r w:rsidRPr="008E0F00">
              <w:rPr>
                <w:rFonts w:ascii="Calibri" w:eastAsia="Times New Roman" w:hAnsi="Calibri" w:cs="Times New Roman"/>
                <w:color w:val="000000"/>
                <w:lang w:val="de-DE" w:eastAsia="de-DE"/>
              </w:rPr>
              <w:t xml:space="preserve">0.007 </w:t>
            </w:r>
            <w:r w:rsidRPr="008E0F00">
              <w:rPr>
                <w:rFonts w:ascii="Calibri" w:eastAsia="Times New Roman" w:hAnsi="Calibri" w:cs="Times New Roman"/>
                <w:color w:val="000000"/>
                <w:sz w:val="16"/>
                <w:szCs w:val="16"/>
                <w:lang w:val="de-DE" w:eastAsia="de-DE"/>
              </w:rPr>
              <w:t>±</w:t>
            </w:r>
            <w:r w:rsidRPr="008E0F00">
              <w:rPr>
                <w:rFonts w:ascii="Calibri" w:eastAsia="Times New Roman" w:hAnsi="Calibri" w:cs="Times New Roman"/>
                <w:color w:val="000000"/>
                <w:lang w:val="de-DE" w:eastAsia="de-DE"/>
              </w:rPr>
              <w:t xml:space="preserve"> </w:t>
            </w:r>
            <w:r w:rsidRPr="008E0F00">
              <w:rPr>
                <w:rFonts w:ascii="Calibri" w:eastAsia="Times New Roman" w:hAnsi="Calibri" w:cs="Times New Roman"/>
                <w:color w:val="000000"/>
                <w:sz w:val="16"/>
                <w:szCs w:val="16"/>
                <w:lang w:val="de-DE" w:eastAsia="de-DE"/>
              </w:rPr>
              <w:t>0.00</w:t>
            </w:r>
          </w:p>
        </w:tc>
        <w:tc>
          <w:tcPr>
            <w:tcW w:w="1060" w:type="dxa"/>
            <w:tcBorders>
              <w:top w:val="nil"/>
              <w:left w:val="nil"/>
              <w:right w:val="single" w:sz="4" w:space="0" w:color="auto"/>
            </w:tcBorders>
            <w:shd w:val="clear" w:color="auto" w:fill="auto"/>
            <w:noWrap/>
            <w:vAlign w:val="center"/>
            <w:hideMark/>
          </w:tcPr>
          <w:p w:rsidR="008E0F00" w:rsidRPr="008E0F00" w:rsidRDefault="008E0F00" w:rsidP="008E0F00">
            <w:pPr>
              <w:spacing w:after="0" w:line="240" w:lineRule="auto"/>
              <w:jc w:val="center"/>
              <w:rPr>
                <w:rFonts w:ascii="Calibri" w:eastAsia="Times New Roman" w:hAnsi="Calibri" w:cs="Times New Roman"/>
                <w:color w:val="000000"/>
                <w:lang w:val="de-DE" w:eastAsia="de-DE"/>
              </w:rPr>
            </w:pPr>
            <w:r w:rsidRPr="008E0F00">
              <w:rPr>
                <w:rFonts w:ascii="Calibri" w:eastAsia="Times New Roman" w:hAnsi="Calibri" w:cs="Times New Roman"/>
                <w:color w:val="000000"/>
                <w:lang w:val="de-DE" w:eastAsia="de-DE"/>
              </w:rPr>
              <w:t xml:space="preserve">0.01 </w:t>
            </w:r>
            <w:r w:rsidRPr="008E0F00">
              <w:rPr>
                <w:rFonts w:ascii="Calibri" w:eastAsia="Times New Roman" w:hAnsi="Calibri" w:cs="Times New Roman"/>
                <w:color w:val="000000"/>
                <w:sz w:val="16"/>
                <w:szCs w:val="16"/>
                <w:lang w:val="de-DE" w:eastAsia="de-DE"/>
              </w:rPr>
              <w:t>± 0.002</w:t>
            </w:r>
          </w:p>
        </w:tc>
        <w:tc>
          <w:tcPr>
            <w:tcW w:w="1200" w:type="dxa"/>
            <w:tcBorders>
              <w:top w:val="nil"/>
              <w:left w:val="nil"/>
              <w:right w:val="single" w:sz="4" w:space="0" w:color="auto"/>
            </w:tcBorders>
            <w:shd w:val="clear" w:color="auto" w:fill="auto"/>
            <w:noWrap/>
            <w:vAlign w:val="center"/>
            <w:hideMark/>
          </w:tcPr>
          <w:p w:rsidR="008E0F00" w:rsidRPr="008E0F00" w:rsidRDefault="008E0F00" w:rsidP="008E0F00">
            <w:pPr>
              <w:spacing w:after="0" w:line="240" w:lineRule="auto"/>
              <w:jc w:val="center"/>
              <w:rPr>
                <w:rFonts w:ascii="Calibri" w:eastAsia="Times New Roman" w:hAnsi="Calibri" w:cs="Times New Roman"/>
                <w:color w:val="000000"/>
                <w:lang w:val="de-DE" w:eastAsia="de-DE"/>
              </w:rPr>
            </w:pPr>
            <w:r w:rsidRPr="008E0F00">
              <w:rPr>
                <w:rFonts w:ascii="Calibri" w:eastAsia="Times New Roman" w:hAnsi="Calibri" w:cs="Times New Roman"/>
                <w:color w:val="000000"/>
                <w:lang w:val="de-DE" w:eastAsia="de-DE"/>
              </w:rPr>
              <w:t>1.5</w:t>
            </w:r>
          </w:p>
        </w:tc>
        <w:tc>
          <w:tcPr>
            <w:tcW w:w="1140" w:type="dxa"/>
            <w:tcBorders>
              <w:top w:val="nil"/>
              <w:left w:val="nil"/>
              <w:right w:val="nil"/>
            </w:tcBorders>
            <w:shd w:val="clear" w:color="auto" w:fill="auto"/>
            <w:noWrap/>
            <w:vAlign w:val="center"/>
            <w:hideMark/>
          </w:tcPr>
          <w:p w:rsidR="008E0F00" w:rsidRPr="008E0F00" w:rsidRDefault="008E0F00" w:rsidP="008E0F00">
            <w:pPr>
              <w:spacing w:after="0" w:line="240" w:lineRule="auto"/>
              <w:jc w:val="center"/>
              <w:rPr>
                <w:rFonts w:ascii="Calibri" w:eastAsia="Times New Roman" w:hAnsi="Calibri" w:cs="Times New Roman"/>
                <w:color w:val="000000"/>
                <w:lang w:val="de-DE" w:eastAsia="de-DE"/>
              </w:rPr>
            </w:pPr>
            <w:r w:rsidRPr="008E0F00">
              <w:rPr>
                <w:rFonts w:ascii="Calibri" w:eastAsia="Times New Roman" w:hAnsi="Calibri" w:cs="Times New Roman"/>
                <w:color w:val="000000"/>
                <w:lang w:val="de-DE" w:eastAsia="de-DE"/>
              </w:rPr>
              <w:t xml:space="preserve">0.002 </w:t>
            </w:r>
            <w:r w:rsidRPr="008E0F00">
              <w:rPr>
                <w:rFonts w:ascii="Calibri" w:eastAsia="Times New Roman" w:hAnsi="Calibri" w:cs="Times New Roman"/>
                <w:color w:val="000000"/>
                <w:sz w:val="16"/>
                <w:szCs w:val="16"/>
                <w:lang w:val="de-DE" w:eastAsia="de-DE"/>
              </w:rPr>
              <w:t>±</w:t>
            </w:r>
            <w:r w:rsidRPr="008E0F00">
              <w:rPr>
                <w:rFonts w:ascii="Calibri" w:eastAsia="Times New Roman" w:hAnsi="Calibri" w:cs="Times New Roman"/>
                <w:color w:val="000000"/>
                <w:lang w:val="de-DE" w:eastAsia="de-DE"/>
              </w:rPr>
              <w:t xml:space="preserve"> </w:t>
            </w:r>
            <w:r w:rsidRPr="008E0F00">
              <w:rPr>
                <w:rFonts w:ascii="Calibri" w:eastAsia="Times New Roman" w:hAnsi="Calibri" w:cs="Times New Roman"/>
                <w:color w:val="000000"/>
                <w:sz w:val="16"/>
                <w:szCs w:val="16"/>
                <w:lang w:val="de-DE" w:eastAsia="de-DE"/>
              </w:rPr>
              <w:t>0.002</w:t>
            </w:r>
          </w:p>
        </w:tc>
        <w:tc>
          <w:tcPr>
            <w:tcW w:w="1020" w:type="dxa"/>
            <w:tcBorders>
              <w:top w:val="nil"/>
              <w:left w:val="nil"/>
              <w:right w:val="single" w:sz="4" w:space="0" w:color="auto"/>
            </w:tcBorders>
            <w:shd w:val="clear" w:color="auto" w:fill="auto"/>
            <w:noWrap/>
            <w:vAlign w:val="center"/>
            <w:hideMark/>
          </w:tcPr>
          <w:p w:rsidR="008E0F00" w:rsidRPr="008E0F00" w:rsidRDefault="008E0F00" w:rsidP="008E0F00">
            <w:pPr>
              <w:spacing w:after="0" w:line="240" w:lineRule="auto"/>
              <w:jc w:val="center"/>
              <w:rPr>
                <w:rFonts w:ascii="Calibri" w:eastAsia="Times New Roman" w:hAnsi="Calibri" w:cs="Times New Roman"/>
                <w:color w:val="000000"/>
                <w:lang w:val="de-DE" w:eastAsia="de-DE"/>
              </w:rPr>
            </w:pPr>
            <w:r w:rsidRPr="008E0F00">
              <w:rPr>
                <w:rFonts w:ascii="Calibri" w:eastAsia="Times New Roman" w:hAnsi="Calibri" w:cs="Times New Roman"/>
                <w:color w:val="000000"/>
                <w:lang w:val="de-DE" w:eastAsia="de-DE"/>
              </w:rPr>
              <w:t>0.02</w:t>
            </w:r>
            <w:r w:rsidRPr="008E0F00">
              <w:rPr>
                <w:rFonts w:ascii="Calibri" w:eastAsia="Times New Roman" w:hAnsi="Calibri" w:cs="Times New Roman"/>
                <w:color w:val="000000"/>
                <w:sz w:val="16"/>
                <w:szCs w:val="16"/>
                <w:lang w:val="de-DE" w:eastAsia="de-DE"/>
              </w:rPr>
              <w:t xml:space="preserve"> ±</w:t>
            </w:r>
            <w:r w:rsidRPr="008E0F00">
              <w:rPr>
                <w:rFonts w:ascii="Calibri" w:eastAsia="Times New Roman" w:hAnsi="Calibri" w:cs="Times New Roman"/>
                <w:color w:val="000000"/>
                <w:lang w:val="de-DE" w:eastAsia="de-DE"/>
              </w:rPr>
              <w:t xml:space="preserve"> </w:t>
            </w:r>
            <w:r w:rsidRPr="008E0F00">
              <w:rPr>
                <w:rFonts w:ascii="Calibri" w:eastAsia="Times New Roman" w:hAnsi="Calibri" w:cs="Times New Roman"/>
                <w:color w:val="000000"/>
                <w:sz w:val="16"/>
                <w:szCs w:val="16"/>
                <w:lang w:val="de-DE" w:eastAsia="de-DE"/>
              </w:rPr>
              <w:t>0.004</w:t>
            </w:r>
          </w:p>
        </w:tc>
        <w:tc>
          <w:tcPr>
            <w:tcW w:w="1020" w:type="dxa"/>
            <w:tcBorders>
              <w:top w:val="nil"/>
              <w:left w:val="nil"/>
              <w:right w:val="single" w:sz="4" w:space="0" w:color="auto"/>
            </w:tcBorders>
            <w:shd w:val="clear" w:color="000000" w:fill="DA9694"/>
            <w:noWrap/>
            <w:vAlign w:val="center"/>
            <w:hideMark/>
          </w:tcPr>
          <w:p w:rsidR="008E0F00" w:rsidRPr="008E0F00" w:rsidRDefault="008E0F00" w:rsidP="008E0F00">
            <w:pPr>
              <w:spacing w:after="0" w:line="240" w:lineRule="auto"/>
              <w:jc w:val="center"/>
              <w:rPr>
                <w:rFonts w:ascii="Calibri" w:eastAsia="Times New Roman" w:hAnsi="Calibri" w:cs="Times New Roman"/>
                <w:color w:val="000000"/>
                <w:lang w:val="de-DE" w:eastAsia="de-DE"/>
              </w:rPr>
            </w:pPr>
            <w:r w:rsidRPr="008E0F00">
              <w:rPr>
                <w:rFonts w:ascii="Calibri" w:eastAsia="Times New Roman" w:hAnsi="Calibri" w:cs="Times New Roman"/>
                <w:color w:val="000000"/>
                <w:lang w:val="de-DE" w:eastAsia="de-DE"/>
              </w:rPr>
              <w:t xml:space="preserve">7.9 </w:t>
            </w:r>
            <w:r w:rsidRPr="008E0F00">
              <w:rPr>
                <w:rFonts w:ascii="Calibri" w:eastAsia="Times New Roman" w:hAnsi="Calibri" w:cs="Times New Roman"/>
                <w:color w:val="000000"/>
                <w:sz w:val="18"/>
                <w:szCs w:val="18"/>
                <w:lang w:val="de-DE" w:eastAsia="de-DE"/>
              </w:rPr>
              <w:t>*</w:t>
            </w:r>
          </w:p>
        </w:tc>
        <w:tc>
          <w:tcPr>
            <w:tcW w:w="1140" w:type="dxa"/>
            <w:tcBorders>
              <w:top w:val="nil"/>
              <w:left w:val="nil"/>
              <w:right w:val="nil"/>
            </w:tcBorders>
            <w:shd w:val="clear" w:color="auto" w:fill="auto"/>
            <w:noWrap/>
            <w:vAlign w:val="center"/>
            <w:hideMark/>
          </w:tcPr>
          <w:p w:rsidR="008E0F00" w:rsidRPr="008E0F00" w:rsidRDefault="008E0F00" w:rsidP="008E0F00">
            <w:pPr>
              <w:spacing w:after="0" w:line="240" w:lineRule="auto"/>
              <w:jc w:val="center"/>
              <w:rPr>
                <w:rFonts w:ascii="Calibri" w:eastAsia="Times New Roman" w:hAnsi="Calibri" w:cs="Times New Roman"/>
                <w:color w:val="000000"/>
                <w:lang w:val="de-DE" w:eastAsia="de-DE"/>
              </w:rPr>
            </w:pPr>
            <w:r w:rsidRPr="008E0F00">
              <w:rPr>
                <w:rFonts w:ascii="Calibri" w:eastAsia="Times New Roman" w:hAnsi="Calibri" w:cs="Times New Roman"/>
                <w:color w:val="000000"/>
                <w:lang w:val="de-DE" w:eastAsia="de-DE"/>
              </w:rPr>
              <w:t>0.005</w:t>
            </w:r>
            <w:r w:rsidRPr="008E0F00">
              <w:rPr>
                <w:rFonts w:ascii="Calibri" w:eastAsia="Times New Roman" w:hAnsi="Calibri" w:cs="Times New Roman"/>
                <w:color w:val="000000"/>
                <w:sz w:val="16"/>
                <w:szCs w:val="16"/>
                <w:lang w:val="de-DE" w:eastAsia="de-DE"/>
              </w:rPr>
              <w:t xml:space="preserve"> ± 0.00</w:t>
            </w:r>
          </w:p>
        </w:tc>
        <w:tc>
          <w:tcPr>
            <w:tcW w:w="1120" w:type="dxa"/>
            <w:tcBorders>
              <w:top w:val="nil"/>
              <w:left w:val="nil"/>
              <w:right w:val="single" w:sz="4" w:space="0" w:color="auto"/>
            </w:tcBorders>
            <w:shd w:val="clear" w:color="auto" w:fill="auto"/>
            <w:noWrap/>
            <w:vAlign w:val="center"/>
            <w:hideMark/>
          </w:tcPr>
          <w:p w:rsidR="008E0F00" w:rsidRPr="008E0F00" w:rsidRDefault="008E0F00" w:rsidP="008E0F00">
            <w:pPr>
              <w:spacing w:after="0" w:line="240" w:lineRule="auto"/>
              <w:jc w:val="center"/>
              <w:rPr>
                <w:rFonts w:ascii="Calibri" w:eastAsia="Times New Roman" w:hAnsi="Calibri" w:cs="Times New Roman"/>
                <w:color w:val="000000"/>
                <w:lang w:val="de-DE" w:eastAsia="de-DE"/>
              </w:rPr>
            </w:pPr>
            <w:r w:rsidRPr="008E0F00">
              <w:rPr>
                <w:rFonts w:ascii="Calibri" w:eastAsia="Times New Roman" w:hAnsi="Calibri" w:cs="Times New Roman"/>
                <w:color w:val="000000"/>
                <w:lang w:val="de-DE" w:eastAsia="de-DE"/>
              </w:rPr>
              <w:t xml:space="preserve">0.005 </w:t>
            </w:r>
            <w:r w:rsidRPr="008E0F00">
              <w:rPr>
                <w:rFonts w:ascii="Calibri" w:eastAsia="Times New Roman" w:hAnsi="Calibri" w:cs="Times New Roman"/>
                <w:color w:val="000000"/>
                <w:sz w:val="16"/>
                <w:szCs w:val="16"/>
                <w:lang w:val="de-DE" w:eastAsia="de-DE"/>
              </w:rPr>
              <w:t>±</w:t>
            </w:r>
            <w:r w:rsidRPr="008E0F00">
              <w:rPr>
                <w:rFonts w:ascii="Calibri" w:eastAsia="Times New Roman" w:hAnsi="Calibri" w:cs="Times New Roman"/>
                <w:color w:val="000000"/>
                <w:lang w:val="de-DE" w:eastAsia="de-DE"/>
              </w:rPr>
              <w:t xml:space="preserve"> </w:t>
            </w:r>
            <w:r w:rsidRPr="008E0F00">
              <w:rPr>
                <w:rFonts w:ascii="Calibri" w:eastAsia="Times New Roman" w:hAnsi="Calibri" w:cs="Times New Roman"/>
                <w:color w:val="000000"/>
                <w:sz w:val="16"/>
                <w:szCs w:val="16"/>
                <w:lang w:val="de-DE" w:eastAsia="de-DE"/>
              </w:rPr>
              <w:t>0.00</w:t>
            </w:r>
          </w:p>
        </w:tc>
        <w:tc>
          <w:tcPr>
            <w:tcW w:w="840" w:type="dxa"/>
            <w:tcBorders>
              <w:top w:val="nil"/>
              <w:left w:val="nil"/>
              <w:right w:val="single" w:sz="4" w:space="0" w:color="auto"/>
            </w:tcBorders>
            <w:shd w:val="clear" w:color="auto" w:fill="auto"/>
            <w:noWrap/>
            <w:vAlign w:val="center"/>
            <w:hideMark/>
          </w:tcPr>
          <w:p w:rsidR="008E0F00" w:rsidRPr="008E0F00" w:rsidRDefault="008E0F00" w:rsidP="008E0F00">
            <w:pPr>
              <w:spacing w:after="0" w:line="240" w:lineRule="auto"/>
              <w:jc w:val="center"/>
              <w:rPr>
                <w:rFonts w:ascii="Calibri" w:eastAsia="Times New Roman" w:hAnsi="Calibri" w:cs="Times New Roman"/>
                <w:color w:val="000000"/>
                <w:lang w:val="de-DE" w:eastAsia="de-DE"/>
              </w:rPr>
            </w:pPr>
            <w:r w:rsidRPr="008E0F00">
              <w:rPr>
                <w:rFonts w:ascii="Calibri" w:eastAsia="Times New Roman" w:hAnsi="Calibri" w:cs="Times New Roman"/>
                <w:color w:val="000000"/>
                <w:lang w:val="de-DE" w:eastAsia="de-DE"/>
              </w:rPr>
              <w:t>1.0</w:t>
            </w:r>
          </w:p>
        </w:tc>
      </w:tr>
      <w:tr w:rsidR="008E0F00" w:rsidRPr="008E0F00" w:rsidTr="008E0F00">
        <w:trPr>
          <w:trHeight w:val="600"/>
        </w:trPr>
        <w:tc>
          <w:tcPr>
            <w:tcW w:w="1480" w:type="dxa"/>
            <w:tcBorders>
              <w:top w:val="nil"/>
              <w:left w:val="single" w:sz="4" w:space="0" w:color="auto"/>
              <w:bottom w:val="single" w:sz="4" w:space="0" w:color="auto"/>
              <w:right w:val="single" w:sz="4" w:space="0" w:color="auto"/>
            </w:tcBorders>
            <w:shd w:val="clear" w:color="auto" w:fill="auto"/>
            <w:noWrap/>
            <w:vAlign w:val="center"/>
            <w:hideMark/>
          </w:tcPr>
          <w:p w:rsidR="008E0F00" w:rsidRPr="008E0F00" w:rsidRDefault="008E0F00" w:rsidP="008E0F00">
            <w:pPr>
              <w:spacing w:after="0" w:line="240" w:lineRule="auto"/>
              <w:jc w:val="center"/>
              <w:rPr>
                <w:rFonts w:ascii="Calibri" w:eastAsia="Times New Roman" w:hAnsi="Calibri" w:cs="Times New Roman"/>
                <w:color w:val="000000"/>
                <w:lang w:val="de-DE" w:eastAsia="de-DE"/>
              </w:rPr>
            </w:pPr>
            <w:r w:rsidRPr="008E0F00">
              <w:rPr>
                <w:rFonts w:ascii="Calibri" w:eastAsia="Times New Roman" w:hAnsi="Calibri" w:cs="Times New Roman"/>
                <w:color w:val="000000"/>
                <w:lang w:val="de-DE" w:eastAsia="de-DE"/>
              </w:rPr>
              <w:t>Jasmonic acid</w:t>
            </w:r>
          </w:p>
        </w:tc>
        <w:tc>
          <w:tcPr>
            <w:tcW w:w="1060" w:type="dxa"/>
            <w:tcBorders>
              <w:top w:val="nil"/>
              <w:left w:val="nil"/>
              <w:bottom w:val="single" w:sz="4" w:space="0" w:color="auto"/>
              <w:right w:val="nil"/>
            </w:tcBorders>
            <w:shd w:val="clear" w:color="auto" w:fill="auto"/>
            <w:noWrap/>
            <w:vAlign w:val="center"/>
            <w:hideMark/>
          </w:tcPr>
          <w:p w:rsidR="008E0F00" w:rsidRPr="008E0F00" w:rsidRDefault="008E0F00" w:rsidP="008E0F00">
            <w:pPr>
              <w:spacing w:after="0" w:line="240" w:lineRule="auto"/>
              <w:jc w:val="center"/>
              <w:rPr>
                <w:rFonts w:ascii="Calibri" w:eastAsia="Times New Roman" w:hAnsi="Calibri" w:cs="Times New Roman"/>
                <w:color w:val="000000"/>
                <w:lang w:val="de-DE" w:eastAsia="de-DE"/>
              </w:rPr>
            </w:pPr>
            <w:r w:rsidRPr="008E0F00">
              <w:rPr>
                <w:rFonts w:ascii="Calibri" w:eastAsia="Times New Roman" w:hAnsi="Calibri" w:cs="Times New Roman"/>
                <w:color w:val="000000"/>
                <w:lang w:val="de-DE" w:eastAsia="de-DE"/>
              </w:rPr>
              <w:t>0.08</w:t>
            </w:r>
            <w:r w:rsidRPr="008E0F00">
              <w:rPr>
                <w:rFonts w:ascii="Calibri" w:eastAsia="Times New Roman" w:hAnsi="Calibri" w:cs="Times New Roman"/>
                <w:color w:val="000000"/>
                <w:sz w:val="16"/>
                <w:szCs w:val="16"/>
                <w:lang w:val="de-DE" w:eastAsia="de-DE"/>
              </w:rPr>
              <w:t xml:space="preserve"> ±</w:t>
            </w:r>
            <w:r w:rsidRPr="008E0F00">
              <w:rPr>
                <w:rFonts w:ascii="Calibri" w:eastAsia="Times New Roman" w:hAnsi="Calibri" w:cs="Times New Roman"/>
                <w:color w:val="000000"/>
                <w:lang w:val="de-DE" w:eastAsia="de-DE"/>
              </w:rPr>
              <w:t xml:space="preserve"> </w:t>
            </w:r>
            <w:r w:rsidRPr="008E0F00">
              <w:rPr>
                <w:rFonts w:ascii="Calibri" w:eastAsia="Times New Roman" w:hAnsi="Calibri" w:cs="Times New Roman"/>
                <w:color w:val="000000"/>
                <w:sz w:val="16"/>
                <w:szCs w:val="16"/>
                <w:lang w:val="de-DE" w:eastAsia="de-DE"/>
              </w:rPr>
              <w:t>0.02</w:t>
            </w:r>
          </w:p>
        </w:tc>
        <w:tc>
          <w:tcPr>
            <w:tcW w:w="1000" w:type="dxa"/>
            <w:tcBorders>
              <w:top w:val="nil"/>
              <w:left w:val="nil"/>
              <w:bottom w:val="single" w:sz="4" w:space="0" w:color="auto"/>
              <w:right w:val="single" w:sz="4" w:space="0" w:color="auto"/>
            </w:tcBorders>
            <w:shd w:val="clear" w:color="auto" w:fill="auto"/>
            <w:noWrap/>
            <w:vAlign w:val="center"/>
            <w:hideMark/>
          </w:tcPr>
          <w:p w:rsidR="008E0F00" w:rsidRPr="008E0F00" w:rsidRDefault="008E0F00" w:rsidP="008E0F00">
            <w:pPr>
              <w:spacing w:after="0" w:line="240" w:lineRule="auto"/>
              <w:jc w:val="center"/>
              <w:rPr>
                <w:rFonts w:ascii="Calibri" w:eastAsia="Times New Roman" w:hAnsi="Calibri" w:cs="Times New Roman"/>
                <w:color w:val="000000"/>
                <w:lang w:val="de-DE" w:eastAsia="de-DE"/>
              </w:rPr>
            </w:pPr>
            <w:r w:rsidRPr="008E0F00">
              <w:rPr>
                <w:rFonts w:ascii="Calibri" w:eastAsia="Times New Roman" w:hAnsi="Calibri" w:cs="Times New Roman"/>
                <w:color w:val="000000"/>
                <w:lang w:val="de-DE" w:eastAsia="de-DE"/>
              </w:rPr>
              <w:t>1.74</w:t>
            </w:r>
            <w:r w:rsidRPr="008E0F00">
              <w:rPr>
                <w:rFonts w:ascii="Calibri" w:eastAsia="Times New Roman" w:hAnsi="Calibri" w:cs="Times New Roman"/>
                <w:color w:val="000000"/>
                <w:sz w:val="16"/>
                <w:szCs w:val="16"/>
                <w:lang w:val="de-DE" w:eastAsia="de-DE"/>
              </w:rPr>
              <w:t xml:space="preserve"> ± 0.4</w:t>
            </w:r>
          </w:p>
        </w:tc>
        <w:tc>
          <w:tcPr>
            <w:tcW w:w="960" w:type="dxa"/>
            <w:tcBorders>
              <w:top w:val="nil"/>
              <w:left w:val="nil"/>
              <w:bottom w:val="single" w:sz="4" w:space="0" w:color="auto"/>
              <w:right w:val="single" w:sz="4" w:space="0" w:color="auto"/>
            </w:tcBorders>
            <w:shd w:val="clear" w:color="000000" w:fill="963634"/>
            <w:noWrap/>
            <w:vAlign w:val="center"/>
            <w:hideMark/>
          </w:tcPr>
          <w:p w:rsidR="008E0F00" w:rsidRPr="008E0F00" w:rsidRDefault="008E0F00" w:rsidP="008E0F00">
            <w:pPr>
              <w:spacing w:after="0" w:line="240" w:lineRule="auto"/>
              <w:jc w:val="center"/>
              <w:rPr>
                <w:rFonts w:ascii="Calibri" w:eastAsia="Times New Roman" w:hAnsi="Calibri" w:cs="Times New Roman"/>
                <w:color w:val="FFFFFF"/>
                <w:lang w:val="de-DE" w:eastAsia="de-DE"/>
              </w:rPr>
            </w:pPr>
            <w:r w:rsidRPr="008E0F00">
              <w:rPr>
                <w:rFonts w:ascii="Calibri" w:eastAsia="Times New Roman" w:hAnsi="Calibri" w:cs="Times New Roman"/>
                <w:color w:val="FFFFFF"/>
                <w:lang w:val="de-DE" w:eastAsia="de-DE"/>
              </w:rPr>
              <w:t xml:space="preserve">21 </w:t>
            </w:r>
            <w:r w:rsidRPr="008E0F00">
              <w:rPr>
                <w:rFonts w:ascii="Calibri" w:eastAsia="Times New Roman" w:hAnsi="Calibri" w:cs="Times New Roman"/>
                <w:color w:val="FFFFFF"/>
                <w:sz w:val="18"/>
                <w:szCs w:val="18"/>
                <w:lang w:val="de-DE" w:eastAsia="de-DE"/>
              </w:rPr>
              <w:t>**</w:t>
            </w:r>
          </w:p>
        </w:tc>
        <w:tc>
          <w:tcPr>
            <w:tcW w:w="1120" w:type="dxa"/>
            <w:tcBorders>
              <w:top w:val="nil"/>
              <w:left w:val="nil"/>
              <w:bottom w:val="single" w:sz="4" w:space="0" w:color="auto"/>
              <w:right w:val="nil"/>
            </w:tcBorders>
            <w:shd w:val="clear" w:color="auto" w:fill="auto"/>
            <w:noWrap/>
            <w:vAlign w:val="center"/>
            <w:hideMark/>
          </w:tcPr>
          <w:p w:rsidR="008E0F00" w:rsidRPr="008E0F00" w:rsidRDefault="008E0F00" w:rsidP="008E0F00">
            <w:pPr>
              <w:spacing w:after="0" w:line="240" w:lineRule="auto"/>
              <w:jc w:val="center"/>
              <w:rPr>
                <w:rFonts w:ascii="Calibri" w:eastAsia="Times New Roman" w:hAnsi="Calibri" w:cs="Times New Roman"/>
                <w:color w:val="000000"/>
                <w:lang w:val="de-DE" w:eastAsia="de-DE"/>
              </w:rPr>
            </w:pPr>
            <w:r w:rsidRPr="008E0F00">
              <w:rPr>
                <w:rFonts w:ascii="Calibri" w:eastAsia="Times New Roman" w:hAnsi="Calibri" w:cs="Times New Roman"/>
                <w:color w:val="000000"/>
                <w:lang w:val="de-DE" w:eastAsia="de-DE"/>
              </w:rPr>
              <w:t>0.01</w:t>
            </w:r>
            <w:r w:rsidRPr="008E0F00">
              <w:rPr>
                <w:rFonts w:ascii="Calibri" w:eastAsia="Times New Roman" w:hAnsi="Calibri" w:cs="Times New Roman"/>
                <w:color w:val="000000"/>
                <w:sz w:val="16"/>
                <w:szCs w:val="16"/>
                <w:lang w:val="de-DE" w:eastAsia="de-DE"/>
              </w:rPr>
              <w:t xml:space="preserve"> ± 0.001</w:t>
            </w:r>
          </w:p>
        </w:tc>
        <w:tc>
          <w:tcPr>
            <w:tcW w:w="1060" w:type="dxa"/>
            <w:tcBorders>
              <w:top w:val="nil"/>
              <w:left w:val="nil"/>
              <w:bottom w:val="single" w:sz="4" w:space="0" w:color="auto"/>
              <w:right w:val="single" w:sz="4" w:space="0" w:color="auto"/>
            </w:tcBorders>
            <w:shd w:val="clear" w:color="auto" w:fill="auto"/>
            <w:noWrap/>
            <w:vAlign w:val="center"/>
            <w:hideMark/>
          </w:tcPr>
          <w:p w:rsidR="008E0F00" w:rsidRPr="008E0F00" w:rsidRDefault="008E0F00" w:rsidP="008E0F00">
            <w:pPr>
              <w:spacing w:after="0" w:line="240" w:lineRule="auto"/>
              <w:jc w:val="center"/>
              <w:rPr>
                <w:rFonts w:ascii="Calibri" w:eastAsia="Times New Roman" w:hAnsi="Calibri" w:cs="Times New Roman"/>
                <w:color w:val="000000"/>
                <w:lang w:val="de-DE" w:eastAsia="de-DE"/>
              </w:rPr>
            </w:pPr>
            <w:r w:rsidRPr="008E0F00">
              <w:rPr>
                <w:rFonts w:ascii="Calibri" w:eastAsia="Times New Roman" w:hAnsi="Calibri" w:cs="Times New Roman"/>
                <w:color w:val="000000"/>
                <w:lang w:val="de-DE" w:eastAsia="de-DE"/>
              </w:rPr>
              <w:t>0.33</w:t>
            </w:r>
            <w:r w:rsidRPr="008E0F00">
              <w:rPr>
                <w:rFonts w:ascii="Calibri" w:eastAsia="Times New Roman" w:hAnsi="Calibri" w:cs="Times New Roman"/>
                <w:color w:val="000000"/>
                <w:sz w:val="16"/>
                <w:szCs w:val="16"/>
                <w:lang w:val="de-DE" w:eastAsia="de-DE"/>
              </w:rPr>
              <w:t xml:space="preserve"> ±</w:t>
            </w:r>
            <w:r w:rsidRPr="008E0F00">
              <w:rPr>
                <w:rFonts w:ascii="Calibri" w:eastAsia="Times New Roman" w:hAnsi="Calibri" w:cs="Times New Roman"/>
                <w:color w:val="000000"/>
                <w:lang w:val="de-DE" w:eastAsia="de-DE"/>
              </w:rPr>
              <w:t xml:space="preserve"> </w:t>
            </w:r>
            <w:r w:rsidRPr="008E0F00">
              <w:rPr>
                <w:rFonts w:ascii="Calibri" w:eastAsia="Times New Roman" w:hAnsi="Calibri" w:cs="Times New Roman"/>
                <w:color w:val="000000"/>
                <w:sz w:val="16"/>
                <w:szCs w:val="16"/>
                <w:lang w:val="de-DE" w:eastAsia="de-DE"/>
              </w:rPr>
              <w:t>0.06</w:t>
            </w:r>
          </w:p>
        </w:tc>
        <w:tc>
          <w:tcPr>
            <w:tcW w:w="1200" w:type="dxa"/>
            <w:tcBorders>
              <w:top w:val="nil"/>
              <w:left w:val="nil"/>
              <w:bottom w:val="single" w:sz="4" w:space="0" w:color="auto"/>
              <w:right w:val="single" w:sz="4" w:space="0" w:color="auto"/>
            </w:tcBorders>
            <w:shd w:val="clear" w:color="000000" w:fill="963634"/>
            <w:noWrap/>
            <w:vAlign w:val="center"/>
            <w:hideMark/>
          </w:tcPr>
          <w:p w:rsidR="008E0F00" w:rsidRPr="008E0F00" w:rsidRDefault="008E0F00" w:rsidP="008E0F00">
            <w:pPr>
              <w:spacing w:after="0" w:line="240" w:lineRule="auto"/>
              <w:jc w:val="center"/>
              <w:rPr>
                <w:rFonts w:ascii="Calibri" w:eastAsia="Times New Roman" w:hAnsi="Calibri" w:cs="Times New Roman"/>
                <w:color w:val="FFFFFF"/>
                <w:lang w:val="de-DE" w:eastAsia="de-DE"/>
              </w:rPr>
            </w:pPr>
            <w:r w:rsidRPr="008E0F00">
              <w:rPr>
                <w:rFonts w:ascii="Calibri" w:eastAsia="Times New Roman" w:hAnsi="Calibri" w:cs="Times New Roman"/>
                <w:color w:val="FFFFFF"/>
                <w:lang w:val="de-DE" w:eastAsia="de-DE"/>
              </w:rPr>
              <w:t xml:space="preserve">22.4 </w:t>
            </w:r>
            <w:r w:rsidRPr="008E0F00">
              <w:rPr>
                <w:rFonts w:ascii="Calibri" w:eastAsia="Times New Roman" w:hAnsi="Calibri" w:cs="Times New Roman"/>
                <w:color w:val="FFFFFF"/>
                <w:sz w:val="18"/>
                <w:szCs w:val="18"/>
                <w:lang w:val="de-DE" w:eastAsia="de-DE"/>
              </w:rPr>
              <w:t>**</w:t>
            </w:r>
          </w:p>
        </w:tc>
        <w:tc>
          <w:tcPr>
            <w:tcW w:w="2160" w:type="dxa"/>
            <w:gridSpan w:val="2"/>
            <w:tcBorders>
              <w:top w:val="nil"/>
              <w:left w:val="nil"/>
              <w:bottom w:val="single" w:sz="4" w:space="0" w:color="auto"/>
              <w:right w:val="single" w:sz="4" w:space="0" w:color="000000"/>
            </w:tcBorders>
            <w:shd w:val="clear" w:color="auto" w:fill="auto"/>
            <w:noWrap/>
            <w:vAlign w:val="center"/>
            <w:hideMark/>
          </w:tcPr>
          <w:p w:rsidR="008E0F00" w:rsidRPr="008E0F00" w:rsidRDefault="008E0F00" w:rsidP="008E0F00">
            <w:pPr>
              <w:spacing w:after="0" w:line="240" w:lineRule="auto"/>
              <w:jc w:val="center"/>
              <w:rPr>
                <w:rFonts w:ascii="Calibri" w:eastAsia="Times New Roman" w:hAnsi="Calibri" w:cs="Times New Roman"/>
                <w:color w:val="000000"/>
                <w:lang w:val="de-DE" w:eastAsia="de-DE"/>
              </w:rPr>
            </w:pPr>
            <w:r w:rsidRPr="008E0F00">
              <w:rPr>
                <w:rFonts w:ascii="Calibri" w:eastAsia="Times New Roman" w:hAnsi="Calibri" w:cs="Times New Roman"/>
                <w:color w:val="000000"/>
                <w:lang w:val="de-DE" w:eastAsia="de-DE"/>
              </w:rPr>
              <w:t>not detected</w:t>
            </w:r>
          </w:p>
        </w:tc>
        <w:tc>
          <w:tcPr>
            <w:tcW w:w="1020" w:type="dxa"/>
            <w:tcBorders>
              <w:top w:val="nil"/>
              <w:left w:val="nil"/>
              <w:bottom w:val="single" w:sz="4" w:space="0" w:color="auto"/>
              <w:right w:val="single" w:sz="4" w:space="0" w:color="auto"/>
            </w:tcBorders>
            <w:shd w:val="clear" w:color="auto" w:fill="auto"/>
            <w:noWrap/>
            <w:vAlign w:val="center"/>
            <w:hideMark/>
          </w:tcPr>
          <w:p w:rsidR="008E0F00" w:rsidRPr="008E0F00" w:rsidRDefault="008E0F00" w:rsidP="008E0F00">
            <w:pPr>
              <w:spacing w:after="0" w:line="240" w:lineRule="auto"/>
              <w:rPr>
                <w:rFonts w:ascii="Calibri" w:eastAsia="Times New Roman" w:hAnsi="Calibri" w:cs="Times New Roman"/>
                <w:color w:val="000000"/>
                <w:lang w:val="de-DE" w:eastAsia="de-DE"/>
              </w:rPr>
            </w:pPr>
            <w:r w:rsidRPr="008E0F00">
              <w:rPr>
                <w:rFonts w:ascii="Calibri" w:eastAsia="Times New Roman" w:hAnsi="Calibri" w:cs="Times New Roman"/>
                <w:color w:val="000000"/>
                <w:lang w:val="de-DE" w:eastAsia="de-DE"/>
              </w:rPr>
              <w:t> </w:t>
            </w:r>
          </w:p>
        </w:tc>
        <w:tc>
          <w:tcPr>
            <w:tcW w:w="1140" w:type="dxa"/>
            <w:tcBorders>
              <w:top w:val="nil"/>
              <w:left w:val="nil"/>
              <w:bottom w:val="single" w:sz="4" w:space="0" w:color="auto"/>
              <w:right w:val="nil"/>
            </w:tcBorders>
            <w:shd w:val="clear" w:color="auto" w:fill="auto"/>
            <w:noWrap/>
            <w:vAlign w:val="center"/>
            <w:hideMark/>
          </w:tcPr>
          <w:p w:rsidR="008E0F00" w:rsidRPr="008E0F00" w:rsidRDefault="008E0F00" w:rsidP="008E0F00">
            <w:pPr>
              <w:spacing w:after="0" w:line="240" w:lineRule="auto"/>
              <w:jc w:val="center"/>
              <w:rPr>
                <w:rFonts w:ascii="Calibri" w:eastAsia="Times New Roman" w:hAnsi="Calibri" w:cs="Times New Roman"/>
                <w:color w:val="000000"/>
                <w:lang w:val="de-DE" w:eastAsia="de-DE"/>
              </w:rPr>
            </w:pPr>
            <w:r w:rsidRPr="008E0F00">
              <w:rPr>
                <w:rFonts w:ascii="Calibri" w:eastAsia="Times New Roman" w:hAnsi="Calibri" w:cs="Times New Roman"/>
                <w:color w:val="000000"/>
                <w:lang w:val="de-DE" w:eastAsia="de-DE"/>
              </w:rPr>
              <w:t>0.03</w:t>
            </w:r>
            <w:r w:rsidRPr="008E0F00">
              <w:rPr>
                <w:rFonts w:ascii="Calibri" w:eastAsia="Times New Roman" w:hAnsi="Calibri" w:cs="Times New Roman"/>
                <w:color w:val="000000"/>
                <w:sz w:val="16"/>
                <w:szCs w:val="16"/>
                <w:lang w:val="de-DE" w:eastAsia="de-DE"/>
              </w:rPr>
              <w:t xml:space="preserve"> ±</w:t>
            </w:r>
            <w:r w:rsidRPr="008E0F00">
              <w:rPr>
                <w:rFonts w:ascii="Calibri" w:eastAsia="Times New Roman" w:hAnsi="Calibri" w:cs="Times New Roman"/>
                <w:color w:val="000000"/>
                <w:lang w:val="de-DE" w:eastAsia="de-DE"/>
              </w:rPr>
              <w:t xml:space="preserve"> </w:t>
            </w:r>
            <w:r w:rsidRPr="008E0F00">
              <w:rPr>
                <w:rFonts w:ascii="Calibri" w:eastAsia="Times New Roman" w:hAnsi="Calibri" w:cs="Times New Roman"/>
                <w:color w:val="000000"/>
                <w:sz w:val="16"/>
                <w:szCs w:val="16"/>
                <w:lang w:val="de-DE" w:eastAsia="de-DE"/>
              </w:rPr>
              <w:t>0.01</w:t>
            </w:r>
          </w:p>
        </w:tc>
        <w:tc>
          <w:tcPr>
            <w:tcW w:w="1120" w:type="dxa"/>
            <w:tcBorders>
              <w:top w:val="nil"/>
              <w:left w:val="nil"/>
              <w:bottom w:val="single" w:sz="4" w:space="0" w:color="auto"/>
              <w:right w:val="single" w:sz="4" w:space="0" w:color="auto"/>
            </w:tcBorders>
            <w:shd w:val="clear" w:color="auto" w:fill="auto"/>
            <w:noWrap/>
            <w:vAlign w:val="center"/>
            <w:hideMark/>
          </w:tcPr>
          <w:p w:rsidR="008E0F00" w:rsidRPr="008E0F00" w:rsidRDefault="008E0F00" w:rsidP="008E0F00">
            <w:pPr>
              <w:spacing w:after="0" w:line="240" w:lineRule="auto"/>
              <w:jc w:val="center"/>
              <w:rPr>
                <w:rFonts w:ascii="Calibri" w:eastAsia="Times New Roman" w:hAnsi="Calibri" w:cs="Times New Roman"/>
                <w:color w:val="000000"/>
                <w:lang w:val="de-DE" w:eastAsia="de-DE"/>
              </w:rPr>
            </w:pPr>
            <w:r w:rsidRPr="008E0F00">
              <w:rPr>
                <w:rFonts w:ascii="Calibri" w:eastAsia="Times New Roman" w:hAnsi="Calibri" w:cs="Times New Roman"/>
                <w:color w:val="000000"/>
                <w:lang w:val="de-DE" w:eastAsia="de-DE"/>
              </w:rPr>
              <w:t xml:space="preserve">0.03 </w:t>
            </w:r>
            <w:r w:rsidRPr="008E0F00">
              <w:rPr>
                <w:rFonts w:ascii="Calibri" w:eastAsia="Times New Roman" w:hAnsi="Calibri" w:cs="Times New Roman"/>
                <w:color w:val="000000"/>
                <w:sz w:val="16"/>
                <w:szCs w:val="16"/>
                <w:lang w:val="de-DE" w:eastAsia="de-DE"/>
              </w:rPr>
              <w:t>± 0.005</w:t>
            </w:r>
          </w:p>
        </w:tc>
        <w:tc>
          <w:tcPr>
            <w:tcW w:w="840" w:type="dxa"/>
            <w:tcBorders>
              <w:top w:val="nil"/>
              <w:left w:val="nil"/>
              <w:bottom w:val="single" w:sz="4" w:space="0" w:color="auto"/>
              <w:right w:val="single" w:sz="4" w:space="0" w:color="auto"/>
            </w:tcBorders>
            <w:shd w:val="clear" w:color="000000" w:fill="D8E4BC"/>
            <w:noWrap/>
            <w:vAlign w:val="center"/>
            <w:hideMark/>
          </w:tcPr>
          <w:p w:rsidR="008E0F00" w:rsidRPr="008E0F00" w:rsidRDefault="008E0F00" w:rsidP="008E0F00">
            <w:pPr>
              <w:spacing w:after="0" w:line="240" w:lineRule="auto"/>
              <w:jc w:val="center"/>
              <w:rPr>
                <w:rFonts w:ascii="Calibri" w:eastAsia="Times New Roman" w:hAnsi="Calibri" w:cs="Times New Roman"/>
                <w:color w:val="000000"/>
                <w:lang w:val="de-DE" w:eastAsia="de-DE"/>
              </w:rPr>
            </w:pPr>
            <w:r w:rsidRPr="008E0F00">
              <w:rPr>
                <w:rFonts w:ascii="Calibri" w:eastAsia="Times New Roman" w:hAnsi="Calibri" w:cs="Times New Roman"/>
                <w:color w:val="000000"/>
                <w:lang w:val="de-DE" w:eastAsia="de-DE"/>
              </w:rPr>
              <w:t>0.9</w:t>
            </w:r>
          </w:p>
        </w:tc>
      </w:tr>
      <w:tr w:rsidR="008E0F00" w:rsidRPr="008E0F00" w:rsidTr="008E0F00">
        <w:trPr>
          <w:trHeight w:val="615"/>
        </w:trPr>
        <w:tc>
          <w:tcPr>
            <w:tcW w:w="1480" w:type="dxa"/>
            <w:tcBorders>
              <w:top w:val="single" w:sz="4" w:space="0" w:color="auto"/>
              <w:left w:val="nil"/>
              <w:bottom w:val="nil"/>
              <w:right w:val="nil"/>
            </w:tcBorders>
            <w:shd w:val="clear" w:color="auto" w:fill="auto"/>
            <w:noWrap/>
            <w:vAlign w:val="bottom"/>
            <w:hideMark/>
          </w:tcPr>
          <w:p w:rsidR="008E0F00" w:rsidRPr="008E0F00" w:rsidRDefault="008E0F00" w:rsidP="008E0F00">
            <w:pPr>
              <w:spacing w:after="0" w:line="240" w:lineRule="auto"/>
              <w:rPr>
                <w:rFonts w:ascii="Calibri" w:eastAsia="Times New Roman" w:hAnsi="Calibri" w:cs="Times New Roman"/>
                <w:color w:val="000000"/>
                <w:lang w:val="de-DE" w:eastAsia="de-DE"/>
              </w:rPr>
            </w:pPr>
          </w:p>
        </w:tc>
        <w:tc>
          <w:tcPr>
            <w:tcW w:w="1060" w:type="dxa"/>
            <w:tcBorders>
              <w:top w:val="single" w:sz="4" w:space="0" w:color="auto"/>
              <w:left w:val="nil"/>
              <w:bottom w:val="nil"/>
              <w:right w:val="nil"/>
            </w:tcBorders>
            <w:shd w:val="clear" w:color="auto" w:fill="auto"/>
            <w:noWrap/>
            <w:vAlign w:val="bottom"/>
            <w:hideMark/>
          </w:tcPr>
          <w:p w:rsidR="008E0F00" w:rsidRPr="008E0F00" w:rsidRDefault="008E0F00" w:rsidP="008E0F00">
            <w:pPr>
              <w:spacing w:after="0" w:line="240" w:lineRule="auto"/>
              <w:rPr>
                <w:rFonts w:ascii="Calibri" w:eastAsia="Times New Roman" w:hAnsi="Calibri" w:cs="Times New Roman"/>
                <w:color w:val="000000"/>
                <w:lang w:val="de-DE" w:eastAsia="de-DE"/>
              </w:rPr>
            </w:pPr>
          </w:p>
        </w:tc>
        <w:tc>
          <w:tcPr>
            <w:tcW w:w="1000" w:type="dxa"/>
            <w:tcBorders>
              <w:top w:val="single" w:sz="4" w:space="0" w:color="auto"/>
              <w:left w:val="nil"/>
              <w:bottom w:val="nil"/>
              <w:right w:val="nil"/>
            </w:tcBorders>
            <w:shd w:val="clear" w:color="auto" w:fill="auto"/>
            <w:noWrap/>
            <w:vAlign w:val="bottom"/>
            <w:hideMark/>
          </w:tcPr>
          <w:p w:rsidR="008E0F00" w:rsidRPr="008E0F00" w:rsidRDefault="008E0F00" w:rsidP="008E0F00">
            <w:pPr>
              <w:spacing w:after="0" w:line="240" w:lineRule="auto"/>
              <w:rPr>
                <w:rFonts w:ascii="Calibri" w:eastAsia="Times New Roman" w:hAnsi="Calibri" w:cs="Times New Roman"/>
                <w:color w:val="000000"/>
                <w:lang w:val="de-DE" w:eastAsia="de-DE"/>
              </w:rPr>
            </w:pPr>
          </w:p>
        </w:tc>
        <w:tc>
          <w:tcPr>
            <w:tcW w:w="960" w:type="dxa"/>
            <w:tcBorders>
              <w:top w:val="single" w:sz="4" w:space="0" w:color="auto"/>
              <w:left w:val="nil"/>
              <w:bottom w:val="nil"/>
              <w:right w:val="nil"/>
            </w:tcBorders>
            <w:shd w:val="clear" w:color="auto" w:fill="auto"/>
            <w:noWrap/>
            <w:vAlign w:val="bottom"/>
            <w:hideMark/>
          </w:tcPr>
          <w:p w:rsidR="008E0F00" w:rsidRPr="008E0F00" w:rsidRDefault="008E0F00" w:rsidP="008E0F00">
            <w:pPr>
              <w:spacing w:after="0" w:line="240" w:lineRule="auto"/>
              <w:rPr>
                <w:rFonts w:ascii="Calibri" w:eastAsia="Times New Roman" w:hAnsi="Calibri" w:cs="Times New Roman"/>
                <w:color w:val="000000"/>
                <w:lang w:val="de-DE" w:eastAsia="de-DE"/>
              </w:rPr>
            </w:pPr>
          </w:p>
        </w:tc>
        <w:tc>
          <w:tcPr>
            <w:tcW w:w="1120" w:type="dxa"/>
            <w:tcBorders>
              <w:top w:val="single" w:sz="4" w:space="0" w:color="auto"/>
              <w:left w:val="nil"/>
              <w:bottom w:val="nil"/>
              <w:right w:val="nil"/>
            </w:tcBorders>
            <w:shd w:val="clear" w:color="auto" w:fill="auto"/>
            <w:noWrap/>
            <w:vAlign w:val="bottom"/>
            <w:hideMark/>
          </w:tcPr>
          <w:p w:rsidR="008E0F00" w:rsidRPr="008E0F00" w:rsidRDefault="008E0F00" w:rsidP="008E0F00">
            <w:pPr>
              <w:spacing w:after="0" w:line="240" w:lineRule="auto"/>
              <w:rPr>
                <w:rFonts w:ascii="Calibri" w:eastAsia="Times New Roman" w:hAnsi="Calibri" w:cs="Times New Roman"/>
                <w:color w:val="000000"/>
                <w:lang w:val="de-DE" w:eastAsia="de-DE"/>
              </w:rPr>
            </w:pPr>
          </w:p>
        </w:tc>
        <w:tc>
          <w:tcPr>
            <w:tcW w:w="1060" w:type="dxa"/>
            <w:tcBorders>
              <w:top w:val="single" w:sz="4" w:space="0" w:color="auto"/>
              <w:left w:val="nil"/>
              <w:bottom w:val="nil"/>
              <w:right w:val="nil"/>
            </w:tcBorders>
            <w:shd w:val="clear" w:color="auto" w:fill="auto"/>
            <w:noWrap/>
            <w:vAlign w:val="bottom"/>
            <w:hideMark/>
          </w:tcPr>
          <w:p w:rsidR="008E0F00" w:rsidRPr="008E0F00" w:rsidRDefault="008E0F00" w:rsidP="008E0F00">
            <w:pPr>
              <w:spacing w:after="0" w:line="240" w:lineRule="auto"/>
              <w:rPr>
                <w:rFonts w:ascii="Calibri" w:eastAsia="Times New Roman" w:hAnsi="Calibri" w:cs="Times New Roman"/>
                <w:color w:val="000000"/>
                <w:lang w:val="de-DE" w:eastAsia="de-DE"/>
              </w:rPr>
            </w:pPr>
          </w:p>
        </w:tc>
        <w:tc>
          <w:tcPr>
            <w:tcW w:w="1200" w:type="dxa"/>
            <w:tcBorders>
              <w:top w:val="single" w:sz="4" w:space="0" w:color="auto"/>
              <w:left w:val="nil"/>
              <w:bottom w:val="nil"/>
              <w:right w:val="nil"/>
            </w:tcBorders>
            <w:shd w:val="clear" w:color="auto" w:fill="auto"/>
            <w:noWrap/>
            <w:vAlign w:val="bottom"/>
            <w:hideMark/>
          </w:tcPr>
          <w:p w:rsidR="008E0F00" w:rsidRPr="008E0F00" w:rsidRDefault="008E0F00" w:rsidP="008E0F00">
            <w:pPr>
              <w:spacing w:after="0" w:line="240" w:lineRule="auto"/>
              <w:rPr>
                <w:rFonts w:ascii="Calibri" w:eastAsia="Times New Roman" w:hAnsi="Calibri" w:cs="Times New Roman"/>
                <w:color w:val="000000"/>
                <w:lang w:val="de-DE" w:eastAsia="de-DE"/>
              </w:rPr>
            </w:pPr>
          </w:p>
        </w:tc>
        <w:tc>
          <w:tcPr>
            <w:tcW w:w="1140" w:type="dxa"/>
            <w:tcBorders>
              <w:top w:val="single" w:sz="4" w:space="0" w:color="auto"/>
              <w:left w:val="nil"/>
              <w:bottom w:val="nil"/>
              <w:right w:val="nil"/>
            </w:tcBorders>
            <w:shd w:val="clear" w:color="auto" w:fill="auto"/>
            <w:noWrap/>
            <w:vAlign w:val="bottom"/>
            <w:hideMark/>
          </w:tcPr>
          <w:p w:rsidR="008E0F00" w:rsidRPr="008E0F00" w:rsidRDefault="008E0F00" w:rsidP="008E0F00">
            <w:pPr>
              <w:spacing w:after="0" w:line="240" w:lineRule="auto"/>
              <w:rPr>
                <w:rFonts w:ascii="Calibri" w:eastAsia="Times New Roman" w:hAnsi="Calibri" w:cs="Times New Roman"/>
                <w:color w:val="000000"/>
                <w:lang w:val="de-DE" w:eastAsia="de-DE"/>
              </w:rPr>
            </w:pPr>
          </w:p>
        </w:tc>
        <w:tc>
          <w:tcPr>
            <w:tcW w:w="1020" w:type="dxa"/>
            <w:tcBorders>
              <w:top w:val="single" w:sz="4" w:space="0" w:color="auto"/>
              <w:left w:val="nil"/>
              <w:bottom w:val="nil"/>
              <w:right w:val="nil"/>
            </w:tcBorders>
            <w:shd w:val="clear" w:color="auto" w:fill="auto"/>
            <w:noWrap/>
            <w:vAlign w:val="bottom"/>
            <w:hideMark/>
          </w:tcPr>
          <w:p w:rsidR="008E0F00" w:rsidRPr="008E0F00" w:rsidRDefault="008E0F00" w:rsidP="008E0F00">
            <w:pPr>
              <w:spacing w:after="0" w:line="240" w:lineRule="auto"/>
              <w:rPr>
                <w:rFonts w:ascii="Calibri" w:eastAsia="Times New Roman" w:hAnsi="Calibri" w:cs="Times New Roman"/>
                <w:color w:val="000000"/>
                <w:lang w:val="de-DE" w:eastAsia="de-DE"/>
              </w:rPr>
            </w:pPr>
          </w:p>
        </w:tc>
        <w:tc>
          <w:tcPr>
            <w:tcW w:w="1020" w:type="dxa"/>
            <w:tcBorders>
              <w:top w:val="single" w:sz="4" w:space="0" w:color="auto"/>
              <w:left w:val="nil"/>
              <w:bottom w:val="nil"/>
              <w:right w:val="nil"/>
            </w:tcBorders>
            <w:shd w:val="clear" w:color="auto" w:fill="auto"/>
            <w:noWrap/>
            <w:vAlign w:val="bottom"/>
            <w:hideMark/>
          </w:tcPr>
          <w:p w:rsidR="008E0F00" w:rsidRPr="008E0F00" w:rsidRDefault="008E0F00" w:rsidP="008E0F00">
            <w:pPr>
              <w:spacing w:after="0" w:line="240" w:lineRule="auto"/>
              <w:rPr>
                <w:rFonts w:ascii="Calibri" w:eastAsia="Times New Roman" w:hAnsi="Calibri" w:cs="Times New Roman"/>
                <w:color w:val="000000"/>
                <w:lang w:val="de-DE" w:eastAsia="de-DE"/>
              </w:rPr>
            </w:pPr>
          </w:p>
        </w:tc>
        <w:tc>
          <w:tcPr>
            <w:tcW w:w="1140" w:type="dxa"/>
            <w:tcBorders>
              <w:top w:val="single" w:sz="4" w:space="0" w:color="auto"/>
              <w:left w:val="nil"/>
              <w:bottom w:val="nil"/>
              <w:right w:val="nil"/>
            </w:tcBorders>
            <w:shd w:val="clear" w:color="auto" w:fill="auto"/>
            <w:noWrap/>
            <w:vAlign w:val="bottom"/>
            <w:hideMark/>
          </w:tcPr>
          <w:p w:rsidR="008E0F00" w:rsidRPr="008E0F00" w:rsidRDefault="008E0F00" w:rsidP="008E0F00">
            <w:pPr>
              <w:spacing w:after="0" w:line="240" w:lineRule="auto"/>
              <w:rPr>
                <w:rFonts w:ascii="Calibri" w:eastAsia="Times New Roman" w:hAnsi="Calibri" w:cs="Times New Roman"/>
                <w:color w:val="000000"/>
                <w:lang w:val="de-DE" w:eastAsia="de-DE"/>
              </w:rPr>
            </w:pPr>
          </w:p>
        </w:tc>
        <w:tc>
          <w:tcPr>
            <w:tcW w:w="1120" w:type="dxa"/>
            <w:tcBorders>
              <w:top w:val="single" w:sz="4" w:space="0" w:color="auto"/>
              <w:left w:val="nil"/>
              <w:bottom w:val="nil"/>
              <w:right w:val="nil"/>
            </w:tcBorders>
            <w:shd w:val="clear" w:color="auto" w:fill="auto"/>
            <w:noWrap/>
            <w:vAlign w:val="bottom"/>
            <w:hideMark/>
          </w:tcPr>
          <w:p w:rsidR="008E0F00" w:rsidRPr="008E0F00" w:rsidRDefault="008E0F00" w:rsidP="008E0F00">
            <w:pPr>
              <w:spacing w:after="0" w:line="240" w:lineRule="auto"/>
              <w:rPr>
                <w:rFonts w:ascii="Calibri" w:eastAsia="Times New Roman" w:hAnsi="Calibri" w:cs="Times New Roman"/>
                <w:color w:val="000000"/>
                <w:lang w:val="de-DE" w:eastAsia="de-DE"/>
              </w:rPr>
            </w:pPr>
          </w:p>
        </w:tc>
        <w:tc>
          <w:tcPr>
            <w:tcW w:w="840" w:type="dxa"/>
            <w:tcBorders>
              <w:top w:val="single" w:sz="4" w:space="0" w:color="auto"/>
              <w:left w:val="nil"/>
              <w:bottom w:val="nil"/>
              <w:right w:val="nil"/>
            </w:tcBorders>
            <w:shd w:val="clear" w:color="auto" w:fill="auto"/>
            <w:noWrap/>
            <w:vAlign w:val="bottom"/>
            <w:hideMark/>
          </w:tcPr>
          <w:p w:rsidR="008E0F00" w:rsidRPr="008E0F00" w:rsidRDefault="008E0F00" w:rsidP="008E0F00">
            <w:pPr>
              <w:spacing w:after="0" w:line="240" w:lineRule="auto"/>
              <w:rPr>
                <w:rFonts w:ascii="Calibri" w:eastAsia="Times New Roman" w:hAnsi="Calibri" w:cs="Times New Roman"/>
                <w:color w:val="000000"/>
                <w:lang w:val="de-DE" w:eastAsia="de-DE"/>
              </w:rPr>
            </w:pPr>
          </w:p>
        </w:tc>
      </w:tr>
      <w:tr w:rsidR="008E0F00" w:rsidRPr="008E0F00" w:rsidTr="008E0F00">
        <w:trPr>
          <w:trHeight w:val="315"/>
        </w:trPr>
        <w:tc>
          <w:tcPr>
            <w:tcW w:w="1480" w:type="dxa"/>
            <w:tcBorders>
              <w:top w:val="nil"/>
              <w:left w:val="nil"/>
              <w:bottom w:val="nil"/>
              <w:right w:val="nil"/>
            </w:tcBorders>
            <w:shd w:val="clear" w:color="auto" w:fill="auto"/>
            <w:noWrap/>
            <w:vAlign w:val="bottom"/>
            <w:hideMark/>
          </w:tcPr>
          <w:p w:rsidR="008E0F00" w:rsidRPr="008E0F00" w:rsidRDefault="008E0F00" w:rsidP="008E0F00">
            <w:pPr>
              <w:spacing w:after="0" w:line="240" w:lineRule="auto"/>
              <w:rPr>
                <w:rFonts w:ascii="Calibri" w:eastAsia="Times New Roman" w:hAnsi="Calibri" w:cs="Times New Roman"/>
                <w:color w:val="000000"/>
                <w:lang w:val="de-DE" w:eastAsia="de-DE"/>
              </w:rPr>
            </w:pPr>
          </w:p>
        </w:tc>
        <w:tc>
          <w:tcPr>
            <w:tcW w:w="1060" w:type="dxa"/>
            <w:tcBorders>
              <w:top w:val="nil"/>
              <w:left w:val="nil"/>
              <w:bottom w:val="nil"/>
              <w:right w:val="nil"/>
            </w:tcBorders>
            <w:shd w:val="clear" w:color="auto" w:fill="auto"/>
            <w:noWrap/>
            <w:vAlign w:val="bottom"/>
            <w:hideMark/>
          </w:tcPr>
          <w:p w:rsidR="008E0F00" w:rsidRPr="008E0F00" w:rsidRDefault="008E0F00" w:rsidP="008E0F00">
            <w:pPr>
              <w:spacing w:after="0" w:line="240" w:lineRule="auto"/>
              <w:rPr>
                <w:rFonts w:ascii="Calibri" w:eastAsia="Times New Roman" w:hAnsi="Calibri" w:cs="Times New Roman"/>
                <w:color w:val="000000"/>
                <w:lang w:val="de-DE" w:eastAsia="de-DE"/>
              </w:rPr>
            </w:pPr>
          </w:p>
        </w:tc>
        <w:tc>
          <w:tcPr>
            <w:tcW w:w="1000" w:type="dxa"/>
            <w:tcBorders>
              <w:top w:val="nil"/>
              <w:left w:val="nil"/>
              <w:bottom w:val="nil"/>
              <w:right w:val="nil"/>
            </w:tcBorders>
            <w:shd w:val="clear" w:color="auto" w:fill="auto"/>
            <w:noWrap/>
            <w:vAlign w:val="bottom"/>
            <w:hideMark/>
          </w:tcPr>
          <w:p w:rsidR="008E0F00" w:rsidRPr="008E0F00" w:rsidRDefault="008E0F00" w:rsidP="008E0F00">
            <w:pPr>
              <w:spacing w:after="0" w:line="240" w:lineRule="auto"/>
              <w:rPr>
                <w:rFonts w:ascii="Calibri" w:eastAsia="Times New Roman" w:hAnsi="Calibri" w:cs="Times New Roman"/>
                <w:color w:val="000000"/>
                <w:lang w:val="de-DE" w:eastAsia="de-DE"/>
              </w:rPr>
            </w:pPr>
          </w:p>
        </w:tc>
        <w:tc>
          <w:tcPr>
            <w:tcW w:w="960" w:type="dxa"/>
            <w:tcBorders>
              <w:top w:val="single" w:sz="8" w:space="0" w:color="auto"/>
              <w:left w:val="single" w:sz="8" w:space="0" w:color="auto"/>
              <w:bottom w:val="single" w:sz="8" w:space="0" w:color="auto"/>
              <w:right w:val="single" w:sz="8" w:space="0" w:color="auto"/>
            </w:tcBorders>
            <w:shd w:val="clear" w:color="000000" w:fill="632423"/>
            <w:vAlign w:val="center"/>
            <w:hideMark/>
          </w:tcPr>
          <w:p w:rsidR="008E0F00" w:rsidRPr="008E0F00" w:rsidRDefault="008E0F00" w:rsidP="008E0F00">
            <w:pPr>
              <w:spacing w:after="0" w:line="240" w:lineRule="auto"/>
              <w:jc w:val="center"/>
              <w:rPr>
                <w:rFonts w:ascii="Calibri" w:eastAsia="Times New Roman" w:hAnsi="Calibri" w:cs="Times New Roman"/>
                <w:color w:val="FFFFFF"/>
                <w:lang w:val="de-DE" w:eastAsia="de-DE"/>
              </w:rPr>
            </w:pPr>
            <w:r w:rsidRPr="008E0F00">
              <w:rPr>
                <w:rFonts w:ascii="Calibri" w:eastAsia="Times New Roman" w:hAnsi="Calibri" w:cs="Times New Roman"/>
                <w:color w:val="FFFFFF"/>
                <w:lang w:val="de-DE" w:eastAsia="de-DE"/>
              </w:rPr>
              <w:t>&gt; 100</w:t>
            </w:r>
          </w:p>
        </w:tc>
        <w:tc>
          <w:tcPr>
            <w:tcW w:w="1120" w:type="dxa"/>
            <w:tcBorders>
              <w:top w:val="single" w:sz="8" w:space="0" w:color="auto"/>
              <w:left w:val="nil"/>
              <w:bottom w:val="single" w:sz="8" w:space="0" w:color="auto"/>
              <w:right w:val="single" w:sz="8" w:space="0" w:color="auto"/>
            </w:tcBorders>
            <w:shd w:val="clear" w:color="000000" w:fill="943634"/>
            <w:noWrap/>
            <w:vAlign w:val="center"/>
            <w:hideMark/>
          </w:tcPr>
          <w:p w:rsidR="008E0F00" w:rsidRPr="008E0F00" w:rsidRDefault="008E0F00" w:rsidP="008E0F00">
            <w:pPr>
              <w:spacing w:after="0" w:line="240" w:lineRule="auto"/>
              <w:jc w:val="center"/>
              <w:rPr>
                <w:rFonts w:ascii="Calibri" w:eastAsia="Times New Roman" w:hAnsi="Calibri" w:cs="Times New Roman"/>
                <w:color w:val="FFFFFF"/>
                <w:lang w:val="de-DE" w:eastAsia="de-DE"/>
              </w:rPr>
            </w:pPr>
            <w:r w:rsidRPr="008E0F00">
              <w:rPr>
                <w:rFonts w:ascii="Calibri" w:eastAsia="Times New Roman" w:hAnsi="Calibri" w:cs="Times New Roman"/>
                <w:color w:val="FFFFFF"/>
                <w:lang w:val="de-DE" w:eastAsia="de-DE"/>
              </w:rPr>
              <w:t>&gt; 20</w:t>
            </w:r>
          </w:p>
        </w:tc>
        <w:tc>
          <w:tcPr>
            <w:tcW w:w="1060" w:type="dxa"/>
            <w:tcBorders>
              <w:top w:val="single" w:sz="8" w:space="0" w:color="auto"/>
              <w:left w:val="nil"/>
              <w:bottom w:val="single" w:sz="8" w:space="0" w:color="auto"/>
              <w:right w:val="single" w:sz="8" w:space="0" w:color="auto"/>
            </w:tcBorders>
            <w:shd w:val="clear" w:color="000000" w:fill="D99594"/>
            <w:noWrap/>
            <w:vAlign w:val="center"/>
            <w:hideMark/>
          </w:tcPr>
          <w:p w:rsidR="008E0F00" w:rsidRPr="008E0F00" w:rsidRDefault="008E0F00" w:rsidP="008E0F00">
            <w:pPr>
              <w:spacing w:after="0" w:line="240" w:lineRule="auto"/>
              <w:jc w:val="center"/>
              <w:rPr>
                <w:rFonts w:ascii="Calibri" w:eastAsia="Times New Roman" w:hAnsi="Calibri" w:cs="Times New Roman"/>
                <w:color w:val="000000"/>
                <w:lang w:val="de-DE" w:eastAsia="de-DE"/>
              </w:rPr>
            </w:pPr>
            <w:r w:rsidRPr="008E0F00">
              <w:rPr>
                <w:rFonts w:ascii="Calibri" w:eastAsia="Times New Roman" w:hAnsi="Calibri" w:cs="Times New Roman"/>
                <w:color w:val="000000"/>
                <w:lang w:val="de-DE" w:eastAsia="de-DE"/>
              </w:rPr>
              <w:t>5-20</w:t>
            </w:r>
          </w:p>
        </w:tc>
        <w:tc>
          <w:tcPr>
            <w:tcW w:w="1200" w:type="dxa"/>
            <w:tcBorders>
              <w:top w:val="single" w:sz="8" w:space="0" w:color="auto"/>
              <w:left w:val="nil"/>
              <w:bottom w:val="single" w:sz="8" w:space="0" w:color="auto"/>
              <w:right w:val="single" w:sz="8" w:space="0" w:color="auto"/>
            </w:tcBorders>
            <w:shd w:val="clear" w:color="000000" w:fill="E5B8B7"/>
            <w:noWrap/>
            <w:vAlign w:val="center"/>
            <w:hideMark/>
          </w:tcPr>
          <w:p w:rsidR="008E0F00" w:rsidRPr="008E0F00" w:rsidRDefault="008E0F00" w:rsidP="008E0F00">
            <w:pPr>
              <w:spacing w:after="0" w:line="240" w:lineRule="auto"/>
              <w:jc w:val="center"/>
              <w:rPr>
                <w:rFonts w:ascii="Calibri" w:eastAsia="Times New Roman" w:hAnsi="Calibri" w:cs="Times New Roman"/>
                <w:color w:val="000000"/>
                <w:lang w:val="de-DE" w:eastAsia="de-DE"/>
              </w:rPr>
            </w:pPr>
            <w:r w:rsidRPr="008E0F00">
              <w:rPr>
                <w:rFonts w:ascii="Calibri" w:eastAsia="Times New Roman" w:hAnsi="Calibri" w:cs="Times New Roman"/>
                <w:color w:val="000000"/>
                <w:lang w:val="de-DE" w:eastAsia="de-DE"/>
              </w:rPr>
              <w:t>3-5</w:t>
            </w:r>
          </w:p>
        </w:tc>
        <w:tc>
          <w:tcPr>
            <w:tcW w:w="1140" w:type="dxa"/>
            <w:tcBorders>
              <w:top w:val="single" w:sz="8" w:space="0" w:color="auto"/>
              <w:left w:val="nil"/>
              <w:bottom w:val="single" w:sz="8" w:space="0" w:color="auto"/>
              <w:right w:val="single" w:sz="8" w:space="0" w:color="auto"/>
            </w:tcBorders>
            <w:shd w:val="clear" w:color="000000" w:fill="F2DBDB"/>
            <w:noWrap/>
            <w:vAlign w:val="center"/>
            <w:hideMark/>
          </w:tcPr>
          <w:p w:rsidR="008E0F00" w:rsidRPr="008E0F00" w:rsidRDefault="008E0F00" w:rsidP="008E0F00">
            <w:pPr>
              <w:spacing w:after="0" w:line="240" w:lineRule="auto"/>
              <w:jc w:val="center"/>
              <w:rPr>
                <w:rFonts w:ascii="Calibri" w:eastAsia="Times New Roman" w:hAnsi="Calibri" w:cs="Times New Roman"/>
                <w:color w:val="000000"/>
                <w:lang w:val="de-DE" w:eastAsia="de-DE"/>
              </w:rPr>
            </w:pPr>
            <w:r w:rsidRPr="008E0F00">
              <w:rPr>
                <w:rFonts w:ascii="Calibri" w:eastAsia="Times New Roman" w:hAnsi="Calibri" w:cs="Times New Roman"/>
                <w:color w:val="000000"/>
                <w:lang w:val="de-DE" w:eastAsia="de-DE"/>
              </w:rPr>
              <w:t>1.6-3</w:t>
            </w:r>
          </w:p>
        </w:tc>
        <w:tc>
          <w:tcPr>
            <w:tcW w:w="1020" w:type="dxa"/>
            <w:tcBorders>
              <w:top w:val="single" w:sz="8" w:space="0" w:color="auto"/>
              <w:left w:val="nil"/>
              <w:bottom w:val="single" w:sz="8" w:space="0" w:color="auto"/>
              <w:right w:val="single" w:sz="8" w:space="0" w:color="auto"/>
            </w:tcBorders>
            <w:shd w:val="clear" w:color="000000" w:fill="D6E3BC"/>
            <w:noWrap/>
            <w:vAlign w:val="center"/>
            <w:hideMark/>
          </w:tcPr>
          <w:p w:rsidR="008E0F00" w:rsidRPr="008E0F00" w:rsidRDefault="008E0F00" w:rsidP="008E0F00">
            <w:pPr>
              <w:spacing w:after="0" w:line="240" w:lineRule="auto"/>
              <w:jc w:val="center"/>
              <w:rPr>
                <w:rFonts w:ascii="Calibri" w:eastAsia="Times New Roman" w:hAnsi="Calibri" w:cs="Times New Roman"/>
                <w:color w:val="000000"/>
                <w:lang w:val="de-DE" w:eastAsia="de-DE"/>
              </w:rPr>
            </w:pPr>
            <w:r w:rsidRPr="008E0F00">
              <w:rPr>
                <w:rFonts w:ascii="Calibri" w:eastAsia="Times New Roman" w:hAnsi="Calibri" w:cs="Times New Roman"/>
                <w:color w:val="000000"/>
                <w:lang w:val="de-DE" w:eastAsia="de-DE"/>
              </w:rPr>
              <w:t>0.5-0.8</w:t>
            </w:r>
          </w:p>
        </w:tc>
        <w:tc>
          <w:tcPr>
            <w:tcW w:w="1020" w:type="dxa"/>
            <w:tcBorders>
              <w:top w:val="single" w:sz="8" w:space="0" w:color="auto"/>
              <w:left w:val="nil"/>
              <w:bottom w:val="single" w:sz="8" w:space="0" w:color="auto"/>
              <w:right w:val="single" w:sz="8" w:space="0" w:color="auto"/>
            </w:tcBorders>
            <w:shd w:val="clear" w:color="000000" w:fill="76923C"/>
            <w:noWrap/>
            <w:vAlign w:val="center"/>
            <w:hideMark/>
          </w:tcPr>
          <w:p w:rsidR="008E0F00" w:rsidRPr="008E0F00" w:rsidRDefault="008E0F00" w:rsidP="008E0F00">
            <w:pPr>
              <w:spacing w:after="0" w:line="240" w:lineRule="auto"/>
              <w:jc w:val="center"/>
              <w:rPr>
                <w:rFonts w:ascii="Calibri" w:eastAsia="Times New Roman" w:hAnsi="Calibri" w:cs="Times New Roman"/>
                <w:color w:val="000000"/>
                <w:lang w:val="de-DE" w:eastAsia="de-DE"/>
              </w:rPr>
            </w:pPr>
            <w:r w:rsidRPr="008E0F00">
              <w:rPr>
                <w:rFonts w:ascii="Calibri" w:eastAsia="Times New Roman" w:hAnsi="Calibri" w:cs="Times New Roman"/>
                <w:color w:val="000000"/>
                <w:lang w:val="de-DE" w:eastAsia="de-DE"/>
              </w:rPr>
              <w:t>≤ 0.5</w:t>
            </w:r>
            <w:r w:rsidRPr="008E0F00">
              <w:rPr>
                <w:rFonts w:ascii="Arial" w:eastAsia="Times New Roman" w:hAnsi="Arial" w:cs="Arial"/>
                <w:color w:val="000000"/>
                <w:sz w:val="16"/>
                <w:szCs w:val="16"/>
                <w:lang w:val="de-DE" w:eastAsia="de-DE"/>
              </w:rPr>
              <w:t> </w:t>
            </w:r>
          </w:p>
        </w:tc>
        <w:tc>
          <w:tcPr>
            <w:tcW w:w="1140" w:type="dxa"/>
            <w:tcBorders>
              <w:top w:val="nil"/>
              <w:left w:val="nil"/>
              <w:bottom w:val="nil"/>
              <w:right w:val="nil"/>
            </w:tcBorders>
            <w:shd w:val="clear" w:color="auto" w:fill="auto"/>
            <w:noWrap/>
            <w:vAlign w:val="bottom"/>
            <w:hideMark/>
          </w:tcPr>
          <w:p w:rsidR="008E0F00" w:rsidRPr="008E0F00" w:rsidRDefault="008E0F00" w:rsidP="008E0F00">
            <w:pPr>
              <w:spacing w:after="0" w:line="240" w:lineRule="auto"/>
              <w:rPr>
                <w:rFonts w:ascii="Calibri" w:eastAsia="Times New Roman" w:hAnsi="Calibri" w:cs="Times New Roman"/>
                <w:color w:val="000000"/>
                <w:lang w:val="de-DE" w:eastAsia="de-DE"/>
              </w:rPr>
            </w:pPr>
          </w:p>
        </w:tc>
        <w:tc>
          <w:tcPr>
            <w:tcW w:w="1120" w:type="dxa"/>
            <w:tcBorders>
              <w:top w:val="nil"/>
              <w:left w:val="nil"/>
              <w:bottom w:val="nil"/>
              <w:right w:val="nil"/>
            </w:tcBorders>
            <w:shd w:val="clear" w:color="auto" w:fill="auto"/>
            <w:noWrap/>
            <w:vAlign w:val="bottom"/>
            <w:hideMark/>
          </w:tcPr>
          <w:p w:rsidR="008E0F00" w:rsidRPr="008E0F00" w:rsidRDefault="008E0F00" w:rsidP="008E0F00">
            <w:pPr>
              <w:spacing w:after="0" w:line="240" w:lineRule="auto"/>
              <w:rPr>
                <w:rFonts w:ascii="Calibri" w:eastAsia="Times New Roman" w:hAnsi="Calibri" w:cs="Times New Roman"/>
                <w:color w:val="000000"/>
                <w:lang w:val="de-DE" w:eastAsia="de-DE"/>
              </w:rPr>
            </w:pPr>
          </w:p>
        </w:tc>
        <w:tc>
          <w:tcPr>
            <w:tcW w:w="840" w:type="dxa"/>
            <w:tcBorders>
              <w:top w:val="nil"/>
              <w:left w:val="nil"/>
              <w:bottom w:val="nil"/>
              <w:right w:val="nil"/>
            </w:tcBorders>
            <w:shd w:val="clear" w:color="auto" w:fill="auto"/>
            <w:noWrap/>
            <w:vAlign w:val="bottom"/>
            <w:hideMark/>
          </w:tcPr>
          <w:p w:rsidR="008E0F00" w:rsidRPr="008E0F00" w:rsidRDefault="008E0F00" w:rsidP="008E0F00">
            <w:pPr>
              <w:spacing w:after="0" w:line="240" w:lineRule="auto"/>
              <w:rPr>
                <w:rFonts w:ascii="Calibri" w:eastAsia="Times New Roman" w:hAnsi="Calibri" w:cs="Times New Roman"/>
                <w:color w:val="000000"/>
                <w:lang w:val="de-DE" w:eastAsia="de-DE"/>
              </w:rPr>
            </w:pPr>
          </w:p>
        </w:tc>
      </w:tr>
    </w:tbl>
    <w:p w:rsidR="00405A4F" w:rsidRDefault="00405A4F" w:rsidP="00C43B7C">
      <w:pPr>
        <w:spacing w:line="360" w:lineRule="auto"/>
        <w:jc w:val="both"/>
        <w:rPr>
          <w:b/>
          <w:sz w:val="16"/>
          <w:szCs w:val="16"/>
        </w:rPr>
      </w:pPr>
    </w:p>
    <w:p w:rsidR="008255C2" w:rsidRDefault="008255C2" w:rsidP="00C43B7C">
      <w:pPr>
        <w:spacing w:line="360" w:lineRule="auto"/>
        <w:jc w:val="both"/>
        <w:rPr>
          <w:b/>
          <w:sz w:val="16"/>
          <w:szCs w:val="16"/>
        </w:rPr>
      </w:pPr>
    </w:p>
    <w:p w:rsidR="008255C2" w:rsidRDefault="008255C2" w:rsidP="00C43B7C">
      <w:pPr>
        <w:spacing w:line="360" w:lineRule="auto"/>
        <w:jc w:val="both"/>
        <w:rPr>
          <w:b/>
          <w:sz w:val="16"/>
          <w:szCs w:val="16"/>
        </w:rPr>
      </w:pPr>
    </w:p>
    <w:p w:rsidR="008255C2" w:rsidRDefault="008255C2" w:rsidP="00C43B7C">
      <w:pPr>
        <w:spacing w:line="360" w:lineRule="auto"/>
        <w:jc w:val="both"/>
        <w:rPr>
          <w:b/>
          <w:sz w:val="16"/>
          <w:szCs w:val="16"/>
        </w:rPr>
      </w:pPr>
    </w:p>
    <w:p w:rsidR="008255C2" w:rsidRDefault="008255C2" w:rsidP="008255C2">
      <w:pPr>
        <w:spacing w:after="0" w:line="360" w:lineRule="auto"/>
        <w:jc w:val="both"/>
        <w:rPr>
          <w:b/>
          <w:sz w:val="16"/>
          <w:szCs w:val="16"/>
        </w:rPr>
      </w:pPr>
    </w:p>
    <w:p w:rsidR="00E03603" w:rsidRPr="006E436D" w:rsidRDefault="00E03603" w:rsidP="009A36CA">
      <w:pPr>
        <w:pStyle w:val="Beschriftung"/>
        <w:keepNext/>
        <w:spacing w:after="0" w:line="360" w:lineRule="auto"/>
        <w:jc w:val="both"/>
        <w:rPr>
          <w:color w:val="auto"/>
        </w:rPr>
      </w:pPr>
      <w:bookmarkStart w:id="107" w:name="_Toc419386448"/>
      <w:proofErr w:type="gramStart"/>
      <w:r w:rsidRPr="006E436D">
        <w:rPr>
          <w:color w:val="auto"/>
        </w:rPr>
        <w:t xml:space="preserve">Table </w:t>
      </w:r>
      <w:r w:rsidRPr="006E436D">
        <w:rPr>
          <w:color w:val="auto"/>
        </w:rPr>
        <w:fldChar w:fldCharType="begin"/>
      </w:r>
      <w:r w:rsidRPr="006E436D">
        <w:rPr>
          <w:color w:val="auto"/>
        </w:rPr>
        <w:instrText xml:space="preserve"> SEQ Table \* ARABIC </w:instrText>
      </w:r>
      <w:r w:rsidRPr="006E436D">
        <w:rPr>
          <w:color w:val="auto"/>
        </w:rPr>
        <w:fldChar w:fldCharType="separate"/>
      </w:r>
      <w:r w:rsidR="00CB17FE">
        <w:rPr>
          <w:noProof/>
          <w:color w:val="auto"/>
        </w:rPr>
        <w:t>4</w:t>
      </w:r>
      <w:r w:rsidRPr="006E436D">
        <w:rPr>
          <w:color w:val="auto"/>
        </w:rPr>
        <w:fldChar w:fldCharType="end"/>
      </w:r>
      <w:r w:rsidR="006C6340">
        <w:rPr>
          <w:color w:val="auto"/>
        </w:rPr>
        <w:t>.</w:t>
      </w:r>
      <w:proofErr w:type="gramEnd"/>
      <w:r w:rsidRPr="006E436D">
        <w:rPr>
          <w:color w:val="auto"/>
        </w:rPr>
        <w:t xml:space="preserve"> </w:t>
      </w:r>
      <w:proofErr w:type="gramStart"/>
      <w:r w:rsidRPr="006E436D">
        <w:rPr>
          <w:color w:val="auto"/>
        </w:rPr>
        <w:t xml:space="preserve">Comparison of amino acid accumulation in </w:t>
      </w:r>
      <w:r w:rsidRPr="006E436D">
        <w:rPr>
          <w:i/>
          <w:color w:val="auto"/>
        </w:rPr>
        <w:t>Arabidopsis</w:t>
      </w:r>
      <w:r w:rsidRPr="006E436D">
        <w:rPr>
          <w:color w:val="auto"/>
        </w:rPr>
        <w:t xml:space="preserve"> after infection with different pathogens.</w:t>
      </w:r>
      <w:bookmarkEnd w:id="107"/>
      <w:proofErr w:type="gramEnd"/>
      <w:r w:rsidRPr="006E436D">
        <w:rPr>
          <w:color w:val="auto"/>
        </w:rPr>
        <w:t xml:space="preserve"> </w:t>
      </w:r>
    </w:p>
    <w:p w:rsidR="00E03603" w:rsidRPr="006E436D" w:rsidRDefault="00E03603" w:rsidP="00E03603">
      <w:pPr>
        <w:pStyle w:val="Beschriftung"/>
        <w:keepNext/>
        <w:jc w:val="both"/>
        <w:rPr>
          <w:b w:val="0"/>
          <w:color w:val="auto"/>
        </w:rPr>
      </w:pPr>
      <w:r w:rsidRPr="006E436D">
        <w:rPr>
          <w:b w:val="0"/>
          <w:color w:val="auto"/>
        </w:rPr>
        <w:t xml:space="preserve">Amino acid accumulation in </w:t>
      </w:r>
      <w:r w:rsidRPr="006E436D">
        <w:rPr>
          <w:b w:val="0"/>
          <w:i/>
          <w:color w:val="auto"/>
        </w:rPr>
        <w:t>A.</w:t>
      </w:r>
      <w:r w:rsidR="009A36CA">
        <w:rPr>
          <w:b w:val="0"/>
          <w:i/>
          <w:color w:val="auto"/>
        </w:rPr>
        <w:t xml:space="preserve"> </w:t>
      </w:r>
      <w:r w:rsidRPr="006E436D">
        <w:rPr>
          <w:b w:val="0"/>
          <w:i/>
          <w:color w:val="auto"/>
        </w:rPr>
        <w:t>thaliana</w:t>
      </w:r>
      <w:r w:rsidRPr="006E436D">
        <w:rPr>
          <w:b w:val="0"/>
          <w:color w:val="auto"/>
        </w:rPr>
        <w:t xml:space="preserve"> after infection with </w:t>
      </w:r>
      <w:r w:rsidR="00C62CAF" w:rsidRPr="006E436D">
        <w:rPr>
          <w:b w:val="0"/>
          <w:i/>
          <w:color w:val="auto"/>
        </w:rPr>
        <w:t>P.</w:t>
      </w:r>
      <w:r w:rsidR="009A36CA">
        <w:rPr>
          <w:b w:val="0"/>
          <w:i/>
          <w:color w:val="auto"/>
        </w:rPr>
        <w:t xml:space="preserve"> </w:t>
      </w:r>
      <w:r w:rsidR="00C62CAF" w:rsidRPr="006E436D">
        <w:rPr>
          <w:b w:val="0"/>
          <w:i/>
          <w:color w:val="auto"/>
        </w:rPr>
        <w:t>syringae</w:t>
      </w:r>
      <w:r w:rsidRPr="006E436D">
        <w:rPr>
          <w:b w:val="0"/>
          <w:i/>
          <w:color w:val="auto"/>
        </w:rPr>
        <w:t>, B.</w:t>
      </w:r>
      <w:r w:rsidR="009A36CA">
        <w:rPr>
          <w:b w:val="0"/>
          <w:i/>
          <w:color w:val="auto"/>
        </w:rPr>
        <w:t xml:space="preserve"> </w:t>
      </w:r>
      <w:r w:rsidRPr="006E436D">
        <w:rPr>
          <w:b w:val="0"/>
          <w:i/>
          <w:color w:val="auto"/>
        </w:rPr>
        <w:t>cinerea, H.</w:t>
      </w:r>
      <w:r w:rsidR="009A36CA">
        <w:rPr>
          <w:b w:val="0"/>
          <w:i/>
          <w:color w:val="auto"/>
        </w:rPr>
        <w:t xml:space="preserve"> </w:t>
      </w:r>
      <w:r w:rsidRPr="006E436D">
        <w:rPr>
          <w:b w:val="0"/>
          <w:i/>
          <w:color w:val="auto"/>
        </w:rPr>
        <w:t>arabidopsidis</w:t>
      </w:r>
      <w:r w:rsidRPr="006E436D">
        <w:rPr>
          <w:b w:val="0"/>
          <w:color w:val="auto"/>
        </w:rPr>
        <w:t xml:space="preserve">, and </w:t>
      </w:r>
      <w:r w:rsidRPr="006E436D">
        <w:rPr>
          <w:b w:val="0"/>
          <w:i/>
          <w:color w:val="auto"/>
        </w:rPr>
        <w:t>G.</w:t>
      </w:r>
      <w:r w:rsidR="009A36CA">
        <w:rPr>
          <w:b w:val="0"/>
          <w:i/>
          <w:color w:val="auto"/>
        </w:rPr>
        <w:t xml:space="preserve"> </w:t>
      </w:r>
      <w:r w:rsidRPr="006E436D">
        <w:rPr>
          <w:b w:val="0"/>
          <w:i/>
          <w:color w:val="auto"/>
        </w:rPr>
        <w:t>orontii</w:t>
      </w:r>
      <w:r w:rsidRPr="006E436D">
        <w:rPr>
          <w:b w:val="0"/>
          <w:color w:val="auto"/>
        </w:rPr>
        <w:t xml:space="preserve"> was analysed and fold-change ratio for each metabolite determined. Significant statistical differences between non-infected and infected plants are marked by asterisks (two-tailed t test; *, P&lt; 0.05; **, P&lt; 0.01; ***, P&lt; 0.001). SM, Sabour &amp; Maltose medium; </w:t>
      </w:r>
      <w:proofErr w:type="gramStart"/>
      <w:r w:rsidRPr="006E436D">
        <w:rPr>
          <w:b w:val="0"/>
          <w:color w:val="auto"/>
        </w:rPr>
        <w:t>nt</w:t>
      </w:r>
      <w:proofErr w:type="gramEnd"/>
      <w:r w:rsidRPr="006E436D">
        <w:rPr>
          <w:b w:val="0"/>
          <w:color w:val="auto"/>
        </w:rPr>
        <w:t>, not treated; FW, fresh weight.</w:t>
      </w:r>
    </w:p>
    <w:tbl>
      <w:tblPr>
        <w:tblW w:w="14912" w:type="dxa"/>
        <w:tblInd w:w="55" w:type="dxa"/>
        <w:tblCellMar>
          <w:left w:w="70" w:type="dxa"/>
          <w:right w:w="70" w:type="dxa"/>
        </w:tblCellMar>
        <w:tblLook w:val="04A0" w:firstRow="1" w:lastRow="0" w:firstColumn="1" w:lastColumn="0" w:noHBand="0" w:noVBand="1"/>
      </w:tblPr>
      <w:tblGrid>
        <w:gridCol w:w="1012"/>
        <w:gridCol w:w="1240"/>
        <w:gridCol w:w="1320"/>
        <w:gridCol w:w="979"/>
        <w:gridCol w:w="1241"/>
        <w:gridCol w:w="1120"/>
        <w:gridCol w:w="1020"/>
        <w:gridCol w:w="1260"/>
        <w:gridCol w:w="1220"/>
        <w:gridCol w:w="1060"/>
        <w:gridCol w:w="1220"/>
        <w:gridCol w:w="1120"/>
        <w:gridCol w:w="1100"/>
      </w:tblGrid>
      <w:tr w:rsidR="009C6966" w:rsidRPr="009C6966" w:rsidTr="009A36CA">
        <w:trPr>
          <w:trHeight w:val="615"/>
        </w:trPr>
        <w:tc>
          <w:tcPr>
            <w:tcW w:w="1012" w:type="dxa"/>
            <w:tcBorders>
              <w:top w:val="single" w:sz="4" w:space="0" w:color="auto"/>
              <w:left w:val="single" w:sz="4" w:space="0" w:color="auto"/>
              <w:bottom w:val="single" w:sz="4" w:space="0" w:color="auto"/>
              <w:right w:val="single" w:sz="4" w:space="0" w:color="auto"/>
            </w:tcBorders>
            <w:shd w:val="clear" w:color="auto" w:fill="auto"/>
            <w:hideMark/>
          </w:tcPr>
          <w:p w:rsidR="009C6966" w:rsidRPr="009C6966" w:rsidRDefault="009C6966" w:rsidP="009C6966">
            <w:pPr>
              <w:spacing w:after="0" w:line="240" w:lineRule="auto"/>
              <w:rPr>
                <w:rFonts w:ascii="Calibri" w:eastAsia="Times New Roman" w:hAnsi="Calibri" w:cs="Times New Roman"/>
                <w:b/>
                <w:bCs/>
                <w:color w:val="000000"/>
                <w:lang w:val="de-DE" w:eastAsia="de-DE"/>
              </w:rPr>
            </w:pPr>
            <w:r w:rsidRPr="009C6966">
              <w:rPr>
                <w:rFonts w:ascii="Calibri" w:eastAsia="Times New Roman" w:hAnsi="Calibri" w:cs="Times New Roman"/>
                <w:b/>
                <w:bCs/>
                <w:color w:val="000000"/>
                <w:lang w:val="de-DE" w:eastAsia="de-DE"/>
              </w:rPr>
              <w:t>Pathogen</w:t>
            </w:r>
          </w:p>
        </w:tc>
        <w:tc>
          <w:tcPr>
            <w:tcW w:w="3539" w:type="dxa"/>
            <w:gridSpan w:val="3"/>
            <w:tcBorders>
              <w:top w:val="single" w:sz="4" w:space="0" w:color="auto"/>
              <w:left w:val="nil"/>
              <w:bottom w:val="single" w:sz="4" w:space="0" w:color="000000"/>
              <w:right w:val="single" w:sz="4" w:space="0" w:color="auto"/>
            </w:tcBorders>
            <w:shd w:val="clear" w:color="auto" w:fill="auto"/>
            <w:vAlign w:val="bottom"/>
            <w:hideMark/>
          </w:tcPr>
          <w:p w:rsidR="009C6966" w:rsidRPr="009C6966" w:rsidRDefault="009C6966" w:rsidP="009C6966">
            <w:pPr>
              <w:spacing w:after="0" w:line="240" w:lineRule="auto"/>
              <w:jc w:val="center"/>
              <w:rPr>
                <w:rFonts w:ascii="Calibri" w:eastAsia="Times New Roman" w:hAnsi="Calibri" w:cs="Times New Roman"/>
                <w:b/>
                <w:bCs/>
                <w:color w:val="000000"/>
                <w:lang w:val="de-DE" w:eastAsia="de-DE"/>
              </w:rPr>
            </w:pPr>
            <w:r w:rsidRPr="009C6966">
              <w:rPr>
                <w:rFonts w:ascii="Calibri" w:eastAsia="Times New Roman" w:hAnsi="Calibri" w:cs="Times New Roman"/>
                <w:b/>
                <w:bCs/>
                <w:i/>
                <w:iCs/>
                <w:color w:val="000000"/>
                <w:lang w:val="de-DE" w:eastAsia="de-DE"/>
              </w:rPr>
              <w:t>Psm</w:t>
            </w:r>
            <w:r w:rsidR="00A60C41">
              <w:rPr>
                <w:rFonts w:ascii="Calibri" w:eastAsia="Times New Roman" w:hAnsi="Calibri" w:cs="Times New Roman"/>
                <w:b/>
                <w:bCs/>
                <w:color w:val="000000"/>
                <w:lang w:val="de-DE" w:eastAsia="de-DE"/>
              </w:rPr>
              <w:t>-</w:t>
            </w:r>
            <w:r w:rsidRPr="009C6966">
              <w:rPr>
                <w:rFonts w:ascii="Calibri" w:eastAsia="Times New Roman" w:hAnsi="Calibri" w:cs="Times New Roman"/>
                <w:b/>
                <w:bCs/>
                <w:color w:val="000000"/>
                <w:lang w:val="de-DE" w:eastAsia="de-DE"/>
              </w:rPr>
              <w:t>inoculated leaves (2 dpi)</w:t>
            </w:r>
          </w:p>
        </w:tc>
        <w:tc>
          <w:tcPr>
            <w:tcW w:w="3381" w:type="dxa"/>
            <w:gridSpan w:val="3"/>
            <w:tcBorders>
              <w:top w:val="single" w:sz="4" w:space="0" w:color="auto"/>
              <w:left w:val="nil"/>
              <w:bottom w:val="single" w:sz="4" w:space="0" w:color="000000"/>
              <w:right w:val="single" w:sz="4" w:space="0" w:color="auto"/>
            </w:tcBorders>
            <w:shd w:val="clear" w:color="auto" w:fill="auto"/>
            <w:vAlign w:val="bottom"/>
            <w:hideMark/>
          </w:tcPr>
          <w:p w:rsidR="009C6966" w:rsidRPr="009C6966" w:rsidRDefault="009C6966" w:rsidP="009C6966">
            <w:pPr>
              <w:spacing w:after="0" w:line="240" w:lineRule="auto"/>
              <w:jc w:val="center"/>
              <w:rPr>
                <w:rFonts w:ascii="Calibri" w:eastAsia="Times New Roman" w:hAnsi="Calibri" w:cs="Times New Roman"/>
                <w:b/>
                <w:bCs/>
                <w:color w:val="000000"/>
                <w:lang w:val="en-US" w:eastAsia="de-DE"/>
              </w:rPr>
            </w:pPr>
            <w:r w:rsidRPr="009C6966">
              <w:rPr>
                <w:rFonts w:ascii="Calibri" w:eastAsia="Times New Roman" w:hAnsi="Calibri" w:cs="Times New Roman"/>
                <w:b/>
                <w:bCs/>
                <w:i/>
                <w:iCs/>
                <w:color w:val="000000"/>
                <w:lang w:val="en-US" w:eastAsia="de-DE"/>
              </w:rPr>
              <w:t>B.</w:t>
            </w:r>
            <w:r w:rsidR="009A36CA">
              <w:rPr>
                <w:rFonts w:ascii="Calibri" w:eastAsia="Times New Roman" w:hAnsi="Calibri" w:cs="Times New Roman"/>
                <w:b/>
                <w:bCs/>
                <w:i/>
                <w:iCs/>
                <w:color w:val="000000"/>
                <w:lang w:val="en-US" w:eastAsia="de-DE"/>
              </w:rPr>
              <w:t xml:space="preserve"> </w:t>
            </w:r>
            <w:r w:rsidRPr="009C6966">
              <w:rPr>
                <w:rFonts w:ascii="Calibri" w:eastAsia="Times New Roman" w:hAnsi="Calibri" w:cs="Times New Roman"/>
                <w:b/>
                <w:bCs/>
                <w:i/>
                <w:iCs/>
                <w:color w:val="000000"/>
                <w:lang w:val="en-US" w:eastAsia="de-DE"/>
              </w:rPr>
              <w:t>cinerea</w:t>
            </w:r>
            <w:r w:rsidR="00A60C41">
              <w:rPr>
                <w:rFonts w:ascii="Calibri" w:eastAsia="Times New Roman" w:hAnsi="Calibri" w:cs="Times New Roman"/>
                <w:b/>
                <w:bCs/>
                <w:color w:val="000000"/>
                <w:lang w:val="en-US" w:eastAsia="de-DE"/>
              </w:rPr>
              <w:t>-</w:t>
            </w:r>
            <w:r w:rsidRPr="009C6966">
              <w:rPr>
                <w:rFonts w:ascii="Calibri" w:eastAsia="Times New Roman" w:hAnsi="Calibri" w:cs="Times New Roman"/>
                <w:b/>
                <w:bCs/>
                <w:color w:val="000000"/>
                <w:lang w:val="en-US" w:eastAsia="de-DE"/>
              </w:rPr>
              <w:t>inoculated leaves (3 dpi)</w:t>
            </w:r>
          </w:p>
        </w:tc>
        <w:tc>
          <w:tcPr>
            <w:tcW w:w="3540" w:type="dxa"/>
            <w:gridSpan w:val="3"/>
            <w:tcBorders>
              <w:top w:val="single" w:sz="4" w:space="0" w:color="auto"/>
              <w:left w:val="nil"/>
              <w:bottom w:val="single" w:sz="4" w:space="0" w:color="000000"/>
              <w:right w:val="single" w:sz="4" w:space="0" w:color="auto"/>
            </w:tcBorders>
            <w:shd w:val="clear" w:color="auto" w:fill="auto"/>
            <w:vAlign w:val="bottom"/>
            <w:hideMark/>
          </w:tcPr>
          <w:p w:rsidR="009C6966" w:rsidRPr="009C6966" w:rsidRDefault="009C6966" w:rsidP="009C6966">
            <w:pPr>
              <w:spacing w:after="0" w:line="240" w:lineRule="auto"/>
              <w:jc w:val="center"/>
              <w:rPr>
                <w:rFonts w:ascii="Calibri" w:eastAsia="Times New Roman" w:hAnsi="Calibri" w:cs="Times New Roman"/>
                <w:b/>
                <w:bCs/>
                <w:color w:val="000000"/>
                <w:lang w:val="en-US" w:eastAsia="de-DE"/>
              </w:rPr>
            </w:pPr>
            <w:r w:rsidRPr="009C6966">
              <w:rPr>
                <w:rFonts w:ascii="Calibri" w:eastAsia="Times New Roman" w:hAnsi="Calibri" w:cs="Times New Roman"/>
                <w:b/>
                <w:bCs/>
                <w:i/>
                <w:iCs/>
                <w:color w:val="000000"/>
                <w:lang w:val="en-US" w:eastAsia="de-DE"/>
              </w:rPr>
              <w:t>Hpa</w:t>
            </w:r>
            <w:r w:rsidRPr="009C6966">
              <w:rPr>
                <w:rFonts w:ascii="Calibri" w:eastAsia="Times New Roman" w:hAnsi="Calibri" w:cs="Times New Roman"/>
                <w:b/>
                <w:bCs/>
                <w:color w:val="000000"/>
                <w:lang w:val="en-US" w:eastAsia="de-DE"/>
              </w:rPr>
              <w:t xml:space="preserve"> </w:t>
            </w:r>
            <w:r w:rsidR="00A60C41">
              <w:rPr>
                <w:rFonts w:ascii="Calibri" w:eastAsia="Times New Roman" w:hAnsi="Calibri" w:cs="Times New Roman"/>
                <w:b/>
                <w:bCs/>
                <w:color w:val="000000"/>
                <w:lang w:val="en-US" w:eastAsia="de-DE"/>
              </w:rPr>
              <w:t>Noco2-</w:t>
            </w:r>
            <w:r w:rsidRPr="009C6966">
              <w:rPr>
                <w:rFonts w:ascii="Calibri" w:eastAsia="Times New Roman" w:hAnsi="Calibri" w:cs="Times New Roman"/>
                <w:b/>
                <w:bCs/>
                <w:color w:val="000000"/>
                <w:lang w:val="en-US" w:eastAsia="de-DE"/>
              </w:rPr>
              <w:t>sprayed leaves (7 dpi)</w:t>
            </w:r>
          </w:p>
        </w:tc>
        <w:tc>
          <w:tcPr>
            <w:tcW w:w="3440" w:type="dxa"/>
            <w:gridSpan w:val="3"/>
            <w:tcBorders>
              <w:top w:val="single" w:sz="4" w:space="0" w:color="auto"/>
              <w:left w:val="nil"/>
              <w:bottom w:val="single" w:sz="4" w:space="0" w:color="000000"/>
              <w:right w:val="single" w:sz="4" w:space="0" w:color="auto"/>
            </w:tcBorders>
            <w:shd w:val="clear" w:color="auto" w:fill="auto"/>
            <w:vAlign w:val="bottom"/>
            <w:hideMark/>
          </w:tcPr>
          <w:p w:rsidR="009C6966" w:rsidRPr="009C6966" w:rsidRDefault="009C6966" w:rsidP="009C6966">
            <w:pPr>
              <w:spacing w:after="0" w:line="240" w:lineRule="auto"/>
              <w:jc w:val="center"/>
              <w:rPr>
                <w:rFonts w:ascii="Calibri" w:eastAsia="Times New Roman" w:hAnsi="Calibri" w:cs="Times New Roman"/>
                <w:b/>
                <w:bCs/>
                <w:color w:val="000000"/>
                <w:lang w:val="en-US" w:eastAsia="de-DE"/>
              </w:rPr>
            </w:pPr>
            <w:r w:rsidRPr="009C6966">
              <w:rPr>
                <w:rFonts w:ascii="Calibri" w:eastAsia="Times New Roman" w:hAnsi="Calibri" w:cs="Times New Roman"/>
                <w:b/>
                <w:bCs/>
                <w:i/>
                <w:iCs/>
                <w:color w:val="000000"/>
                <w:lang w:val="en-US" w:eastAsia="de-DE"/>
              </w:rPr>
              <w:t>G.</w:t>
            </w:r>
            <w:r w:rsidR="009A36CA">
              <w:rPr>
                <w:rFonts w:ascii="Calibri" w:eastAsia="Times New Roman" w:hAnsi="Calibri" w:cs="Times New Roman"/>
                <w:b/>
                <w:bCs/>
                <w:i/>
                <w:iCs/>
                <w:color w:val="000000"/>
                <w:lang w:val="en-US" w:eastAsia="de-DE"/>
              </w:rPr>
              <w:t xml:space="preserve"> </w:t>
            </w:r>
            <w:r w:rsidRPr="009C6966">
              <w:rPr>
                <w:rFonts w:ascii="Calibri" w:eastAsia="Times New Roman" w:hAnsi="Calibri" w:cs="Times New Roman"/>
                <w:b/>
                <w:bCs/>
                <w:i/>
                <w:iCs/>
                <w:color w:val="000000"/>
                <w:lang w:val="en-US" w:eastAsia="de-DE"/>
              </w:rPr>
              <w:t>orontii</w:t>
            </w:r>
            <w:r w:rsidR="00A60C41">
              <w:rPr>
                <w:rFonts w:ascii="Calibri" w:eastAsia="Times New Roman" w:hAnsi="Calibri" w:cs="Times New Roman"/>
                <w:b/>
                <w:bCs/>
                <w:color w:val="000000"/>
                <w:lang w:val="en-US" w:eastAsia="de-DE"/>
              </w:rPr>
              <w:t>-</w:t>
            </w:r>
            <w:r w:rsidRPr="009C6966">
              <w:rPr>
                <w:rFonts w:ascii="Calibri" w:eastAsia="Times New Roman" w:hAnsi="Calibri" w:cs="Times New Roman"/>
                <w:b/>
                <w:bCs/>
                <w:color w:val="000000"/>
                <w:lang w:val="en-US" w:eastAsia="de-DE"/>
              </w:rPr>
              <w:t>infected leaves (3 dpi)</w:t>
            </w:r>
          </w:p>
        </w:tc>
      </w:tr>
      <w:tr w:rsidR="009C6966" w:rsidRPr="009C6966" w:rsidTr="009A36CA">
        <w:trPr>
          <w:trHeight w:val="315"/>
        </w:trPr>
        <w:tc>
          <w:tcPr>
            <w:tcW w:w="1012" w:type="dxa"/>
            <w:vMerge w:val="restart"/>
            <w:tcBorders>
              <w:top w:val="nil"/>
              <w:left w:val="single" w:sz="4" w:space="0" w:color="auto"/>
              <w:bottom w:val="single" w:sz="4" w:space="0" w:color="auto"/>
              <w:right w:val="single" w:sz="4" w:space="0" w:color="auto"/>
            </w:tcBorders>
            <w:shd w:val="clear" w:color="auto" w:fill="auto"/>
            <w:vAlign w:val="bottom"/>
            <w:hideMark/>
          </w:tcPr>
          <w:p w:rsidR="009C6966" w:rsidRPr="009C6966" w:rsidRDefault="009C6966" w:rsidP="009C6966">
            <w:pPr>
              <w:spacing w:after="0" w:line="240" w:lineRule="auto"/>
              <w:rPr>
                <w:rFonts w:ascii="Calibri" w:eastAsia="Times New Roman" w:hAnsi="Calibri" w:cs="Times New Roman"/>
                <w:b/>
                <w:bCs/>
                <w:color w:val="000000"/>
                <w:lang w:val="de-DE" w:eastAsia="de-DE"/>
              </w:rPr>
            </w:pPr>
            <w:r w:rsidRPr="009C6966">
              <w:rPr>
                <w:rFonts w:ascii="Calibri" w:eastAsia="Times New Roman" w:hAnsi="Calibri" w:cs="Times New Roman"/>
                <w:b/>
                <w:bCs/>
                <w:color w:val="000000"/>
                <w:lang w:val="de-DE" w:eastAsia="de-DE"/>
              </w:rPr>
              <w:t>Amino acid</w:t>
            </w:r>
          </w:p>
        </w:tc>
        <w:tc>
          <w:tcPr>
            <w:tcW w:w="2560" w:type="dxa"/>
            <w:gridSpan w:val="2"/>
            <w:tcBorders>
              <w:top w:val="single" w:sz="4" w:space="0" w:color="auto"/>
              <w:left w:val="nil"/>
              <w:bottom w:val="nil"/>
              <w:right w:val="single" w:sz="4" w:space="0" w:color="000000"/>
            </w:tcBorders>
            <w:shd w:val="clear" w:color="auto" w:fill="auto"/>
            <w:vAlign w:val="bottom"/>
            <w:hideMark/>
          </w:tcPr>
          <w:p w:rsidR="009C6966" w:rsidRPr="009C6966" w:rsidRDefault="009C6966" w:rsidP="009C6966">
            <w:pPr>
              <w:spacing w:after="0" w:line="240" w:lineRule="auto"/>
              <w:jc w:val="center"/>
              <w:rPr>
                <w:rFonts w:ascii="Calibri" w:eastAsia="Times New Roman" w:hAnsi="Calibri" w:cs="Times New Roman"/>
                <w:b/>
                <w:bCs/>
                <w:color w:val="000000"/>
                <w:lang w:val="de-DE" w:eastAsia="de-DE"/>
              </w:rPr>
            </w:pPr>
            <w:r w:rsidRPr="009C6966">
              <w:rPr>
                <w:rFonts w:ascii="Calibri" w:eastAsia="Times New Roman" w:hAnsi="Calibri" w:cs="Times New Roman"/>
                <w:b/>
                <w:bCs/>
                <w:color w:val="000000"/>
                <w:lang w:val="de-DE" w:eastAsia="de-DE"/>
              </w:rPr>
              <w:t>µg g</w:t>
            </w:r>
            <w:r w:rsidRPr="009C6966">
              <w:rPr>
                <w:rFonts w:ascii="Calibri" w:eastAsia="Times New Roman" w:hAnsi="Calibri" w:cs="Times New Roman"/>
                <w:b/>
                <w:bCs/>
                <w:color w:val="000000"/>
                <w:vertAlign w:val="superscript"/>
                <w:lang w:val="de-DE" w:eastAsia="de-DE"/>
              </w:rPr>
              <w:t>-1</w:t>
            </w:r>
            <w:r w:rsidRPr="009C6966">
              <w:rPr>
                <w:rFonts w:ascii="Calibri" w:eastAsia="Times New Roman" w:hAnsi="Calibri" w:cs="Times New Roman"/>
                <w:b/>
                <w:bCs/>
                <w:color w:val="000000"/>
                <w:lang w:val="de-DE" w:eastAsia="de-DE"/>
              </w:rPr>
              <w:t xml:space="preserve"> FW</w:t>
            </w:r>
          </w:p>
        </w:tc>
        <w:tc>
          <w:tcPr>
            <w:tcW w:w="979" w:type="dxa"/>
            <w:vMerge w:val="restart"/>
            <w:tcBorders>
              <w:top w:val="nil"/>
              <w:left w:val="single" w:sz="4" w:space="0" w:color="auto"/>
              <w:bottom w:val="single" w:sz="4" w:space="0" w:color="000000"/>
              <w:right w:val="single" w:sz="4" w:space="0" w:color="auto"/>
            </w:tcBorders>
            <w:shd w:val="clear" w:color="auto" w:fill="auto"/>
            <w:vAlign w:val="center"/>
            <w:hideMark/>
          </w:tcPr>
          <w:p w:rsidR="009C6966" w:rsidRPr="009C6966" w:rsidRDefault="009C6966" w:rsidP="009C6966">
            <w:pPr>
              <w:spacing w:after="0" w:line="240" w:lineRule="auto"/>
              <w:jc w:val="center"/>
              <w:rPr>
                <w:rFonts w:ascii="Calibri" w:eastAsia="Times New Roman" w:hAnsi="Calibri" w:cs="Times New Roman"/>
                <w:b/>
                <w:bCs/>
                <w:color w:val="000000"/>
                <w:lang w:val="de-DE" w:eastAsia="de-DE"/>
              </w:rPr>
            </w:pPr>
            <w:r w:rsidRPr="009C6966">
              <w:rPr>
                <w:rFonts w:ascii="Calibri" w:eastAsia="Times New Roman" w:hAnsi="Calibri" w:cs="Times New Roman"/>
                <w:b/>
                <w:bCs/>
                <w:color w:val="000000"/>
                <w:lang w:val="de-DE" w:eastAsia="de-DE"/>
              </w:rPr>
              <w:t>ratio          P/M</w:t>
            </w:r>
          </w:p>
        </w:tc>
        <w:tc>
          <w:tcPr>
            <w:tcW w:w="2361" w:type="dxa"/>
            <w:gridSpan w:val="2"/>
            <w:tcBorders>
              <w:top w:val="single" w:sz="4" w:space="0" w:color="auto"/>
              <w:left w:val="nil"/>
              <w:bottom w:val="nil"/>
              <w:right w:val="single" w:sz="4" w:space="0" w:color="000000"/>
            </w:tcBorders>
            <w:shd w:val="clear" w:color="auto" w:fill="auto"/>
            <w:vAlign w:val="bottom"/>
            <w:hideMark/>
          </w:tcPr>
          <w:p w:rsidR="009C6966" w:rsidRPr="009C6966" w:rsidRDefault="009C6966" w:rsidP="009C6966">
            <w:pPr>
              <w:spacing w:after="0" w:line="240" w:lineRule="auto"/>
              <w:jc w:val="center"/>
              <w:rPr>
                <w:rFonts w:ascii="Calibri" w:eastAsia="Times New Roman" w:hAnsi="Calibri" w:cs="Times New Roman"/>
                <w:b/>
                <w:bCs/>
                <w:color w:val="000000"/>
                <w:lang w:val="de-DE" w:eastAsia="de-DE"/>
              </w:rPr>
            </w:pPr>
            <w:r w:rsidRPr="009C6966">
              <w:rPr>
                <w:rFonts w:ascii="Calibri" w:eastAsia="Times New Roman" w:hAnsi="Calibri" w:cs="Times New Roman"/>
                <w:b/>
                <w:bCs/>
                <w:color w:val="000000"/>
                <w:lang w:val="de-DE" w:eastAsia="de-DE"/>
              </w:rPr>
              <w:t>µg g</w:t>
            </w:r>
            <w:r w:rsidRPr="009C6966">
              <w:rPr>
                <w:rFonts w:ascii="Calibri" w:eastAsia="Times New Roman" w:hAnsi="Calibri" w:cs="Times New Roman"/>
                <w:b/>
                <w:bCs/>
                <w:color w:val="000000"/>
                <w:vertAlign w:val="superscript"/>
                <w:lang w:val="de-DE" w:eastAsia="de-DE"/>
              </w:rPr>
              <w:t>-1</w:t>
            </w:r>
            <w:r w:rsidRPr="009C6966">
              <w:rPr>
                <w:rFonts w:ascii="Calibri" w:eastAsia="Times New Roman" w:hAnsi="Calibri" w:cs="Times New Roman"/>
                <w:b/>
                <w:bCs/>
                <w:color w:val="000000"/>
                <w:lang w:val="de-DE" w:eastAsia="de-DE"/>
              </w:rPr>
              <w:t xml:space="preserve"> FW</w:t>
            </w:r>
          </w:p>
        </w:tc>
        <w:tc>
          <w:tcPr>
            <w:tcW w:w="1020" w:type="dxa"/>
            <w:vMerge w:val="restart"/>
            <w:tcBorders>
              <w:top w:val="nil"/>
              <w:left w:val="single" w:sz="4" w:space="0" w:color="auto"/>
              <w:bottom w:val="single" w:sz="4" w:space="0" w:color="000000"/>
              <w:right w:val="single" w:sz="4" w:space="0" w:color="auto"/>
            </w:tcBorders>
            <w:shd w:val="clear" w:color="auto" w:fill="auto"/>
            <w:vAlign w:val="center"/>
            <w:hideMark/>
          </w:tcPr>
          <w:p w:rsidR="009C6966" w:rsidRPr="009C6966" w:rsidRDefault="009C6966" w:rsidP="009C6966">
            <w:pPr>
              <w:spacing w:after="0" w:line="240" w:lineRule="auto"/>
              <w:jc w:val="center"/>
              <w:rPr>
                <w:rFonts w:ascii="Calibri" w:eastAsia="Times New Roman" w:hAnsi="Calibri" w:cs="Times New Roman"/>
                <w:b/>
                <w:bCs/>
                <w:color w:val="000000"/>
                <w:lang w:val="de-DE" w:eastAsia="de-DE"/>
              </w:rPr>
            </w:pPr>
            <w:r w:rsidRPr="009C6966">
              <w:rPr>
                <w:rFonts w:ascii="Calibri" w:eastAsia="Times New Roman" w:hAnsi="Calibri" w:cs="Times New Roman"/>
                <w:b/>
                <w:bCs/>
                <w:color w:val="000000"/>
                <w:lang w:val="de-DE" w:eastAsia="de-DE"/>
              </w:rPr>
              <w:t>ratio             PM</w:t>
            </w:r>
          </w:p>
        </w:tc>
        <w:tc>
          <w:tcPr>
            <w:tcW w:w="2480" w:type="dxa"/>
            <w:gridSpan w:val="2"/>
            <w:tcBorders>
              <w:top w:val="single" w:sz="4" w:space="0" w:color="auto"/>
              <w:left w:val="nil"/>
              <w:bottom w:val="nil"/>
              <w:right w:val="single" w:sz="4" w:space="0" w:color="000000"/>
            </w:tcBorders>
            <w:shd w:val="clear" w:color="auto" w:fill="auto"/>
            <w:vAlign w:val="bottom"/>
            <w:hideMark/>
          </w:tcPr>
          <w:p w:rsidR="009C6966" w:rsidRPr="009C6966" w:rsidRDefault="009C6966" w:rsidP="009C6966">
            <w:pPr>
              <w:spacing w:after="0" w:line="240" w:lineRule="auto"/>
              <w:jc w:val="center"/>
              <w:rPr>
                <w:rFonts w:ascii="Calibri" w:eastAsia="Times New Roman" w:hAnsi="Calibri" w:cs="Times New Roman"/>
                <w:b/>
                <w:bCs/>
                <w:color w:val="000000"/>
                <w:lang w:val="de-DE" w:eastAsia="de-DE"/>
              </w:rPr>
            </w:pPr>
            <w:r w:rsidRPr="009C6966">
              <w:rPr>
                <w:rFonts w:ascii="Calibri" w:eastAsia="Times New Roman" w:hAnsi="Calibri" w:cs="Times New Roman"/>
                <w:b/>
                <w:bCs/>
                <w:color w:val="000000"/>
                <w:lang w:val="de-DE" w:eastAsia="de-DE"/>
              </w:rPr>
              <w:t>µg g</w:t>
            </w:r>
            <w:r w:rsidRPr="009C6966">
              <w:rPr>
                <w:rFonts w:ascii="Calibri" w:eastAsia="Times New Roman" w:hAnsi="Calibri" w:cs="Times New Roman"/>
                <w:b/>
                <w:bCs/>
                <w:color w:val="000000"/>
                <w:vertAlign w:val="superscript"/>
                <w:lang w:val="de-DE" w:eastAsia="de-DE"/>
              </w:rPr>
              <w:t>-1</w:t>
            </w:r>
            <w:r w:rsidRPr="009C6966">
              <w:rPr>
                <w:rFonts w:ascii="Calibri" w:eastAsia="Times New Roman" w:hAnsi="Calibri" w:cs="Times New Roman"/>
                <w:b/>
                <w:bCs/>
                <w:color w:val="000000"/>
                <w:lang w:val="de-DE" w:eastAsia="de-DE"/>
              </w:rPr>
              <w:t xml:space="preserve"> FW</w:t>
            </w:r>
          </w:p>
        </w:tc>
        <w:tc>
          <w:tcPr>
            <w:tcW w:w="1060" w:type="dxa"/>
            <w:vMerge w:val="restart"/>
            <w:tcBorders>
              <w:top w:val="nil"/>
              <w:left w:val="single" w:sz="4" w:space="0" w:color="auto"/>
              <w:bottom w:val="single" w:sz="4" w:space="0" w:color="000000"/>
              <w:right w:val="single" w:sz="4" w:space="0" w:color="auto"/>
            </w:tcBorders>
            <w:shd w:val="clear" w:color="auto" w:fill="auto"/>
            <w:vAlign w:val="center"/>
            <w:hideMark/>
          </w:tcPr>
          <w:p w:rsidR="009C6966" w:rsidRPr="009C6966" w:rsidRDefault="009C6966" w:rsidP="009C6966">
            <w:pPr>
              <w:spacing w:after="0" w:line="240" w:lineRule="auto"/>
              <w:jc w:val="center"/>
              <w:rPr>
                <w:rFonts w:ascii="Calibri" w:eastAsia="Times New Roman" w:hAnsi="Calibri" w:cs="Times New Roman"/>
                <w:b/>
                <w:bCs/>
                <w:color w:val="000000"/>
                <w:lang w:val="de-DE" w:eastAsia="de-DE"/>
              </w:rPr>
            </w:pPr>
            <w:r w:rsidRPr="009C6966">
              <w:rPr>
                <w:rFonts w:ascii="Calibri" w:eastAsia="Times New Roman" w:hAnsi="Calibri" w:cs="Times New Roman"/>
                <w:b/>
                <w:bCs/>
                <w:color w:val="000000"/>
                <w:lang w:val="de-DE" w:eastAsia="de-DE"/>
              </w:rPr>
              <w:t>ratio            P/M</w:t>
            </w:r>
          </w:p>
        </w:tc>
        <w:tc>
          <w:tcPr>
            <w:tcW w:w="2340" w:type="dxa"/>
            <w:gridSpan w:val="2"/>
            <w:tcBorders>
              <w:top w:val="single" w:sz="4" w:space="0" w:color="auto"/>
              <w:left w:val="nil"/>
              <w:bottom w:val="nil"/>
              <w:right w:val="single" w:sz="4" w:space="0" w:color="000000"/>
            </w:tcBorders>
            <w:shd w:val="clear" w:color="auto" w:fill="auto"/>
            <w:vAlign w:val="bottom"/>
            <w:hideMark/>
          </w:tcPr>
          <w:p w:rsidR="009C6966" w:rsidRPr="009C6966" w:rsidRDefault="009C6966" w:rsidP="009C6966">
            <w:pPr>
              <w:spacing w:after="0" w:line="240" w:lineRule="auto"/>
              <w:jc w:val="center"/>
              <w:rPr>
                <w:rFonts w:ascii="Calibri" w:eastAsia="Times New Roman" w:hAnsi="Calibri" w:cs="Times New Roman"/>
                <w:b/>
                <w:bCs/>
                <w:color w:val="000000"/>
                <w:lang w:val="de-DE" w:eastAsia="de-DE"/>
              </w:rPr>
            </w:pPr>
            <w:r w:rsidRPr="009C6966">
              <w:rPr>
                <w:rFonts w:ascii="Calibri" w:eastAsia="Times New Roman" w:hAnsi="Calibri" w:cs="Times New Roman"/>
                <w:b/>
                <w:bCs/>
                <w:color w:val="000000"/>
                <w:lang w:val="de-DE" w:eastAsia="de-DE"/>
              </w:rPr>
              <w:t>µg g</w:t>
            </w:r>
            <w:r w:rsidRPr="009C6966">
              <w:rPr>
                <w:rFonts w:ascii="Calibri" w:eastAsia="Times New Roman" w:hAnsi="Calibri" w:cs="Times New Roman"/>
                <w:b/>
                <w:bCs/>
                <w:color w:val="000000"/>
                <w:vertAlign w:val="superscript"/>
                <w:lang w:val="de-DE" w:eastAsia="de-DE"/>
              </w:rPr>
              <w:t>-1</w:t>
            </w:r>
            <w:r w:rsidRPr="009C6966">
              <w:rPr>
                <w:rFonts w:ascii="Calibri" w:eastAsia="Times New Roman" w:hAnsi="Calibri" w:cs="Times New Roman"/>
                <w:b/>
                <w:bCs/>
                <w:color w:val="000000"/>
                <w:lang w:val="de-DE" w:eastAsia="de-DE"/>
              </w:rPr>
              <w:t xml:space="preserve"> FW</w:t>
            </w:r>
          </w:p>
        </w:tc>
        <w:tc>
          <w:tcPr>
            <w:tcW w:w="1100" w:type="dxa"/>
            <w:vMerge w:val="restart"/>
            <w:tcBorders>
              <w:top w:val="nil"/>
              <w:left w:val="single" w:sz="4" w:space="0" w:color="auto"/>
              <w:bottom w:val="single" w:sz="4" w:space="0" w:color="000000"/>
              <w:right w:val="single" w:sz="4" w:space="0" w:color="auto"/>
            </w:tcBorders>
            <w:shd w:val="clear" w:color="auto" w:fill="auto"/>
            <w:vAlign w:val="center"/>
            <w:hideMark/>
          </w:tcPr>
          <w:p w:rsidR="009C6966" w:rsidRPr="009C6966" w:rsidRDefault="009C6966" w:rsidP="009C6966">
            <w:pPr>
              <w:spacing w:after="0" w:line="240" w:lineRule="auto"/>
              <w:jc w:val="center"/>
              <w:rPr>
                <w:rFonts w:ascii="Calibri" w:eastAsia="Times New Roman" w:hAnsi="Calibri" w:cs="Times New Roman"/>
                <w:b/>
                <w:bCs/>
                <w:color w:val="000000"/>
                <w:lang w:val="de-DE" w:eastAsia="de-DE"/>
              </w:rPr>
            </w:pPr>
            <w:r w:rsidRPr="009C6966">
              <w:rPr>
                <w:rFonts w:ascii="Calibri" w:eastAsia="Times New Roman" w:hAnsi="Calibri" w:cs="Times New Roman"/>
                <w:b/>
                <w:bCs/>
                <w:color w:val="000000"/>
                <w:lang w:val="de-DE" w:eastAsia="de-DE"/>
              </w:rPr>
              <w:t>ratio             P/M</w:t>
            </w:r>
          </w:p>
        </w:tc>
      </w:tr>
      <w:tr w:rsidR="009C6966" w:rsidRPr="009C6966" w:rsidTr="009A36CA">
        <w:trPr>
          <w:trHeight w:val="360"/>
        </w:trPr>
        <w:tc>
          <w:tcPr>
            <w:tcW w:w="1012" w:type="dxa"/>
            <w:vMerge/>
            <w:tcBorders>
              <w:top w:val="nil"/>
              <w:left w:val="single" w:sz="4" w:space="0" w:color="auto"/>
              <w:bottom w:val="single" w:sz="4" w:space="0" w:color="auto"/>
              <w:right w:val="single" w:sz="4" w:space="0" w:color="auto"/>
            </w:tcBorders>
            <w:vAlign w:val="center"/>
            <w:hideMark/>
          </w:tcPr>
          <w:p w:rsidR="009C6966" w:rsidRPr="009C6966" w:rsidRDefault="009C6966" w:rsidP="009C6966">
            <w:pPr>
              <w:spacing w:after="0" w:line="240" w:lineRule="auto"/>
              <w:rPr>
                <w:rFonts w:ascii="Calibri" w:eastAsia="Times New Roman" w:hAnsi="Calibri" w:cs="Times New Roman"/>
                <w:b/>
                <w:bCs/>
                <w:color w:val="000000"/>
                <w:lang w:val="de-DE" w:eastAsia="de-DE"/>
              </w:rPr>
            </w:pPr>
          </w:p>
        </w:tc>
        <w:tc>
          <w:tcPr>
            <w:tcW w:w="1240" w:type="dxa"/>
            <w:tcBorders>
              <w:top w:val="nil"/>
              <w:left w:val="nil"/>
              <w:bottom w:val="single" w:sz="4" w:space="0" w:color="auto"/>
              <w:right w:val="nil"/>
            </w:tcBorders>
            <w:shd w:val="clear" w:color="auto" w:fill="auto"/>
            <w:vAlign w:val="bottom"/>
            <w:hideMark/>
          </w:tcPr>
          <w:p w:rsidR="009C6966" w:rsidRPr="009C6966" w:rsidRDefault="009C6966" w:rsidP="009C6966">
            <w:pPr>
              <w:spacing w:after="0" w:line="240" w:lineRule="auto"/>
              <w:jc w:val="center"/>
              <w:rPr>
                <w:rFonts w:ascii="Calibri" w:eastAsia="Times New Roman" w:hAnsi="Calibri" w:cs="Times New Roman"/>
                <w:b/>
                <w:bCs/>
                <w:color w:val="000000"/>
                <w:lang w:val="de-DE" w:eastAsia="de-DE"/>
              </w:rPr>
            </w:pPr>
            <w:r w:rsidRPr="009C6966">
              <w:rPr>
                <w:rFonts w:ascii="Calibri" w:eastAsia="Times New Roman" w:hAnsi="Calibri" w:cs="Times New Roman"/>
                <w:b/>
                <w:bCs/>
                <w:color w:val="000000"/>
                <w:lang w:val="de-DE" w:eastAsia="de-DE"/>
              </w:rPr>
              <w:t>MgCl</w:t>
            </w:r>
            <w:r w:rsidRPr="009C6966">
              <w:rPr>
                <w:rFonts w:ascii="Calibri" w:eastAsia="Times New Roman" w:hAnsi="Calibri" w:cs="Times New Roman"/>
                <w:b/>
                <w:bCs/>
                <w:color w:val="000000"/>
                <w:vertAlign w:val="subscript"/>
                <w:lang w:val="de-DE" w:eastAsia="de-DE"/>
              </w:rPr>
              <w:t>2</w:t>
            </w:r>
          </w:p>
        </w:tc>
        <w:tc>
          <w:tcPr>
            <w:tcW w:w="1320" w:type="dxa"/>
            <w:tcBorders>
              <w:top w:val="nil"/>
              <w:left w:val="nil"/>
              <w:bottom w:val="single" w:sz="4" w:space="0" w:color="auto"/>
              <w:right w:val="single" w:sz="4" w:space="0" w:color="auto"/>
            </w:tcBorders>
            <w:shd w:val="clear" w:color="auto" w:fill="auto"/>
            <w:vAlign w:val="bottom"/>
            <w:hideMark/>
          </w:tcPr>
          <w:p w:rsidR="009C6966" w:rsidRPr="009C6966" w:rsidRDefault="009C6966" w:rsidP="009C6966">
            <w:pPr>
              <w:spacing w:after="0" w:line="240" w:lineRule="auto"/>
              <w:jc w:val="center"/>
              <w:rPr>
                <w:rFonts w:ascii="Calibri" w:eastAsia="Times New Roman" w:hAnsi="Calibri" w:cs="Times New Roman"/>
                <w:b/>
                <w:bCs/>
                <w:color w:val="000000"/>
                <w:lang w:val="de-DE" w:eastAsia="de-DE"/>
              </w:rPr>
            </w:pPr>
            <w:r w:rsidRPr="009C6966">
              <w:rPr>
                <w:rFonts w:ascii="Calibri" w:eastAsia="Times New Roman" w:hAnsi="Calibri" w:cs="Times New Roman"/>
                <w:b/>
                <w:bCs/>
                <w:i/>
                <w:iCs/>
                <w:color w:val="000000"/>
                <w:lang w:val="de-DE" w:eastAsia="de-DE"/>
              </w:rPr>
              <w:t>Psm</w:t>
            </w:r>
            <w:r w:rsidRPr="009C6966">
              <w:rPr>
                <w:rFonts w:ascii="Calibri" w:eastAsia="Times New Roman" w:hAnsi="Calibri" w:cs="Times New Roman"/>
                <w:b/>
                <w:bCs/>
                <w:color w:val="000000"/>
                <w:lang w:val="de-DE" w:eastAsia="de-DE"/>
              </w:rPr>
              <w:t xml:space="preserve"> </w:t>
            </w:r>
          </w:p>
        </w:tc>
        <w:tc>
          <w:tcPr>
            <w:tcW w:w="979" w:type="dxa"/>
            <w:vMerge/>
            <w:tcBorders>
              <w:top w:val="nil"/>
              <w:left w:val="single" w:sz="4" w:space="0" w:color="auto"/>
              <w:bottom w:val="single" w:sz="4" w:space="0" w:color="000000"/>
              <w:right w:val="single" w:sz="4" w:space="0" w:color="auto"/>
            </w:tcBorders>
            <w:vAlign w:val="center"/>
            <w:hideMark/>
          </w:tcPr>
          <w:p w:rsidR="009C6966" w:rsidRPr="009C6966" w:rsidRDefault="009C6966" w:rsidP="009C6966">
            <w:pPr>
              <w:spacing w:after="0" w:line="240" w:lineRule="auto"/>
              <w:rPr>
                <w:rFonts w:ascii="Calibri" w:eastAsia="Times New Roman" w:hAnsi="Calibri" w:cs="Times New Roman"/>
                <w:b/>
                <w:bCs/>
                <w:color w:val="000000"/>
                <w:lang w:val="de-DE" w:eastAsia="de-DE"/>
              </w:rPr>
            </w:pPr>
          </w:p>
        </w:tc>
        <w:tc>
          <w:tcPr>
            <w:tcW w:w="1241" w:type="dxa"/>
            <w:tcBorders>
              <w:top w:val="nil"/>
              <w:left w:val="nil"/>
              <w:bottom w:val="single" w:sz="4" w:space="0" w:color="auto"/>
              <w:right w:val="nil"/>
            </w:tcBorders>
            <w:shd w:val="clear" w:color="auto" w:fill="auto"/>
            <w:vAlign w:val="center"/>
            <w:hideMark/>
          </w:tcPr>
          <w:p w:rsidR="009C6966" w:rsidRPr="009C6966" w:rsidRDefault="009C6966" w:rsidP="009C6966">
            <w:pPr>
              <w:spacing w:after="0" w:line="240" w:lineRule="auto"/>
              <w:jc w:val="center"/>
              <w:rPr>
                <w:rFonts w:ascii="Calibri" w:eastAsia="Times New Roman" w:hAnsi="Calibri" w:cs="Times New Roman"/>
                <w:b/>
                <w:bCs/>
                <w:color w:val="000000"/>
                <w:lang w:val="de-DE" w:eastAsia="de-DE"/>
              </w:rPr>
            </w:pPr>
            <w:r w:rsidRPr="009C6966">
              <w:rPr>
                <w:rFonts w:ascii="Calibri" w:eastAsia="Times New Roman" w:hAnsi="Calibri" w:cs="Times New Roman"/>
                <w:b/>
                <w:bCs/>
                <w:color w:val="000000"/>
                <w:lang w:val="de-DE" w:eastAsia="de-DE"/>
              </w:rPr>
              <w:t>SM</w:t>
            </w:r>
          </w:p>
        </w:tc>
        <w:tc>
          <w:tcPr>
            <w:tcW w:w="1120" w:type="dxa"/>
            <w:tcBorders>
              <w:top w:val="nil"/>
              <w:left w:val="nil"/>
              <w:bottom w:val="single" w:sz="4" w:space="0" w:color="auto"/>
              <w:right w:val="single" w:sz="4" w:space="0" w:color="auto"/>
            </w:tcBorders>
            <w:shd w:val="clear" w:color="auto" w:fill="auto"/>
            <w:vAlign w:val="center"/>
            <w:hideMark/>
          </w:tcPr>
          <w:p w:rsidR="009C6966" w:rsidRPr="009C6966" w:rsidRDefault="009C6966" w:rsidP="009C6966">
            <w:pPr>
              <w:spacing w:after="0" w:line="240" w:lineRule="auto"/>
              <w:jc w:val="center"/>
              <w:rPr>
                <w:rFonts w:ascii="Calibri" w:eastAsia="Times New Roman" w:hAnsi="Calibri" w:cs="Times New Roman"/>
                <w:b/>
                <w:bCs/>
                <w:i/>
                <w:iCs/>
                <w:color w:val="000000"/>
                <w:lang w:val="de-DE" w:eastAsia="de-DE"/>
              </w:rPr>
            </w:pPr>
            <w:r w:rsidRPr="009C6966">
              <w:rPr>
                <w:rFonts w:ascii="Calibri" w:eastAsia="Times New Roman" w:hAnsi="Calibri" w:cs="Times New Roman"/>
                <w:b/>
                <w:bCs/>
                <w:i/>
                <w:iCs/>
                <w:color w:val="000000"/>
                <w:lang w:val="de-DE" w:eastAsia="de-DE"/>
              </w:rPr>
              <w:t>Bc</w:t>
            </w:r>
          </w:p>
        </w:tc>
        <w:tc>
          <w:tcPr>
            <w:tcW w:w="1020" w:type="dxa"/>
            <w:vMerge/>
            <w:tcBorders>
              <w:top w:val="nil"/>
              <w:left w:val="single" w:sz="4" w:space="0" w:color="auto"/>
              <w:bottom w:val="single" w:sz="4" w:space="0" w:color="000000"/>
              <w:right w:val="single" w:sz="4" w:space="0" w:color="auto"/>
            </w:tcBorders>
            <w:vAlign w:val="center"/>
            <w:hideMark/>
          </w:tcPr>
          <w:p w:rsidR="009C6966" w:rsidRPr="009C6966" w:rsidRDefault="009C6966" w:rsidP="009C6966">
            <w:pPr>
              <w:spacing w:after="0" w:line="240" w:lineRule="auto"/>
              <w:rPr>
                <w:rFonts w:ascii="Calibri" w:eastAsia="Times New Roman" w:hAnsi="Calibri" w:cs="Times New Roman"/>
                <w:b/>
                <w:bCs/>
                <w:color w:val="000000"/>
                <w:lang w:val="de-DE" w:eastAsia="de-DE"/>
              </w:rPr>
            </w:pPr>
          </w:p>
        </w:tc>
        <w:tc>
          <w:tcPr>
            <w:tcW w:w="1260" w:type="dxa"/>
            <w:tcBorders>
              <w:top w:val="nil"/>
              <w:left w:val="nil"/>
              <w:bottom w:val="single" w:sz="4" w:space="0" w:color="auto"/>
              <w:right w:val="nil"/>
            </w:tcBorders>
            <w:shd w:val="clear" w:color="auto" w:fill="auto"/>
            <w:vAlign w:val="bottom"/>
            <w:hideMark/>
          </w:tcPr>
          <w:p w:rsidR="009C6966" w:rsidRPr="009C6966" w:rsidRDefault="009C6966" w:rsidP="009C6966">
            <w:pPr>
              <w:spacing w:after="0" w:line="240" w:lineRule="auto"/>
              <w:jc w:val="center"/>
              <w:rPr>
                <w:rFonts w:ascii="Calibri" w:eastAsia="Times New Roman" w:hAnsi="Calibri" w:cs="Times New Roman"/>
                <w:b/>
                <w:bCs/>
                <w:color w:val="000000"/>
                <w:lang w:val="de-DE" w:eastAsia="de-DE"/>
              </w:rPr>
            </w:pPr>
            <w:r w:rsidRPr="009C6966">
              <w:rPr>
                <w:rFonts w:ascii="Calibri" w:eastAsia="Times New Roman" w:hAnsi="Calibri" w:cs="Times New Roman"/>
                <w:b/>
                <w:bCs/>
                <w:color w:val="000000"/>
                <w:lang w:val="de-DE" w:eastAsia="de-DE"/>
              </w:rPr>
              <w:t>H</w:t>
            </w:r>
            <w:r w:rsidRPr="009C6966">
              <w:rPr>
                <w:rFonts w:ascii="Calibri" w:eastAsia="Times New Roman" w:hAnsi="Calibri" w:cs="Times New Roman"/>
                <w:b/>
                <w:bCs/>
                <w:color w:val="000000"/>
                <w:vertAlign w:val="subscript"/>
                <w:lang w:val="de-DE" w:eastAsia="de-DE"/>
              </w:rPr>
              <w:t>2</w:t>
            </w:r>
            <w:r w:rsidRPr="009C6966">
              <w:rPr>
                <w:rFonts w:ascii="Calibri" w:eastAsia="Times New Roman" w:hAnsi="Calibri" w:cs="Times New Roman"/>
                <w:b/>
                <w:bCs/>
                <w:color w:val="000000"/>
                <w:lang w:val="de-DE" w:eastAsia="de-DE"/>
              </w:rPr>
              <w:t>O</w:t>
            </w:r>
          </w:p>
        </w:tc>
        <w:tc>
          <w:tcPr>
            <w:tcW w:w="1220" w:type="dxa"/>
            <w:tcBorders>
              <w:top w:val="nil"/>
              <w:left w:val="nil"/>
              <w:bottom w:val="single" w:sz="4" w:space="0" w:color="auto"/>
              <w:right w:val="single" w:sz="4" w:space="0" w:color="auto"/>
            </w:tcBorders>
            <w:shd w:val="clear" w:color="auto" w:fill="auto"/>
            <w:vAlign w:val="bottom"/>
            <w:hideMark/>
          </w:tcPr>
          <w:p w:rsidR="009C6966" w:rsidRPr="009C6966" w:rsidRDefault="009C6966" w:rsidP="009C6966">
            <w:pPr>
              <w:spacing w:after="0" w:line="240" w:lineRule="auto"/>
              <w:jc w:val="center"/>
              <w:rPr>
                <w:rFonts w:ascii="Calibri" w:eastAsia="Times New Roman" w:hAnsi="Calibri" w:cs="Times New Roman"/>
                <w:b/>
                <w:bCs/>
                <w:i/>
                <w:iCs/>
                <w:color w:val="000000"/>
                <w:lang w:val="de-DE" w:eastAsia="de-DE"/>
              </w:rPr>
            </w:pPr>
            <w:r w:rsidRPr="009C6966">
              <w:rPr>
                <w:rFonts w:ascii="Calibri" w:eastAsia="Times New Roman" w:hAnsi="Calibri" w:cs="Times New Roman"/>
                <w:b/>
                <w:bCs/>
                <w:i/>
                <w:iCs/>
                <w:color w:val="000000"/>
                <w:lang w:val="de-DE" w:eastAsia="de-DE"/>
              </w:rPr>
              <w:t>Hpa</w:t>
            </w:r>
          </w:p>
        </w:tc>
        <w:tc>
          <w:tcPr>
            <w:tcW w:w="1060" w:type="dxa"/>
            <w:vMerge/>
            <w:tcBorders>
              <w:top w:val="nil"/>
              <w:left w:val="single" w:sz="4" w:space="0" w:color="auto"/>
              <w:bottom w:val="single" w:sz="4" w:space="0" w:color="000000"/>
              <w:right w:val="single" w:sz="4" w:space="0" w:color="auto"/>
            </w:tcBorders>
            <w:vAlign w:val="center"/>
            <w:hideMark/>
          </w:tcPr>
          <w:p w:rsidR="009C6966" w:rsidRPr="009C6966" w:rsidRDefault="009C6966" w:rsidP="009C6966">
            <w:pPr>
              <w:spacing w:after="0" w:line="240" w:lineRule="auto"/>
              <w:rPr>
                <w:rFonts w:ascii="Calibri" w:eastAsia="Times New Roman" w:hAnsi="Calibri" w:cs="Times New Roman"/>
                <w:b/>
                <w:bCs/>
                <w:color w:val="000000"/>
                <w:lang w:val="de-DE" w:eastAsia="de-DE"/>
              </w:rPr>
            </w:pPr>
          </w:p>
        </w:tc>
        <w:tc>
          <w:tcPr>
            <w:tcW w:w="1220" w:type="dxa"/>
            <w:tcBorders>
              <w:top w:val="nil"/>
              <w:left w:val="nil"/>
              <w:bottom w:val="single" w:sz="4" w:space="0" w:color="auto"/>
              <w:right w:val="nil"/>
            </w:tcBorders>
            <w:shd w:val="clear" w:color="auto" w:fill="auto"/>
            <w:vAlign w:val="bottom"/>
            <w:hideMark/>
          </w:tcPr>
          <w:p w:rsidR="009C6966" w:rsidRPr="009C6966" w:rsidRDefault="009C6966" w:rsidP="009C6966">
            <w:pPr>
              <w:spacing w:after="0" w:line="240" w:lineRule="auto"/>
              <w:jc w:val="center"/>
              <w:rPr>
                <w:rFonts w:ascii="Calibri" w:eastAsia="Times New Roman" w:hAnsi="Calibri" w:cs="Times New Roman"/>
                <w:b/>
                <w:bCs/>
                <w:color w:val="000000"/>
                <w:lang w:val="de-DE" w:eastAsia="de-DE"/>
              </w:rPr>
            </w:pPr>
            <w:r w:rsidRPr="009C6966">
              <w:rPr>
                <w:rFonts w:ascii="Calibri" w:eastAsia="Times New Roman" w:hAnsi="Calibri" w:cs="Times New Roman"/>
                <w:b/>
                <w:bCs/>
                <w:color w:val="000000"/>
                <w:lang w:val="de-DE" w:eastAsia="de-DE"/>
              </w:rPr>
              <w:t>nt</w:t>
            </w:r>
          </w:p>
        </w:tc>
        <w:tc>
          <w:tcPr>
            <w:tcW w:w="1120" w:type="dxa"/>
            <w:tcBorders>
              <w:top w:val="nil"/>
              <w:left w:val="nil"/>
              <w:bottom w:val="single" w:sz="4" w:space="0" w:color="auto"/>
              <w:right w:val="single" w:sz="4" w:space="0" w:color="auto"/>
            </w:tcBorders>
            <w:shd w:val="clear" w:color="auto" w:fill="auto"/>
            <w:vAlign w:val="bottom"/>
            <w:hideMark/>
          </w:tcPr>
          <w:p w:rsidR="009C6966" w:rsidRPr="009C6966" w:rsidRDefault="009C6966" w:rsidP="009C6966">
            <w:pPr>
              <w:spacing w:after="0" w:line="240" w:lineRule="auto"/>
              <w:jc w:val="center"/>
              <w:rPr>
                <w:rFonts w:ascii="Calibri" w:eastAsia="Times New Roman" w:hAnsi="Calibri" w:cs="Times New Roman"/>
                <w:b/>
                <w:bCs/>
                <w:i/>
                <w:iCs/>
                <w:color w:val="000000"/>
                <w:lang w:val="de-DE" w:eastAsia="de-DE"/>
              </w:rPr>
            </w:pPr>
            <w:r w:rsidRPr="009C6966">
              <w:rPr>
                <w:rFonts w:ascii="Calibri" w:eastAsia="Times New Roman" w:hAnsi="Calibri" w:cs="Times New Roman"/>
                <w:b/>
                <w:bCs/>
                <w:i/>
                <w:iCs/>
                <w:color w:val="000000"/>
                <w:lang w:val="de-DE" w:eastAsia="de-DE"/>
              </w:rPr>
              <w:t>Go</w:t>
            </w:r>
          </w:p>
        </w:tc>
        <w:tc>
          <w:tcPr>
            <w:tcW w:w="1100" w:type="dxa"/>
            <w:vMerge/>
            <w:tcBorders>
              <w:top w:val="nil"/>
              <w:left w:val="single" w:sz="4" w:space="0" w:color="auto"/>
              <w:bottom w:val="single" w:sz="4" w:space="0" w:color="000000"/>
              <w:right w:val="single" w:sz="4" w:space="0" w:color="auto"/>
            </w:tcBorders>
            <w:vAlign w:val="center"/>
            <w:hideMark/>
          </w:tcPr>
          <w:p w:rsidR="009C6966" w:rsidRPr="009C6966" w:rsidRDefault="009C6966" w:rsidP="009C6966">
            <w:pPr>
              <w:spacing w:after="0" w:line="240" w:lineRule="auto"/>
              <w:rPr>
                <w:rFonts w:ascii="Calibri" w:eastAsia="Times New Roman" w:hAnsi="Calibri" w:cs="Times New Roman"/>
                <w:b/>
                <w:bCs/>
                <w:color w:val="000000"/>
                <w:lang w:val="de-DE" w:eastAsia="de-DE"/>
              </w:rPr>
            </w:pPr>
          </w:p>
        </w:tc>
      </w:tr>
      <w:tr w:rsidR="009C6966" w:rsidRPr="009C6966" w:rsidTr="009A36CA">
        <w:trPr>
          <w:trHeight w:val="300"/>
        </w:trPr>
        <w:tc>
          <w:tcPr>
            <w:tcW w:w="1012" w:type="dxa"/>
            <w:tcBorders>
              <w:top w:val="nil"/>
              <w:left w:val="single" w:sz="4" w:space="0" w:color="auto"/>
              <w:bottom w:val="nil"/>
              <w:right w:val="single" w:sz="4" w:space="0" w:color="auto"/>
            </w:tcBorders>
            <w:shd w:val="clear" w:color="auto" w:fill="auto"/>
            <w:vAlign w:val="bottom"/>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Ala</w:t>
            </w:r>
          </w:p>
        </w:tc>
        <w:tc>
          <w:tcPr>
            <w:tcW w:w="1240" w:type="dxa"/>
            <w:tcBorders>
              <w:top w:val="nil"/>
              <w:left w:val="nil"/>
              <w:bottom w:val="nil"/>
              <w:right w:val="nil"/>
            </w:tcBorders>
            <w:shd w:val="clear" w:color="auto" w:fill="auto"/>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 xml:space="preserve">78.4 </w:t>
            </w:r>
            <w:r w:rsidRPr="009C6966">
              <w:rPr>
                <w:rFonts w:ascii="Calibri" w:eastAsia="Times New Roman" w:hAnsi="Calibri" w:cs="Times New Roman"/>
                <w:color w:val="000000"/>
                <w:sz w:val="16"/>
                <w:szCs w:val="16"/>
                <w:lang w:val="de-DE" w:eastAsia="de-DE"/>
              </w:rPr>
              <w:t>±</w:t>
            </w:r>
            <w:r w:rsidRPr="009C6966">
              <w:rPr>
                <w:rFonts w:ascii="Calibri" w:eastAsia="Times New Roman" w:hAnsi="Calibri" w:cs="Times New Roman"/>
                <w:color w:val="000000"/>
                <w:lang w:val="de-DE" w:eastAsia="de-DE"/>
              </w:rPr>
              <w:t xml:space="preserve"> </w:t>
            </w:r>
            <w:r w:rsidRPr="009C6966">
              <w:rPr>
                <w:rFonts w:ascii="Calibri" w:eastAsia="Times New Roman" w:hAnsi="Calibri" w:cs="Times New Roman"/>
                <w:color w:val="000000"/>
                <w:sz w:val="16"/>
                <w:szCs w:val="16"/>
                <w:lang w:val="de-DE" w:eastAsia="de-DE"/>
              </w:rPr>
              <w:t>7.3</w:t>
            </w:r>
          </w:p>
        </w:tc>
        <w:tc>
          <w:tcPr>
            <w:tcW w:w="1320" w:type="dxa"/>
            <w:tcBorders>
              <w:top w:val="nil"/>
              <w:left w:val="nil"/>
              <w:bottom w:val="nil"/>
              <w:right w:val="single" w:sz="4" w:space="0" w:color="auto"/>
            </w:tcBorders>
            <w:shd w:val="clear" w:color="auto" w:fill="auto"/>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 xml:space="preserve">141.0 </w:t>
            </w:r>
            <w:r w:rsidRPr="009C6966">
              <w:rPr>
                <w:rFonts w:ascii="Calibri" w:eastAsia="Times New Roman" w:hAnsi="Calibri" w:cs="Times New Roman"/>
                <w:color w:val="000000"/>
                <w:sz w:val="16"/>
                <w:szCs w:val="16"/>
                <w:lang w:val="de-DE" w:eastAsia="de-DE"/>
              </w:rPr>
              <w:t>±</w:t>
            </w:r>
            <w:r w:rsidRPr="009C6966">
              <w:rPr>
                <w:rFonts w:ascii="Calibri" w:eastAsia="Times New Roman" w:hAnsi="Calibri" w:cs="Times New Roman"/>
                <w:color w:val="000000"/>
                <w:lang w:val="de-DE" w:eastAsia="de-DE"/>
              </w:rPr>
              <w:t xml:space="preserve"> </w:t>
            </w:r>
            <w:r w:rsidRPr="009C6966">
              <w:rPr>
                <w:rFonts w:ascii="Calibri" w:eastAsia="Times New Roman" w:hAnsi="Calibri" w:cs="Times New Roman"/>
                <w:color w:val="000000"/>
                <w:sz w:val="16"/>
                <w:szCs w:val="16"/>
                <w:lang w:val="de-DE" w:eastAsia="de-DE"/>
              </w:rPr>
              <w:t>32.5</w:t>
            </w:r>
          </w:p>
        </w:tc>
        <w:tc>
          <w:tcPr>
            <w:tcW w:w="979" w:type="dxa"/>
            <w:tcBorders>
              <w:top w:val="nil"/>
              <w:left w:val="nil"/>
              <w:bottom w:val="nil"/>
              <w:right w:val="single" w:sz="4" w:space="0" w:color="auto"/>
            </w:tcBorders>
            <w:shd w:val="clear" w:color="000000" w:fill="F2DCDB"/>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 xml:space="preserve">1.8 </w:t>
            </w:r>
            <w:r w:rsidRPr="009C6966">
              <w:rPr>
                <w:rFonts w:ascii="Calibri" w:eastAsia="Times New Roman" w:hAnsi="Calibri" w:cs="Times New Roman"/>
                <w:color w:val="000000"/>
                <w:sz w:val="18"/>
                <w:szCs w:val="18"/>
                <w:lang w:val="de-DE" w:eastAsia="de-DE"/>
              </w:rPr>
              <w:t>**</w:t>
            </w:r>
          </w:p>
        </w:tc>
        <w:tc>
          <w:tcPr>
            <w:tcW w:w="1241" w:type="dxa"/>
            <w:tcBorders>
              <w:top w:val="nil"/>
              <w:left w:val="nil"/>
              <w:bottom w:val="nil"/>
              <w:right w:val="nil"/>
            </w:tcBorders>
            <w:shd w:val="clear" w:color="auto" w:fill="auto"/>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7.2</w:t>
            </w:r>
            <w:r w:rsidRPr="009C6966">
              <w:rPr>
                <w:rFonts w:ascii="Calibri" w:eastAsia="Times New Roman" w:hAnsi="Calibri" w:cs="Times New Roman"/>
                <w:color w:val="000000"/>
                <w:sz w:val="16"/>
                <w:szCs w:val="16"/>
                <w:lang w:val="de-DE" w:eastAsia="de-DE"/>
              </w:rPr>
              <w:t xml:space="preserve"> ± 0.4</w:t>
            </w:r>
          </w:p>
        </w:tc>
        <w:tc>
          <w:tcPr>
            <w:tcW w:w="1120" w:type="dxa"/>
            <w:tcBorders>
              <w:top w:val="nil"/>
              <w:left w:val="nil"/>
              <w:bottom w:val="nil"/>
              <w:right w:val="single" w:sz="4" w:space="0" w:color="auto"/>
            </w:tcBorders>
            <w:shd w:val="clear" w:color="auto" w:fill="auto"/>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18.9</w:t>
            </w:r>
            <w:r w:rsidRPr="009C6966">
              <w:rPr>
                <w:rFonts w:ascii="Calibri" w:eastAsia="Times New Roman" w:hAnsi="Calibri" w:cs="Times New Roman"/>
                <w:color w:val="000000"/>
                <w:sz w:val="16"/>
                <w:szCs w:val="16"/>
                <w:lang w:val="de-DE" w:eastAsia="de-DE"/>
              </w:rPr>
              <w:t xml:space="preserve"> ±</w:t>
            </w:r>
            <w:r w:rsidRPr="009C6966">
              <w:rPr>
                <w:rFonts w:ascii="Calibri" w:eastAsia="Times New Roman" w:hAnsi="Calibri" w:cs="Times New Roman"/>
                <w:color w:val="000000"/>
                <w:lang w:val="de-DE" w:eastAsia="de-DE"/>
              </w:rPr>
              <w:t xml:space="preserve"> </w:t>
            </w:r>
            <w:r w:rsidRPr="009C6966">
              <w:rPr>
                <w:rFonts w:ascii="Calibri" w:eastAsia="Times New Roman" w:hAnsi="Calibri" w:cs="Times New Roman"/>
                <w:color w:val="000000"/>
                <w:sz w:val="16"/>
                <w:szCs w:val="16"/>
                <w:lang w:val="de-DE" w:eastAsia="de-DE"/>
              </w:rPr>
              <w:t>7.2</w:t>
            </w:r>
          </w:p>
        </w:tc>
        <w:tc>
          <w:tcPr>
            <w:tcW w:w="1020" w:type="dxa"/>
            <w:tcBorders>
              <w:top w:val="nil"/>
              <w:left w:val="nil"/>
              <w:bottom w:val="nil"/>
              <w:right w:val="single" w:sz="4" w:space="0" w:color="auto"/>
            </w:tcBorders>
            <w:shd w:val="clear" w:color="000000" w:fill="F2DCDB"/>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2.6</w:t>
            </w:r>
          </w:p>
        </w:tc>
        <w:tc>
          <w:tcPr>
            <w:tcW w:w="1260" w:type="dxa"/>
            <w:tcBorders>
              <w:top w:val="nil"/>
              <w:left w:val="nil"/>
              <w:bottom w:val="nil"/>
              <w:right w:val="nil"/>
            </w:tcBorders>
            <w:shd w:val="clear" w:color="auto" w:fill="auto"/>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9.7</w:t>
            </w:r>
            <w:r w:rsidRPr="009C6966">
              <w:rPr>
                <w:rFonts w:ascii="Calibri" w:eastAsia="Times New Roman" w:hAnsi="Calibri" w:cs="Times New Roman"/>
                <w:color w:val="000000"/>
                <w:sz w:val="16"/>
                <w:szCs w:val="16"/>
                <w:lang w:val="de-DE" w:eastAsia="de-DE"/>
              </w:rPr>
              <w:t xml:space="preserve"> ± 1.00</w:t>
            </w:r>
          </w:p>
        </w:tc>
        <w:tc>
          <w:tcPr>
            <w:tcW w:w="1220" w:type="dxa"/>
            <w:tcBorders>
              <w:top w:val="nil"/>
              <w:left w:val="nil"/>
              <w:bottom w:val="nil"/>
              <w:right w:val="single" w:sz="4" w:space="0" w:color="auto"/>
            </w:tcBorders>
            <w:shd w:val="clear" w:color="auto" w:fill="auto"/>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30.0</w:t>
            </w:r>
            <w:r w:rsidRPr="009C6966">
              <w:rPr>
                <w:rFonts w:ascii="Calibri" w:eastAsia="Times New Roman" w:hAnsi="Calibri" w:cs="Times New Roman"/>
                <w:color w:val="000000"/>
                <w:sz w:val="16"/>
                <w:szCs w:val="16"/>
                <w:lang w:val="de-DE" w:eastAsia="de-DE"/>
              </w:rPr>
              <w:t xml:space="preserve"> ±</w:t>
            </w:r>
            <w:r w:rsidRPr="009C6966">
              <w:rPr>
                <w:rFonts w:ascii="Calibri" w:eastAsia="Times New Roman" w:hAnsi="Calibri" w:cs="Times New Roman"/>
                <w:color w:val="000000"/>
                <w:lang w:val="de-DE" w:eastAsia="de-DE"/>
              </w:rPr>
              <w:t xml:space="preserve"> </w:t>
            </w:r>
            <w:r w:rsidRPr="009C6966">
              <w:rPr>
                <w:rFonts w:ascii="Calibri" w:eastAsia="Times New Roman" w:hAnsi="Calibri" w:cs="Times New Roman"/>
                <w:color w:val="000000"/>
                <w:sz w:val="16"/>
                <w:szCs w:val="16"/>
                <w:lang w:val="de-DE" w:eastAsia="de-DE"/>
              </w:rPr>
              <w:t>5.9</w:t>
            </w:r>
          </w:p>
        </w:tc>
        <w:tc>
          <w:tcPr>
            <w:tcW w:w="1060" w:type="dxa"/>
            <w:tcBorders>
              <w:top w:val="nil"/>
              <w:left w:val="nil"/>
              <w:bottom w:val="nil"/>
              <w:right w:val="single" w:sz="4" w:space="0" w:color="auto"/>
            </w:tcBorders>
            <w:shd w:val="clear" w:color="000000" w:fill="E6B8B7"/>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 xml:space="preserve">3.1 </w:t>
            </w:r>
            <w:r w:rsidRPr="009C6966">
              <w:rPr>
                <w:rFonts w:ascii="Calibri" w:eastAsia="Times New Roman" w:hAnsi="Calibri" w:cs="Times New Roman"/>
                <w:color w:val="000000"/>
                <w:sz w:val="18"/>
                <w:szCs w:val="18"/>
                <w:lang w:val="de-DE" w:eastAsia="de-DE"/>
              </w:rPr>
              <w:t>**</w:t>
            </w:r>
          </w:p>
        </w:tc>
        <w:tc>
          <w:tcPr>
            <w:tcW w:w="1220" w:type="dxa"/>
            <w:tcBorders>
              <w:top w:val="nil"/>
              <w:left w:val="nil"/>
              <w:bottom w:val="nil"/>
              <w:right w:val="nil"/>
            </w:tcBorders>
            <w:shd w:val="clear" w:color="auto" w:fill="auto"/>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 xml:space="preserve">88.8 </w:t>
            </w:r>
            <w:r w:rsidRPr="009C6966">
              <w:rPr>
                <w:rFonts w:ascii="Calibri" w:eastAsia="Times New Roman" w:hAnsi="Calibri" w:cs="Times New Roman"/>
                <w:color w:val="000000"/>
                <w:sz w:val="16"/>
                <w:szCs w:val="16"/>
                <w:lang w:val="de-DE" w:eastAsia="de-DE"/>
              </w:rPr>
              <w:t>±</w:t>
            </w:r>
            <w:r w:rsidRPr="009C6966">
              <w:rPr>
                <w:rFonts w:ascii="Calibri" w:eastAsia="Times New Roman" w:hAnsi="Calibri" w:cs="Times New Roman"/>
                <w:color w:val="000000"/>
                <w:lang w:val="de-DE" w:eastAsia="de-DE"/>
              </w:rPr>
              <w:t xml:space="preserve"> </w:t>
            </w:r>
            <w:r w:rsidRPr="009C6966">
              <w:rPr>
                <w:rFonts w:ascii="Calibri" w:eastAsia="Times New Roman" w:hAnsi="Calibri" w:cs="Times New Roman"/>
                <w:color w:val="000000"/>
                <w:sz w:val="16"/>
                <w:szCs w:val="16"/>
                <w:lang w:val="de-DE" w:eastAsia="de-DE"/>
              </w:rPr>
              <w:t>0.4</w:t>
            </w:r>
          </w:p>
        </w:tc>
        <w:tc>
          <w:tcPr>
            <w:tcW w:w="1120" w:type="dxa"/>
            <w:tcBorders>
              <w:top w:val="nil"/>
              <w:left w:val="nil"/>
              <w:bottom w:val="nil"/>
              <w:right w:val="single" w:sz="4" w:space="0" w:color="auto"/>
            </w:tcBorders>
            <w:shd w:val="clear" w:color="auto" w:fill="auto"/>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 xml:space="preserve">96.0 </w:t>
            </w:r>
            <w:r w:rsidRPr="009C6966">
              <w:rPr>
                <w:rFonts w:ascii="Calibri" w:eastAsia="Times New Roman" w:hAnsi="Calibri" w:cs="Times New Roman"/>
                <w:color w:val="000000"/>
                <w:sz w:val="16"/>
                <w:szCs w:val="16"/>
                <w:lang w:val="de-DE" w:eastAsia="de-DE"/>
              </w:rPr>
              <w:t>±</w:t>
            </w:r>
            <w:r w:rsidRPr="009C6966">
              <w:rPr>
                <w:rFonts w:ascii="Calibri" w:eastAsia="Times New Roman" w:hAnsi="Calibri" w:cs="Times New Roman"/>
                <w:color w:val="000000"/>
                <w:lang w:val="de-DE" w:eastAsia="de-DE"/>
              </w:rPr>
              <w:t xml:space="preserve"> </w:t>
            </w:r>
            <w:r w:rsidRPr="009C6966">
              <w:rPr>
                <w:rFonts w:ascii="Calibri" w:eastAsia="Times New Roman" w:hAnsi="Calibri" w:cs="Times New Roman"/>
                <w:color w:val="000000"/>
                <w:sz w:val="16"/>
                <w:szCs w:val="16"/>
                <w:lang w:val="de-DE" w:eastAsia="de-DE"/>
              </w:rPr>
              <w:t>9.8</w:t>
            </w:r>
          </w:p>
        </w:tc>
        <w:tc>
          <w:tcPr>
            <w:tcW w:w="1100" w:type="dxa"/>
            <w:tcBorders>
              <w:top w:val="nil"/>
              <w:left w:val="nil"/>
              <w:bottom w:val="nil"/>
              <w:right w:val="single" w:sz="4" w:space="0" w:color="auto"/>
            </w:tcBorders>
            <w:shd w:val="clear" w:color="auto" w:fill="auto"/>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1.1</w:t>
            </w:r>
          </w:p>
        </w:tc>
      </w:tr>
      <w:tr w:rsidR="009C6966" w:rsidRPr="009C6966" w:rsidTr="009A36CA">
        <w:trPr>
          <w:trHeight w:val="300"/>
        </w:trPr>
        <w:tc>
          <w:tcPr>
            <w:tcW w:w="1012" w:type="dxa"/>
            <w:tcBorders>
              <w:top w:val="nil"/>
              <w:left w:val="single" w:sz="4" w:space="0" w:color="auto"/>
              <w:bottom w:val="nil"/>
              <w:right w:val="single" w:sz="4" w:space="0" w:color="auto"/>
            </w:tcBorders>
            <w:shd w:val="clear" w:color="auto" w:fill="auto"/>
            <w:vAlign w:val="bottom"/>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Lys</w:t>
            </w:r>
          </w:p>
        </w:tc>
        <w:tc>
          <w:tcPr>
            <w:tcW w:w="1240" w:type="dxa"/>
            <w:tcBorders>
              <w:top w:val="nil"/>
              <w:left w:val="nil"/>
              <w:bottom w:val="nil"/>
              <w:right w:val="nil"/>
            </w:tcBorders>
            <w:shd w:val="clear" w:color="auto" w:fill="auto"/>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5.1</w:t>
            </w:r>
            <w:r w:rsidRPr="009C6966">
              <w:rPr>
                <w:rFonts w:ascii="Calibri" w:eastAsia="Times New Roman" w:hAnsi="Calibri" w:cs="Times New Roman"/>
                <w:color w:val="000000"/>
                <w:sz w:val="16"/>
                <w:szCs w:val="16"/>
                <w:lang w:val="de-DE" w:eastAsia="de-DE"/>
              </w:rPr>
              <w:t xml:space="preserve"> ±</w:t>
            </w:r>
            <w:r w:rsidRPr="009C6966">
              <w:rPr>
                <w:rFonts w:ascii="Calibri" w:eastAsia="Times New Roman" w:hAnsi="Calibri" w:cs="Times New Roman"/>
                <w:color w:val="000000"/>
                <w:lang w:val="de-DE" w:eastAsia="de-DE"/>
              </w:rPr>
              <w:t xml:space="preserve"> </w:t>
            </w:r>
            <w:r w:rsidRPr="009C6966">
              <w:rPr>
                <w:rFonts w:ascii="Calibri" w:eastAsia="Times New Roman" w:hAnsi="Calibri" w:cs="Times New Roman"/>
                <w:color w:val="000000"/>
                <w:sz w:val="16"/>
                <w:szCs w:val="16"/>
                <w:lang w:val="de-DE" w:eastAsia="de-DE"/>
              </w:rPr>
              <w:t>1.1</w:t>
            </w:r>
          </w:p>
        </w:tc>
        <w:tc>
          <w:tcPr>
            <w:tcW w:w="1320" w:type="dxa"/>
            <w:tcBorders>
              <w:top w:val="nil"/>
              <w:left w:val="nil"/>
              <w:bottom w:val="nil"/>
              <w:right w:val="single" w:sz="4" w:space="0" w:color="auto"/>
            </w:tcBorders>
            <w:shd w:val="clear" w:color="auto" w:fill="auto"/>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28.8</w:t>
            </w:r>
            <w:r w:rsidRPr="009C6966">
              <w:rPr>
                <w:rFonts w:ascii="Calibri" w:eastAsia="Times New Roman" w:hAnsi="Calibri" w:cs="Times New Roman"/>
                <w:color w:val="000000"/>
                <w:sz w:val="16"/>
                <w:szCs w:val="16"/>
                <w:lang w:val="de-DE" w:eastAsia="de-DE"/>
              </w:rPr>
              <w:t xml:space="preserve"> ±</w:t>
            </w:r>
            <w:r w:rsidRPr="009C6966">
              <w:rPr>
                <w:rFonts w:ascii="Calibri" w:eastAsia="Times New Roman" w:hAnsi="Calibri" w:cs="Times New Roman"/>
                <w:color w:val="000000"/>
                <w:lang w:val="de-DE" w:eastAsia="de-DE"/>
              </w:rPr>
              <w:t xml:space="preserve"> </w:t>
            </w:r>
            <w:r w:rsidRPr="009C6966">
              <w:rPr>
                <w:rFonts w:ascii="Calibri" w:eastAsia="Times New Roman" w:hAnsi="Calibri" w:cs="Times New Roman"/>
                <w:color w:val="000000"/>
                <w:sz w:val="16"/>
                <w:szCs w:val="16"/>
                <w:lang w:val="de-DE" w:eastAsia="de-DE"/>
              </w:rPr>
              <w:t>11.7</w:t>
            </w:r>
          </w:p>
        </w:tc>
        <w:tc>
          <w:tcPr>
            <w:tcW w:w="979" w:type="dxa"/>
            <w:tcBorders>
              <w:top w:val="nil"/>
              <w:left w:val="nil"/>
              <w:bottom w:val="nil"/>
              <w:right w:val="single" w:sz="4" w:space="0" w:color="auto"/>
            </w:tcBorders>
            <w:shd w:val="clear" w:color="000000" w:fill="DA9694"/>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 xml:space="preserve">5.7 </w:t>
            </w:r>
            <w:r w:rsidRPr="009C6966">
              <w:rPr>
                <w:rFonts w:ascii="Calibri" w:eastAsia="Times New Roman" w:hAnsi="Calibri" w:cs="Times New Roman"/>
                <w:color w:val="000000"/>
                <w:sz w:val="18"/>
                <w:szCs w:val="18"/>
                <w:lang w:val="de-DE" w:eastAsia="de-DE"/>
              </w:rPr>
              <w:t>**</w:t>
            </w:r>
          </w:p>
        </w:tc>
        <w:tc>
          <w:tcPr>
            <w:tcW w:w="1241" w:type="dxa"/>
            <w:tcBorders>
              <w:top w:val="nil"/>
              <w:left w:val="nil"/>
              <w:bottom w:val="nil"/>
              <w:right w:val="nil"/>
            </w:tcBorders>
            <w:shd w:val="clear" w:color="auto" w:fill="auto"/>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 xml:space="preserve">6.4 </w:t>
            </w:r>
            <w:r w:rsidRPr="009C6966">
              <w:rPr>
                <w:rFonts w:ascii="Calibri" w:eastAsia="Times New Roman" w:hAnsi="Calibri" w:cs="Times New Roman"/>
                <w:color w:val="000000"/>
                <w:sz w:val="16"/>
                <w:szCs w:val="16"/>
                <w:lang w:val="de-DE" w:eastAsia="de-DE"/>
              </w:rPr>
              <w:t>±</w:t>
            </w:r>
            <w:r w:rsidRPr="009C6966">
              <w:rPr>
                <w:rFonts w:ascii="Calibri" w:eastAsia="Times New Roman" w:hAnsi="Calibri" w:cs="Times New Roman"/>
                <w:color w:val="000000"/>
                <w:lang w:val="de-DE" w:eastAsia="de-DE"/>
              </w:rPr>
              <w:t xml:space="preserve"> </w:t>
            </w:r>
            <w:r w:rsidRPr="009C6966">
              <w:rPr>
                <w:rFonts w:ascii="Calibri" w:eastAsia="Times New Roman" w:hAnsi="Calibri" w:cs="Times New Roman"/>
                <w:color w:val="000000"/>
                <w:sz w:val="16"/>
                <w:szCs w:val="16"/>
                <w:lang w:val="de-DE" w:eastAsia="de-DE"/>
              </w:rPr>
              <w:t>0.8</w:t>
            </w:r>
          </w:p>
        </w:tc>
        <w:tc>
          <w:tcPr>
            <w:tcW w:w="1120" w:type="dxa"/>
            <w:tcBorders>
              <w:top w:val="nil"/>
              <w:left w:val="nil"/>
              <w:bottom w:val="nil"/>
              <w:right w:val="single" w:sz="4" w:space="0" w:color="auto"/>
            </w:tcBorders>
            <w:shd w:val="clear" w:color="auto" w:fill="auto"/>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10.5</w:t>
            </w:r>
            <w:r w:rsidRPr="009C6966">
              <w:rPr>
                <w:rFonts w:ascii="Calibri" w:eastAsia="Times New Roman" w:hAnsi="Calibri" w:cs="Times New Roman"/>
                <w:color w:val="000000"/>
                <w:sz w:val="16"/>
                <w:szCs w:val="16"/>
                <w:lang w:val="de-DE" w:eastAsia="de-DE"/>
              </w:rPr>
              <w:t xml:space="preserve"> ±</w:t>
            </w:r>
            <w:r w:rsidRPr="009C6966">
              <w:rPr>
                <w:rFonts w:ascii="Calibri" w:eastAsia="Times New Roman" w:hAnsi="Calibri" w:cs="Times New Roman"/>
                <w:color w:val="000000"/>
                <w:lang w:val="de-DE" w:eastAsia="de-DE"/>
              </w:rPr>
              <w:t xml:space="preserve"> </w:t>
            </w:r>
            <w:r w:rsidRPr="009C6966">
              <w:rPr>
                <w:rFonts w:ascii="Calibri" w:eastAsia="Times New Roman" w:hAnsi="Calibri" w:cs="Times New Roman"/>
                <w:color w:val="000000"/>
                <w:sz w:val="16"/>
                <w:szCs w:val="16"/>
                <w:lang w:val="de-DE" w:eastAsia="de-DE"/>
              </w:rPr>
              <w:t>1.8</w:t>
            </w:r>
          </w:p>
        </w:tc>
        <w:tc>
          <w:tcPr>
            <w:tcW w:w="1020" w:type="dxa"/>
            <w:tcBorders>
              <w:top w:val="nil"/>
              <w:left w:val="nil"/>
              <w:bottom w:val="nil"/>
              <w:right w:val="single" w:sz="4" w:space="0" w:color="auto"/>
            </w:tcBorders>
            <w:shd w:val="clear" w:color="000000" w:fill="F2DCDB"/>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 xml:space="preserve">1.6 </w:t>
            </w:r>
            <w:r w:rsidRPr="009C6966">
              <w:rPr>
                <w:rFonts w:ascii="Calibri" w:eastAsia="Times New Roman" w:hAnsi="Calibri" w:cs="Times New Roman"/>
                <w:color w:val="000000"/>
                <w:sz w:val="18"/>
                <w:szCs w:val="18"/>
                <w:lang w:val="de-DE" w:eastAsia="de-DE"/>
              </w:rPr>
              <w:t>*</w:t>
            </w:r>
          </w:p>
        </w:tc>
        <w:tc>
          <w:tcPr>
            <w:tcW w:w="1260" w:type="dxa"/>
            <w:tcBorders>
              <w:top w:val="nil"/>
              <w:left w:val="nil"/>
              <w:bottom w:val="nil"/>
              <w:right w:val="nil"/>
            </w:tcBorders>
            <w:shd w:val="clear" w:color="auto" w:fill="auto"/>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 xml:space="preserve">0.90 </w:t>
            </w:r>
            <w:r w:rsidRPr="009C6966">
              <w:rPr>
                <w:rFonts w:ascii="Calibri" w:eastAsia="Times New Roman" w:hAnsi="Calibri" w:cs="Times New Roman"/>
                <w:color w:val="000000"/>
                <w:sz w:val="16"/>
                <w:szCs w:val="16"/>
                <w:lang w:val="de-DE" w:eastAsia="de-DE"/>
              </w:rPr>
              <w:t>± 0.3</w:t>
            </w:r>
          </w:p>
        </w:tc>
        <w:tc>
          <w:tcPr>
            <w:tcW w:w="1220" w:type="dxa"/>
            <w:tcBorders>
              <w:top w:val="nil"/>
              <w:left w:val="nil"/>
              <w:bottom w:val="nil"/>
              <w:right w:val="single" w:sz="4" w:space="0" w:color="auto"/>
            </w:tcBorders>
            <w:shd w:val="clear" w:color="auto" w:fill="auto"/>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 xml:space="preserve">7.8 </w:t>
            </w:r>
            <w:r w:rsidRPr="009C6966">
              <w:rPr>
                <w:rFonts w:ascii="Calibri" w:eastAsia="Times New Roman" w:hAnsi="Calibri" w:cs="Times New Roman"/>
                <w:color w:val="000000"/>
                <w:sz w:val="16"/>
                <w:szCs w:val="16"/>
                <w:lang w:val="de-DE" w:eastAsia="de-DE"/>
              </w:rPr>
              <w:t>±</w:t>
            </w:r>
            <w:r w:rsidRPr="009C6966">
              <w:rPr>
                <w:rFonts w:ascii="Calibri" w:eastAsia="Times New Roman" w:hAnsi="Calibri" w:cs="Times New Roman"/>
                <w:color w:val="000000"/>
                <w:lang w:val="de-DE" w:eastAsia="de-DE"/>
              </w:rPr>
              <w:t xml:space="preserve"> </w:t>
            </w:r>
            <w:r w:rsidRPr="009C6966">
              <w:rPr>
                <w:rFonts w:ascii="Calibri" w:eastAsia="Times New Roman" w:hAnsi="Calibri" w:cs="Times New Roman"/>
                <w:color w:val="000000"/>
                <w:sz w:val="16"/>
                <w:szCs w:val="16"/>
                <w:lang w:val="de-DE" w:eastAsia="de-DE"/>
              </w:rPr>
              <w:t>3.4</w:t>
            </w:r>
          </w:p>
        </w:tc>
        <w:tc>
          <w:tcPr>
            <w:tcW w:w="1060" w:type="dxa"/>
            <w:tcBorders>
              <w:top w:val="nil"/>
              <w:left w:val="nil"/>
              <w:bottom w:val="nil"/>
              <w:right w:val="single" w:sz="4" w:space="0" w:color="auto"/>
            </w:tcBorders>
            <w:shd w:val="clear" w:color="000000" w:fill="DA9694"/>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 xml:space="preserve">8.7 </w:t>
            </w:r>
            <w:r w:rsidRPr="009C6966">
              <w:rPr>
                <w:rFonts w:ascii="Calibri" w:eastAsia="Times New Roman" w:hAnsi="Calibri" w:cs="Times New Roman"/>
                <w:color w:val="000000"/>
                <w:sz w:val="18"/>
                <w:szCs w:val="18"/>
                <w:lang w:val="de-DE" w:eastAsia="de-DE"/>
              </w:rPr>
              <w:t>*</w:t>
            </w:r>
          </w:p>
        </w:tc>
        <w:tc>
          <w:tcPr>
            <w:tcW w:w="1220" w:type="dxa"/>
            <w:tcBorders>
              <w:top w:val="nil"/>
              <w:left w:val="nil"/>
              <w:bottom w:val="nil"/>
              <w:right w:val="nil"/>
            </w:tcBorders>
            <w:shd w:val="clear" w:color="auto" w:fill="auto"/>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 xml:space="preserve">0.44 </w:t>
            </w:r>
            <w:r w:rsidRPr="009C6966">
              <w:rPr>
                <w:rFonts w:ascii="Calibri" w:eastAsia="Times New Roman" w:hAnsi="Calibri" w:cs="Times New Roman"/>
                <w:color w:val="000000"/>
                <w:sz w:val="16"/>
                <w:szCs w:val="16"/>
                <w:lang w:val="de-DE" w:eastAsia="de-DE"/>
              </w:rPr>
              <w:t>±</w:t>
            </w:r>
            <w:r w:rsidRPr="009C6966">
              <w:rPr>
                <w:rFonts w:ascii="Calibri" w:eastAsia="Times New Roman" w:hAnsi="Calibri" w:cs="Times New Roman"/>
                <w:color w:val="000000"/>
                <w:lang w:val="de-DE" w:eastAsia="de-DE"/>
              </w:rPr>
              <w:t xml:space="preserve"> </w:t>
            </w:r>
            <w:r w:rsidRPr="009C6966">
              <w:rPr>
                <w:rFonts w:ascii="Calibri" w:eastAsia="Times New Roman" w:hAnsi="Calibri" w:cs="Times New Roman"/>
                <w:color w:val="000000"/>
                <w:sz w:val="16"/>
                <w:szCs w:val="16"/>
                <w:lang w:val="de-DE" w:eastAsia="de-DE"/>
              </w:rPr>
              <w:t>0.009</w:t>
            </w:r>
          </w:p>
        </w:tc>
        <w:tc>
          <w:tcPr>
            <w:tcW w:w="1120" w:type="dxa"/>
            <w:tcBorders>
              <w:top w:val="nil"/>
              <w:left w:val="nil"/>
              <w:bottom w:val="nil"/>
              <w:right w:val="single" w:sz="4" w:space="0" w:color="auto"/>
            </w:tcBorders>
            <w:shd w:val="clear" w:color="auto" w:fill="auto"/>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 xml:space="preserve">0.87 </w:t>
            </w:r>
            <w:r w:rsidRPr="009C6966">
              <w:rPr>
                <w:rFonts w:ascii="Calibri" w:eastAsia="Times New Roman" w:hAnsi="Calibri" w:cs="Times New Roman"/>
                <w:color w:val="000000"/>
                <w:sz w:val="16"/>
                <w:szCs w:val="16"/>
                <w:lang w:val="de-DE" w:eastAsia="de-DE"/>
              </w:rPr>
              <w:t>±</w:t>
            </w:r>
            <w:r w:rsidRPr="009C6966">
              <w:rPr>
                <w:rFonts w:ascii="Calibri" w:eastAsia="Times New Roman" w:hAnsi="Calibri" w:cs="Times New Roman"/>
                <w:color w:val="000000"/>
                <w:lang w:val="de-DE" w:eastAsia="de-DE"/>
              </w:rPr>
              <w:t xml:space="preserve"> </w:t>
            </w:r>
            <w:r w:rsidRPr="009C6966">
              <w:rPr>
                <w:rFonts w:ascii="Calibri" w:eastAsia="Times New Roman" w:hAnsi="Calibri" w:cs="Times New Roman"/>
                <w:color w:val="000000"/>
                <w:sz w:val="16"/>
                <w:szCs w:val="16"/>
                <w:lang w:val="de-DE" w:eastAsia="de-DE"/>
              </w:rPr>
              <w:t>0.4</w:t>
            </w:r>
          </w:p>
        </w:tc>
        <w:tc>
          <w:tcPr>
            <w:tcW w:w="1100" w:type="dxa"/>
            <w:tcBorders>
              <w:top w:val="nil"/>
              <w:left w:val="nil"/>
              <w:bottom w:val="nil"/>
              <w:right w:val="single" w:sz="4" w:space="0" w:color="auto"/>
            </w:tcBorders>
            <w:shd w:val="clear" w:color="000000" w:fill="F2DCDB"/>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2.0</w:t>
            </w:r>
          </w:p>
        </w:tc>
      </w:tr>
      <w:tr w:rsidR="009C6966" w:rsidRPr="009C6966" w:rsidTr="009A36CA">
        <w:trPr>
          <w:trHeight w:val="300"/>
        </w:trPr>
        <w:tc>
          <w:tcPr>
            <w:tcW w:w="1012" w:type="dxa"/>
            <w:tcBorders>
              <w:top w:val="nil"/>
              <w:left w:val="single" w:sz="4" w:space="0" w:color="auto"/>
              <w:bottom w:val="nil"/>
              <w:right w:val="single" w:sz="4" w:space="0" w:color="auto"/>
            </w:tcBorders>
            <w:shd w:val="clear" w:color="auto" w:fill="auto"/>
            <w:vAlign w:val="bottom"/>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Gly</w:t>
            </w:r>
          </w:p>
        </w:tc>
        <w:tc>
          <w:tcPr>
            <w:tcW w:w="1240" w:type="dxa"/>
            <w:tcBorders>
              <w:top w:val="nil"/>
              <w:left w:val="nil"/>
              <w:bottom w:val="nil"/>
              <w:right w:val="nil"/>
            </w:tcBorders>
            <w:shd w:val="clear" w:color="auto" w:fill="auto"/>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 xml:space="preserve">12.8 </w:t>
            </w:r>
            <w:r w:rsidRPr="009C6966">
              <w:rPr>
                <w:rFonts w:ascii="Calibri" w:eastAsia="Times New Roman" w:hAnsi="Calibri" w:cs="Times New Roman"/>
                <w:color w:val="000000"/>
                <w:sz w:val="16"/>
                <w:szCs w:val="16"/>
                <w:lang w:val="de-DE" w:eastAsia="de-DE"/>
              </w:rPr>
              <w:t>±</w:t>
            </w:r>
            <w:r w:rsidRPr="009C6966">
              <w:rPr>
                <w:rFonts w:ascii="Calibri" w:eastAsia="Times New Roman" w:hAnsi="Calibri" w:cs="Times New Roman"/>
                <w:color w:val="000000"/>
                <w:lang w:val="de-DE" w:eastAsia="de-DE"/>
              </w:rPr>
              <w:t xml:space="preserve"> </w:t>
            </w:r>
            <w:r w:rsidRPr="009C6966">
              <w:rPr>
                <w:rFonts w:ascii="Calibri" w:eastAsia="Times New Roman" w:hAnsi="Calibri" w:cs="Times New Roman"/>
                <w:color w:val="000000"/>
                <w:sz w:val="16"/>
                <w:szCs w:val="16"/>
                <w:lang w:val="de-DE" w:eastAsia="de-DE"/>
              </w:rPr>
              <w:t>1.0</w:t>
            </w:r>
          </w:p>
        </w:tc>
        <w:tc>
          <w:tcPr>
            <w:tcW w:w="1320" w:type="dxa"/>
            <w:tcBorders>
              <w:top w:val="nil"/>
              <w:left w:val="nil"/>
              <w:bottom w:val="nil"/>
              <w:right w:val="single" w:sz="4" w:space="0" w:color="auto"/>
            </w:tcBorders>
            <w:shd w:val="clear" w:color="auto" w:fill="auto"/>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 xml:space="preserve">21.7 </w:t>
            </w:r>
            <w:r w:rsidRPr="009C6966">
              <w:rPr>
                <w:rFonts w:ascii="Calibri" w:eastAsia="Times New Roman" w:hAnsi="Calibri" w:cs="Times New Roman"/>
                <w:color w:val="000000"/>
                <w:sz w:val="16"/>
                <w:szCs w:val="16"/>
                <w:lang w:val="de-DE" w:eastAsia="de-DE"/>
              </w:rPr>
              <w:t>± 5.4</w:t>
            </w:r>
          </w:p>
        </w:tc>
        <w:tc>
          <w:tcPr>
            <w:tcW w:w="979" w:type="dxa"/>
            <w:tcBorders>
              <w:top w:val="nil"/>
              <w:left w:val="nil"/>
              <w:bottom w:val="nil"/>
              <w:right w:val="single" w:sz="4" w:space="0" w:color="auto"/>
            </w:tcBorders>
            <w:shd w:val="clear" w:color="000000" w:fill="F2DCDB"/>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 xml:space="preserve">1.7 </w:t>
            </w:r>
            <w:r w:rsidRPr="009C6966">
              <w:rPr>
                <w:rFonts w:ascii="Calibri" w:eastAsia="Times New Roman" w:hAnsi="Calibri" w:cs="Times New Roman"/>
                <w:color w:val="000000"/>
                <w:sz w:val="18"/>
                <w:szCs w:val="18"/>
                <w:lang w:val="de-DE" w:eastAsia="de-DE"/>
              </w:rPr>
              <w:t>*</w:t>
            </w:r>
          </w:p>
        </w:tc>
        <w:tc>
          <w:tcPr>
            <w:tcW w:w="1241" w:type="dxa"/>
            <w:tcBorders>
              <w:top w:val="nil"/>
              <w:left w:val="nil"/>
              <w:bottom w:val="nil"/>
              <w:right w:val="nil"/>
            </w:tcBorders>
            <w:shd w:val="clear" w:color="auto" w:fill="auto"/>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 xml:space="preserve">3.6 </w:t>
            </w:r>
            <w:r w:rsidRPr="009C6966">
              <w:rPr>
                <w:rFonts w:ascii="Calibri" w:eastAsia="Times New Roman" w:hAnsi="Calibri" w:cs="Times New Roman"/>
                <w:color w:val="000000"/>
                <w:sz w:val="16"/>
                <w:szCs w:val="16"/>
                <w:lang w:val="de-DE" w:eastAsia="de-DE"/>
              </w:rPr>
              <w:t>±</w:t>
            </w:r>
            <w:r w:rsidRPr="009C6966">
              <w:rPr>
                <w:rFonts w:ascii="Calibri" w:eastAsia="Times New Roman" w:hAnsi="Calibri" w:cs="Times New Roman"/>
                <w:color w:val="000000"/>
                <w:lang w:val="de-DE" w:eastAsia="de-DE"/>
              </w:rPr>
              <w:t xml:space="preserve"> </w:t>
            </w:r>
            <w:r w:rsidRPr="009C6966">
              <w:rPr>
                <w:rFonts w:ascii="Calibri" w:eastAsia="Times New Roman" w:hAnsi="Calibri" w:cs="Times New Roman"/>
                <w:color w:val="000000"/>
                <w:sz w:val="16"/>
                <w:szCs w:val="16"/>
                <w:lang w:val="de-DE" w:eastAsia="de-DE"/>
              </w:rPr>
              <w:t>0.3</w:t>
            </w:r>
          </w:p>
        </w:tc>
        <w:tc>
          <w:tcPr>
            <w:tcW w:w="1120" w:type="dxa"/>
            <w:tcBorders>
              <w:top w:val="nil"/>
              <w:left w:val="nil"/>
              <w:bottom w:val="nil"/>
              <w:right w:val="single" w:sz="4" w:space="0" w:color="auto"/>
            </w:tcBorders>
            <w:shd w:val="clear" w:color="auto" w:fill="auto"/>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 xml:space="preserve">11.3 </w:t>
            </w:r>
            <w:r w:rsidRPr="009C6966">
              <w:rPr>
                <w:rFonts w:ascii="Calibri" w:eastAsia="Times New Roman" w:hAnsi="Calibri" w:cs="Times New Roman"/>
                <w:color w:val="000000"/>
                <w:sz w:val="16"/>
                <w:szCs w:val="16"/>
                <w:lang w:val="de-DE" w:eastAsia="de-DE"/>
              </w:rPr>
              <w:t>±</w:t>
            </w:r>
            <w:r w:rsidRPr="009C6966">
              <w:rPr>
                <w:rFonts w:ascii="Calibri" w:eastAsia="Times New Roman" w:hAnsi="Calibri" w:cs="Times New Roman"/>
                <w:color w:val="000000"/>
                <w:lang w:val="de-DE" w:eastAsia="de-DE"/>
              </w:rPr>
              <w:t xml:space="preserve"> </w:t>
            </w:r>
            <w:r w:rsidRPr="009C6966">
              <w:rPr>
                <w:rFonts w:ascii="Calibri" w:eastAsia="Times New Roman" w:hAnsi="Calibri" w:cs="Times New Roman"/>
                <w:color w:val="000000"/>
                <w:sz w:val="16"/>
                <w:szCs w:val="16"/>
                <w:lang w:val="de-DE" w:eastAsia="de-DE"/>
              </w:rPr>
              <w:t>6.3</w:t>
            </w:r>
          </w:p>
        </w:tc>
        <w:tc>
          <w:tcPr>
            <w:tcW w:w="1020" w:type="dxa"/>
            <w:tcBorders>
              <w:top w:val="nil"/>
              <w:left w:val="nil"/>
              <w:bottom w:val="nil"/>
              <w:right w:val="single" w:sz="4" w:space="0" w:color="auto"/>
            </w:tcBorders>
            <w:shd w:val="clear" w:color="000000" w:fill="E6B8B7"/>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3.2</w:t>
            </w:r>
          </w:p>
        </w:tc>
        <w:tc>
          <w:tcPr>
            <w:tcW w:w="1260" w:type="dxa"/>
            <w:tcBorders>
              <w:top w:val="nil"/>
              <w:left w:val="nil"/>
              <w:bottom w:val="nil"/>
              <w:right w:val="nil"/>
            </w:tcBorders>
            <w:shd w:val="clear" w:color="auto" w:fill="auto"/>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2.03</w:t>
            </w:r>
            <w:r w:rsidRPr="009C6966">
              <w:rPr>
                <w:rFonts w:ascii="Calibri" w:eastAsia="Times New Roman" w:hAnsi="Calibri" w:cs="Times New Roman"/>
                <w:color w:val="000000"/>
                <w:sz w:val="16"/>
                <w:szCs w:val="16"/>
                <w:lang w:val="de-DE" w:eastAsia="de-DE"/>
              </w:rPr>
              <w:t xml:space="preserve"> ±</w:t>
            </w:r>
            <w:r w:rsidRPr="009C6966">
              <w:rPr>
                <w:rFonts w:ascii="Calibri" w:eastAsia="Times New Roman" w:hAnsi="Calibri" w:cs="Times New Roman"/>
                <w:color w:val="000000"/>
                <w:lang w:val="de-DE" w:eastAsia="de-DE"/>
              </w:rPr>
              <w:t xml:space="preserve"> </w:t>
            </w:r>
            <w:r w:rsidRPr="009C6966">
              <w:rPr>
                <w:rFonts w:ascii="Calibri" w:eastAsia="Times New Roman" w:hAnsi="Calibri" w:cs="Times New Roman"/>
                <w:color w:val="000000"/>
                <w:sz w:val="16"/>
                <w:szCs w:val="16"/>
                <w:lang w:val="de-DE" w:eastAsia="de-DE"/>
              </w:rPr>
              <w:t>0.3</w:t>
            </w:r>
          </w:p>
        </w:tc>
        <w:tc>
          <w:tcPr>
            <w:tcW w:w="1220" w:type="dxa"/>
            <w:tcBorders>
              <w:top w:val="nil"/>
              <w:left w:val="nil"/>
              <w:bottom w:val="nil"/>
              <w:right w:val="single" w:sz="4" w:space="0" w:color="auto"/>
            </w:tcBorders>
            <w:shd w:val="clear" w:color="auto" w:fill="auto"/>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 xml:space="preserve">7.5 </w:t>
            </w:r>
            <w:r w:rsidRPr="009C6966">
              <w:rPr>
                <w:rFonts w:ascii="Calibri" w:eastAsia="Times New Roman" w:hAnsi="Calibri" w:cs="Times New Roman"/>
                <w:color w:val="000000"/>
                <w:sz w:val="16"/>
                <w:szCs w:val="16"/>
                <w:lang w:val="de-DE" w:eastAsia="de-DE"/>
              </w:rPr>
              <w:t>± 2.4</w:t>
            </w:r>
          </w:p>
        </w:tc>
        <w:tc>
          <w:tcPr>
            <w:tcW w:w="1060" w:type="dxa"/>
            <w:tcBorders>
              <w:top w:val="nil"/>
              <w:left w:val="nil"/>
              <w:bottom w:val="nil"/>
              <w:right w:val="single" w:sz="4" w:space="0" w:color="auto"/>
            </w:tcBorders>
            <w:shd w:val="clear" w:color="000000" w:fill="E6B8B7"/>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 xml:space="preserve">3.7 </w:t>
            </w:r>
            <w:r w:rsidRPr="009C6966">
              <w:rPr>
                <w:rFonts w:ascii="Calibri" w:eastAsia="Times New Roman" w:hAnsi="Calibri" w:cs="Times New Roman"/>
                <w:color w:val="000000"/>
                <w:sz w:val="18"/>
                <w:szCs w:val="18"/>
                <w:lang w:val="de-DE" w:eastAsia="de-DE"/>
              </w:rPr>
              <w:t>*</w:t>
            </w:r>
          </w:p>
        </w:tc>
        <w:tc>
          <w:tcPr>
            <w:tcW w:w="1220" w:type="dxa"/>
            <w:tcBorders>
              <w:top w:val="nil"/>
              <w:left w:val="nil"/>
              <w:bottom w:val="nil"/>
              <w:right w:val="nil"/>
            </w:tcBorders>
            <w:shd w:val="clear" w:color="auto" w:fill="auto"/>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 xml:space="preserve">39.2 </w:t>
            </w:r>
            <w:r w:rsidRPr="009C6966">
              <w:rPr>
                <w:rFonts w:ascii="Calibri" w:eastAsia="Times New Roman" w:hAnsi="Calibri" w:cs="Times New Roman"/>
                <w:color w:val="000000"/>
                <w:sz w:val="16"/>
                <w:szCs w:val="16"/>
                <w:lang w:val="de-DE" w:eastAsia="de-DE"/>
              </w:rPr>
              <w:t>±</w:t>
            </w:r>
            <w:r w:rsidRPr="009C6966">
              <w:rPr>
                <w:rFonts w:ascii="Calibri" w:eastAsia="Times New Roman" w:hAnsi="Calibri" w:cs="Times New Roman"/>
                <w:color w:val="000000"/>
                <w:lang w:val="de-DE" w:eastAsia="de-DE"/>
              </w:rPr>
              <w:t xml:space="preserve"> </w:t>
            </w:r>
            <w:r w:rsidRPr="009C6966">
              <w:rPr>
                <w:rFonts w:ascii="Calibri" w:eastAsia="Times New Roman" w:hAnsi="Calibri" w:cs="Times New Roman"/>
                <w:color w:val="000000"/>
                <w:sz w:val="16"/>
                <w:szCs w:val="16"/>
                <w:lang w:val="de-DE" w:eastAsia="de-DE"/>
              </w:rPr>
              <w:t>2.3</w:t>
            </w:r>
          </w:p>
        </w:tc>
        <w:tc>
          <w:tcPr>
            <w:tcW w:w="1120" w:type="dxa"/>
            <w:tcBorders>
              <w:top w:val="nil"/>
              <w:left w:val="nil"/>
              <w:bottom w:val="nil"/>
              <w:right w:val="single" w:sz="4" w:space="0" w:color="auto"/>
            </w:tcBorders>
            <w:shd w:val="clear" w:color="auto" w:fill="auto"/>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11.4</w:t>
            </w:r>
            <w:r w:rsidRPr="009C6966">
              <w:rPr>
                <w:rFonts w:ascii="Calibri" w:eastAsia="Times New Roman" w:hAnsi="Calibri" w:cs="Times New Roman"/>
                <w:color w:val="000000"/>
                <w:sz w:val="16"/>
                <w:szCs w:val="16"/>
                <w:lang w:val="de-DE" w:eastAsia="de-DE"/>
              </w:rPr>
              <w:t xml:space="preserve"> ± 2.2</w:t>
            </w:r>
          </w:p>
        </w:tc>
        <w:tc>
          <w:tcPr>
            <w:tcW w:w="1100" w:type="dxa"/>
            <w:tcBorders>
              <w:top w:val="nil"/>
              <w:left w:val="nil"/>
              <w:bottom w:val="nil"/>
              <w:right w:val="single" w:sz="4" w:space="0" w:color="auto"/>
            </w:tcBorders>
            <w:shd w:val="clear" w:color="000000" w:fill="76933C"/>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 xml:space="preserve">0.3 </w:t>
            </w:r>
            <w:r w:rsidRPr="009C6966">
              <w:rPr>
                <w:rFonts w:ascii="Calibri" w:eastAsia="Times New Roman" w:hAnsi="Calibri" w:cs="Times New Roman"/>
                <w:color w:val="000000"/>
                <w:sz w:val="18"/>
                <w:szCs w:val="18"/>
                <w:lang w:val="de-DE" w:eastAsia="de-DE"/>
              </w:rPr>
              <w:t>**</w:t>
            </w:r>
          </w:p>
        </w:tc>
      </w:tr>
      <w:tr w:rsidR="009C6966" w:rsidRPr="009C6966" w:rsidTr="009A36CA">
        <w:trPr>
          <w:trHeight w:val="300"/>
        </w:trPr>
        <w:tc>
          <w:tcPr>
            <w:tcW w:w="1012" w:type="dxa"/>
            <w:tcBorders>
              <w:top w:val="nil"/>
              <w:left w:val="single" w:sz="4" w:space="0" w:color="auto"/>
              <w:bottom w:val="nil"/>
              <w:right w:val="single" w:sz="4" w:space="0" w:color="auto"/>
            </w:tcBorders>
            <w:shd w:val="clear" w:color="auto" w:fill="auto"/>
            <w:vAlign w:val="bottom"/>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 xml:space="preserve">Glu </w:t>
            </w:r>
          </w:p>
        </w:tc>
        <w:tc>
          <w:tcPr>
            <w:tcW w:w="1240" w:type="dxa"/>
            <w:tcBorders>
              <w:top w:val="nil"/>
              <w:left w:val="nil"/>
              <w:bottom w:val="nil"/>
              <w:right w:val="nil"/>
            </w:tcBorders>
            <w:shd w:val="clear" w:color="auto" w:fill="auto"/>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 xml:space="preserve">277.0 </w:t>
            </w:r>
            <w:r w:rsidRPr="009C6966">
              <w:rPr>
                <w:rFonts w:ascii="Calibri" w:eastAsia="Times New Roman" w:hAnsi="Calibri" w:cs="Times New Roman"/>
                <w:color w:val="000000"/>
                <w:sz w:val="16"/>
                <w:szCs w:val="16"/>
                <w:lang w:val="de-DE" w:eastAsia="de-DE"/>
              </w:rPr>
              <w:t>± 63.9</w:t>
            </w:r>
          </w:p>
        </w:tc>
        <w:tc>
          <w:tcPr>
            <w:tcW w:w="1320" w:type="dxa"/>
            <w:tcBorders>
              <w:top w:val="nil"/>
              <w:left w:val="nil"/>
              <w:bottom w:val="nil"/>
              <w:right w:val="single" w:sz="4" w:space="0" w:color="auto"/>
            </w:tcBorders>
            <w:shd w:val="clear" w:color="auto" w:fill="auto"/>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 xml:space="preserve">282.5 </w:t>
            </w:r>
            <w:r w:rsidRPr="009C6966">
              <w:rPr>
                <w:rFonts w:ascii="Calibri" w:eastAsia="Times New Roman" w:hAnsi="Calibri" w:cs="Times New Roman"/>
                <w:color w:val="000000"/>
                <w:sz w:val="16"/>
                <w:szCs w:val="16"/>
                <w:lang w:val="de-DE" w:eastAsia="de-DE"/>
              </w:rPr>
              <w:t>± 95.1</w:t>
            </w:r>
          </w:p>
        </w:tc>
        <w:tc>
          <w:tcPr>
            <w:tcW w:w="979" w:type="dxa"/>
            <w:tcBorders>
              <w:top w:val="nil"/>
              <w:left w:val="nil"/>
              <w:bottom w:val="nil"/>
              <w:right w:val="single" w:sz="4" w:space="0" w:color="auto"/>
            </w:tcBorders>
            <w:shd w:val="clear" w:color="auto" w:fill="auto"/>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1.0</w:t>
            </w:r>
          </w:p>
        </w:tc>
        <w:tc>
          <w:tcPr>
            <w:tcW w:w="1241" w:type="dxa"/>
            <w:tcBorders>
              <w:top w:val="nil"/>
              <w:left w:val="nil"/>
              <w:bottom w:val="nil"/>
              <w:right w:val="nil"/>
            </w:tcBorders>
            <w:shd w:val="clear" w:color="auto" w:fill="auto"/>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 xml:space="preserve">119.4 </w:t>
            </w:r>
            <w:r w:rsidRPr="009C6966">
              <w:rPr>
                <w:rFonts w:ascii="Calibri" w:eastAsia="Times New Roman" w:hAnsi="Calibri" w:cs="Times New Roman"/>
                <w:color w:val="000000"/>
                <w:sz w:val="16"/>
                <w:szCs w:val="16"/>
                <w:lang w:val="de-DE" w:eastAsia="de-DE"/>
              </w:rPr>
              <w:t>± 12.2</w:t>
            </w:r>
          </w:p>
        </w:tc>
        <w:tc>
          <w:tcPr>
            <w:tcW w:w="1120" w:type="dxa"/>
            <w:tcBorders>
              <w:top w:val="nil"/>
              <w:left w:val="nil"/>
              <w:bottom w:val="nil"/>
              <w:right w:val="single" w:sz="4" w:space="0" w:color="auto"/>
            </w:tcBorders>
            <w:shd w:val="clear" w:color="auto" w:fill="auto"/>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 xml:space="preserve">105.4 </w:t>
            </w:r>
            <w:r w:rsidRPr="009C6966">
              <w:rPr>
                <w:rFonts w:ascii="Calibri" w:eastAsia="Times New Roman" w:hAnsi="Calibri" w:cs="Times New Roman"/>
                <w:color w:val="000000"/>
                <w:sz w:val="16"/>
                <w:szCs w:val="16"/>
                <w:lang w:val="de-DE" w:eastAsia="de-DE"/>
              </w:rPr>
              <w:t>± 17.4</w:t>
            </w:r>
          </w:p>
        </w:tc>
        <w:tc>
          <w:tcPr>
            <w:tcW w:w="1020" w:type="dxa"/>
            <w:tcBorders>
              <w:top w:val="nil"/>
              <w:left w:val="nil"/>
              <w:bottom w:val="nil"/>
              <w:right w:val="single" w:sz="4" w:space="0" w:color="auto"/>
            </w:tcBorders>
            <w:shd w:val="clear" w:color="auto" w:fill="auto"/>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0.9</w:t>
            </w:r>
          </w:p>
        </w:tc>
        <w:tc>
          <w:tcPr>
            <w:tcW w:w="1260" w:type="dxa"/>
            <w:tcBorders>
              <w:top w:val="nil"/>
              <w:left w:val="nil"/>
              <w:bottom w:val="nil"/>
              <w:right w:val="nil"/>
            </w:tcBorders>
            <w:shd w:val="clear" w:color="auto" w:fill="auto"/>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 xml:space="preserve">134.0 </w:t>
            </w:r>
            <w:r w:rsidRPr="009C6966">
              <w:rPr>
                <w:rFonts w:ascii="Calibri" w:eastAsia="Times New Roman" w:hAnsi="Calibri" w:cs="Times New Roman"/>
                <w:color w:val="000000"/>
                <w:sz w:val="16"/>
                <w:szCs w:val="16"/>
                <w:lang w:val="de-DE" w:eastAsia="de-DE"/>
              </w:rPr>
              <w:t>± 28.1</w:t>
            </w:r>
          </w:p>
        </w:tc>
        <w:tc>
          <w:tcPr>
            <w:tcW w:w="1220" w:type="dxa"/>
            <w:tcBorders>
              <w:top w:val="nil"/>
              <w:left w:val="nil"/>
              <w:bottom w:val="nil"/>
              <w:right w:val="single" w:sz="4" w:space="0" w:color="auto"/>
            </w:tcBorders>
            <w:shd w:val="clear" w:color="auto" w:fill="auto"/>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 xml:space="preserve">208.6 </w:t>
            </w:r>
            <w:r w:rsidRPr="009C6966">
              <w:rPr>
                <w:rFonts w:ascii="Calibri" w:eastAsia="Times New Roman" w:hAnsi="Calibri" w:cs="Times New Roman"/>
                <w:color w:val="000000"/>
                <w:sz w:val="16"/>
                <w:szCs w:val="16"/>
                <w:lang w:val="de-DE" w:eastAsia="de-DE"/>
              </w:rPr>
              <w:t>± 40.2</w:t>
            </w:r>
          </w:p>
        </w:tc>
        <w:tc>
          <w:tcPr>
            <w:tcW w:w="1060" w:type="dxa"/>
            <w:tcBorders>
              <w:top w:val="nil"/>
              <w:left w:val="nil"/>
              <w:bottom w:val="nil"/>
              <w:right w:val="single" w:sz="4" w:space="0" w:color="auto"/>
            </w:tcBorders>
            <w:shd w:val="clear" w:color="000000" w:fill="F2DCDB"/>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1.6</w:t>
            </w:r>
          </w:p>
        </w:tc>
        <w:tc>
          <w:tcPr>
            <w:tcW w:w="1220" w:type="dxa"/>
            <w:tcBorders>
              <w:top w:val="nil"/>
              <w:left w:val="nil"/>
              <w:bottom w:val="nil"/>
              <w:right w:val="nil"/>
            </w:tcBorders>
            <w:shd w:val="clear" w:color="auto" w:fill="auto"/>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 xml:space="preserve">453.0 </w:t>
            </w:r>
            <w:r w:rsidRPr="009C6966">
              <w:rPr>
                <w:rFonts w:ascii="Calibri" w:eastAsia="Times New Roman" w:hAnsi="Calibri" w:cs="Times New Roman"/>
                <w:color w:val="000000"/>
                <w:sz w:val="16"/>
                <w:szCs w:val="16"/>
                <w:lang w:val="de-DE" w:eastAsia="de-DE"/>
              </w:rPr>
              <w:t>± 13.4</w:t>
            </w:r>
          </w:p>
        </w:tc>
        <w:tc>
          <w:tcPr>
            <w:tcW w:w="1120" w:type="dxa"/>
            <w:tcBorders>
              <w:top w:val="nil"/>
              <w:left w:val="nil"/>
              <w:bottom w:val="nil"/>
              <w:right w:val="single" w:sz="4" w:space="0" w:color="auto"/>
            </w:tcBorders>
            <w:shd w:val="clear" w:color="auto" w:fill="auto"/>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 xml:space="preserve">362.4 </w:t>
            </w:r>
            <w:r w:rsidRPr="009C6966">
              <w:rPr>
                <w:rFonts w:ascii="Calibri" w:eastAsia="Times New Roman" w:hAnsi="Calibri" w:cs="Times New Roman"/>
                <w:color w:val="000000"/>
                <w:sz w:val="16"/>
                <w:szCs w:val="16"/>
                <w:lang w:val="de-DE" w:eastAsia="de-DE"/>
              </w:rPr>
              <w:t>± 19.2</w:t>
            </w:r>
          </w:p>
        </w:tc>
        <w:tc>
          <w:tcPr>
            <w:tcW w:w="1100" w:type="dxa"/>
            <w:tcBorders>
              <w:top w:val="nil"/>
              <w:left w:val="nil"/>
              <w:bottom w:val="nil"/>
              <w:right w:val="single" w:sz="4" w:space="0" w:color="auto"/>
            </w:tcBorders>
            <w:shd w:val="clear" w:color="000000" w:fill="D8E4BC"/>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 xml:space="preserve">0.8 </w:t>
            </w:r>
            <w:r w:rsidRPr="009C6966">
              <w:rPr>
                <w:rFonts w:ascii="Calibri" w:eastAsia="Times New Roman" w:hAnsi="Calibri" w:cs="Times New Roman"/>
                <w:color w:val="000000"/>
                <w:sz w:val="18"/>
                <w:szCs w:val="18"/>
                <w:lang w:val="de-DE" w:eastAsia="de-DE"/>
              </w:rPr>
              <w:t>**</w:t>
            </w:r>
          </w:p>
        </w:tc>
      </w:tr>
      <w:tr w:rsidR="009C6966" w:rsidRPr="009C6966" w:rsidTr="009A36CA">
        <w:trPr>
          <w:trHeight w:val="300"/>
        </w:trPr>
        <w:tc>
          <w:tcPr>
            <w:tcW w:w="1012" w:type="dxa"/>
            <w:tcBorders>
              <w:top w:val="nil"/>
              <w:left w:val="single" w:sz="4" w:space="0" w:color="auto"/>
              <w:bottom w:val="nil"/>
              <w:right w:val="single" w:sz="4" w:space="0" w:color="auto"/>
            </w:tcBorders>
            <w:shd w:val="clear" w:color="auto" w:fill="auto"/>
            <w:vAlign w:val="bottom"/>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Gln</w:t>
            </w:r>
          </w:p>
        </w:tc>
        <w:tc>
          <w:tcPr>
            <w:tcW w:w="1240" w:type="dxa"/>
            <w:tcBorders>
              <w:top w:val="nil"/>
              <w:left w:val="nil"/>
              <w:bottom w:val="nil"/>
              <w:right w:val="nil"/>
            </w:tcBorders>
            <w:shd w:val="clear" w:color="auto" w:fill="auto"/>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 xml:space="preserve">254.1 </w:t>
            </w:r>
            <w:r w:rsidRPr="009C6966">
              <w:rPr>
                <w:rFonts w:ascii="Calibri" w:eastAsia="Times New Roman" w:hAnsi="Calibri" w:cs="Times New Roman"/>
                <w:color w:val="000000"/>
                <w:sz w:val="16"/>
                <w:szCs w:val="16"/>
                <w:lang w:val="de-DE" w:eastAsia="de-DE"/>
              </w:rPr>
              <w:t>± 65.2</w:t>
            </w:r>
          </w:p>
        </w:tc>
        <w:tc>
          <w:tcPr>
            <w:tcW w:w="1320" w:type="dxa"/>
            <w:tcBorders>
              <w:top w:val="nil"/>
              <w:left w:val="nil"/>
              <w:bottom w:val="nil"/>
              <w:right w:val="single" w:sz="4" w:space="0" w:color="auto"/>
            </w:tcBorders>
            <w:shd w:val="clear" w:color="auto" w:fill="auto"/>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 xml:space="preserve">374.5 </w:t>
            </w:r>
            <w:r w:rsidRPr="009C6966">
              <w:rPr>
                <w:rFonts w:ascii="Calibri" w:eastAsia="Times New Roman" w:hAnsi="Calibri" w:cs="Times New Roman"/>
                <w:color w:val="000000"/>
                <w:sz w:val="16"/>
                <w:szCs w:val="16"/>
                <w:lang w:val="de-DE" w:eastAsia="de-DE"/>
              </w:rPr>
              <w:t>± 72.0</w:t>
            </w:r>
          </w:p>
        </w:tc>
        <w:tc>
          <w:tcPr>
            <w:tcW w:w="979" w:type="dxa"/>
            <w:tcBorders>
              <w:top w:val="nil"/>
              <w:left w:val="nil"/>
              <w:bottom w:val="nil"/>
              <w:right w:val="single" w:sz="4" w:space="0" w:color="auto"/>
            </w:tcBorders>
            <w:shd w:val="clear" w:color="auto" w:fill="auto"/>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1.5</w:t>
            </w:r>
          </w:p>
        </w:tc>
        <w:tc>
          <w:tcPr>
            <w:tcW w:w="1241" w:type="dxa"/>
            <w:tcBorders>
              <w:top w:val="nil"/>
              <w:left w:val="nil"/>
              <w:bottom w:val="nil"/>
              <w:right w:val="nil"/>
            </w:tcBorders>
            <w:shd w:val="clear" w:color="auto" w:fill="auto"/>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 xml:space="preserve">3.1 </w:t>
            </w:r>
            <w:r w:rsidRPr="009C6966">
              <w:rPr>
                <w:rFonts w:ascii="Calibri" w:eastAsia="Times New Roman" w:hAnsi="Calibri" w:cs="Times New Roman"/>
                <w:color w:val="000000"/>
                <w:sz w:val="16"/>
                <w:szCs w:val="16"/>
                <w:lang w:val="de-DE" w:eastAsia="de-DE"/>
              </w:rPr>
              <w:t>± 1.3</w:t>
            </w:r>
          </w:p>
        </w:tc>
        <w:tc>
          <w:tcPr>
            <w:tcW w:w="1120" w:type="dxa"/>
            <w:tcBorders>
              <w:top w:val="nil"/>
              <w:left w:val="nil"/>
              <w:bottom w:val="nil"/>
              <w:right w:val="single" w:sz="4" w:space="0" w:color="auto"/>
            </w:tcBorders>
            <w:shd w:val="clear" w:color="auto" w:fill="auto"/>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10.8</w:t>
            </w:r>
            <w:r w:rsidRPr="009C6966">
              <w:rPr>
                <w:rFonts w:ascii="Calibri" w:eastAsia="Times New Roman" w:hAnsi="Calibri" w:cs="Times New Roman"/>
                <w:color w:val="000000"/>
                <w:sz w:val="16"/>
                <w:szCs w:val="16"/>
                <w:lang w:val="de-DE" w:eastAsia="de-DE"/>
              </w:rPr>
              <w:t xml:space="preserve"> ± 3.5</w:t>
            </w:r>
          </w:p>
        </w:tc>
        <w:tc>
          <w:tcPr>
            <w:tcW w:w="1020" w:type="dxa"/>
            <w:tcBorders>
              <w:top w:val="nil"/>
              <w:left w:val="nil"/>
              <w:bottom w:val="nil"/>
              <w:right w:val="single" w:sz="4" w:space="0" w:color="auto"/>
            </w:tcBorders>
            <w:shd w:val="clear" w:color="000000" w:fill="E6B8B7"/>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 xml:space="preserve">3.5 </w:t>
            </w:r>
            <w:r w:rsidRPr="009C6966">
              <w:rPr>
                <w:rFonts w:ascii="Calibri" w:eastAsia="Times New Roman" w:hAnsi="Calibri" w:cs="Times New Roman"/>
                <w:color w:val="000000"/>
                <w:sz w:val="18"/>
                <w:szCs w:val="18"/>
                <w:lang w:val="de-DE" w:eastAsia="de-DE"/>
              </w:rPr>
              <w:t>*</w:t>
            </w:r>
          </w:p>
        </w:tc>
        <w:tc>
          <w:tcPr>
            <w:tcW w:w="1260" w:type="dxa"/>
            <w:tcBorders>
              <w:top w:val="nil"/>
              <w:left w:val="nil"/>
              <w:bottom w:val="nil"/>
              <w:right w:val="nil"/>
            </w:tcBorders>
            <w:shd w:val="clear" w:color="auto" w:fill="auto"/>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 xml:space="preserve">15.2 </w:t>
            </w:r>
            <w:r w:rsidRPr="009C6966">
              <w:rPr>
                <w:rFonts w:ascii="Calibri" w:eastAsia="Times New Roman" w:hAnsi="Calibri" w:cs="Times New Roman"/>
                <w:color w:val="000000"/>
                <w:sz w:val="16"/>
                <w:szCs w:val="16"/>
                <w:lang w:val="de-DE" w:eastAsia="de-DE"/>
              </w:rPr>
              <w:t>± 7.9</w:t>
            </w:r>
          </w:p>
        </w:tc>
        <w:tc>
          <w:tcPr>
            <w:tcW w:w="1220" w:type="dxa"/>
            <w:tcBorders>
              <w:top w:val="nil"/>
              <w:left w:val="nil"/>
              <w:bottom w:val="nil"/>
              <w:right w:val="single" w:sz="4" w:space="0" w:color="auto"/>
            </w:tcBorders>
            <w:shd w:val="clear" w:color="auto" w:fill="auto"/>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 xml:space="preserve">105.0 </w:t>
            </w:r>
            <w:r w:rsidRPr="009C6966">
              <w:rPr>
                <w:rFonts w:ascii="Calibri" w:eastAsia="Times New Roman" w:hAnsi="Calibri" w:cs="Times New Roman"/>
                <w:color w:val="000000"/>
                <w:sz w:val="16"/>
                <w:szCs w:val="16"/>
                <w:lang w:val="de-DE" w:eastAsia="de-DE"/>
              </w:rPr>
              <w:t>± 37.7</w:t>
            </w:r>
          </w:p>
        </w:tc>
        <w:tc>
          <w:tcPr>
            <w:tcW w:w="1060" w:type="dxa"/>
            <w:tcBorders>
              <w:top w:val="nil"/>
              <w:left w:val="nil"/>
              <w:bottom w:val="nil"/>
              <w:right w:val="single" w:sz="4" w:space="0" w:color="auto"/>
            </w:tcBorders>
            <w:shd w:val="clear" w:color="000000" w:fill="DA9694"/>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 xml:space="preserve">6.9 </w:t>
            </w:r>
            <w:r w:rsidRPr="009C6966">
              <w:rPr>
                <w:rFonts w:ascii="Calibri" w:eastAsia="Times New Roman" w:hAnsi="Calibri" w:cs="Times New Roman"/>
                <w:color w:val="000000"/>
                <w:sz w:val="18"/>
                <w:szCs w:val="18"/>
                <w:lang w:val="de-DE" w:eastAsia="de-DE"/>
              </w:rPr>
              <w:t>*</w:t>
            </w:r>
          </w:p>
        </w:tc>
        <w:tc>
          <w:tcPr>
            <w:tcW w:w="1220" w:type="dxa"/>
            <w:tcBorders>
              <w:top w:val="nil"/>
              <w:left w:val="nil"/>
              <w:bottom w:val="nil"/>
              <w:right w:val="nil"/>
            </w:tcBorders>
            <w:shd w:val="clear" w:color="auto" w:fill="auto"/>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95.3</w:t>
            </w:r>
            <w:r w:rsidRPr="009C6966">
              <w:rPr>
                <w:rFonts w:ascii="Calibri" w:eastAsia="Times New Roman" w:hAnsi="Calibri" w:cs="Times New Roman"/>
                <w:color w:val="000000"/>
                <w:sz w:val="16"/>
                <w:szCs w:val="16"/>
                <w:lang w:val="de-DE" w:eastAsia="de-DE"/>
              </w:rPr>
              <w:t xml:space="preserve"> ± 1.7</w:t>
            </w:r>
          </w:p>
        </w:tc>
        <w:tc>
          <w:tcPr>
            <w:tcW w:w="1120" w:type="dxa"/>
            <w:tcBorders>
              <w:top w:val="nil"/>
              <w:left w:val="nil"/>
              <w:bottom w:val="nil"/>
              <w:right w:val="single" w:sz="4" w:space="0" w:color="auto"/>
            </w:tcBorders>
            <w:shd w:val="clear" w:color="auto" w:fill="auto"/>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 xml:space="preserve">70.1 </w:t>
            </w:r>
            <w:r w:rsidRPr="009C6966">
              <w:rPr>
                <w:rFonts w:ascii="Calibri" w:eastAsia="Times New Roman" w:hAnsi="Calibri" w:cs="Times New Roman"/>
                <w:color w:val="000000"/>
                <w:sz w:val="16"/>
                <w:szCs w:val="16"/>
                <w:lang w:val="de-DE" w:eastAsia="de-DE"/>
              </w:rPr>
              <w:t>± 20.8</w:t>
            </w:r>
          </w:p>
        </w:tc>
        <w:tc>
          <w:tcPr>
            <w:tcW w:w="1100" w:type="dxa"/>
            <w:tcBorders>
              <w:top w:val="nil"/>
              <w:left w:val="nil"/>
              <w:bottom w:val="nil"/>
              <w:right w:val="single" w:sz="4" w:space="0" w:color="auto"/>
            </w:tcBorders>
            <w:shd w:val="clear" w:color="000000" w:fill="D8E4BC"/>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0.7</w:t>
            </w:r>
          </w:p>
        </w:tc>
      </w:tr>
      <w:tr w:rsidR="009C6966" w:rsidRPr="009C6966" w:rsidTr="009A36CA">
        <w:trPr>
          <w:trHeight w:val="300"/>
        </w:trPr>
        <w:tc>
          <w:tcPr>
            <w:tcW w:w="1012" w:type="dxa"/>
            <w:tcBorders>
              <w:top w:val="nil"/>
              <w:left w:val="single" w:sz="4" w:space="0" w:color="auto"/>
              <w:bottom w:val="nil"/>
              <w:right w:val="single" w:sz="4" w:space="0" w:color="auto"/>
            </w:tcBorders>
            <w:shd w:val="clear" w:color="auto" w:fill="auto"/>
            <w:vAlign w:val="bottom"/>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Phe</w:t>
            </w:r>
          </w:p>
        </w:tc>
        <w:tc>
          <w:tcPr>
            <w:tcW w:w="1240" w:type="dxa"/>
            <w:tcBorders>
              <w:top w:val="nil"/>
              <w:left w:val="nil"/>
              <w:bottom w:val="nil"/>
              <w:right w:val="nil"/>
            </w:tcBorders>
            <w:shd w:val="clear" w:color="auto" w:fill="auto"/>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 xml:space="preserve">3.7 </w:t>
            </w:r>
            <w:r w:rsidRPr="009C6966">
              <w:rPr>
                <w:rFonts w:ascii="Calibri" w:eastAsia="Times New Roman" w:hAnsi="Calibri" w:cs="Times New Roman"/>
                <w:color w:val="000000"/>
                <w:sz w:val="16"/>
                <w:szCs w:val="16"/>
                <w:lang w:val="de-DE" w:eastAsia="de-DE"/>
              </w:rPr>
              <w:t>± 0.2</w:t>
            </w:r>
          </w:p>
        </w:tc>
        <w:tc>
          <w:tcPr>
            <w:tcW w:w="1320" w:type="dxa"/>
            <w:tcBorders>
              <w:top w:val="nil"/>
              <w:left w:val="nil"/>
              <w:bottom w:val="nil"/>
              <w:right w:val="single" w:sz="4" w:space="0" w:color="auto"/>
            </w:tcBorders>
            <w:shd w:val="clear" w:color="auto" w:fill="auto"/>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 xml:space="preserve">20.3 </w:t>
            </w:r>
            <w:r w:rsidRPr="009C6966">
              <w:rPr>
                <w:rFonts w:ascii="Calibri" w:eastAsia="Times New Roman" w:hAnsi="Calibri" w:cs="Times New Roman"/>
                <w:color w:val="000000"/>
                <w:sz w:val="16"/>
                <w:szCs w:val="16"/>
                <w:lang w:val="de-DE" w:eastAsia="de-DE"/>
              </w:rPr>
              <w:t>± 4.9</w:t>
            </w:r>
          </w:p>
        </w:tc>
        <w:tc>
          <w:tcPr>
            <w:tcW w:w="979" w:type="dxa"/>
            <w:tcBorders>
              <w:top w:val="nil"/>
              <w:left w:val="nil"/>
              <w:bottom w:val="nil"/>
              <w:right w:val="single" w:sz="4" w:space="0" w:color="auto"/>
            </w:tcBorders>
            <w:shd w:val="clear" w:color="000000" w:fill="DA9694"/>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 xml:space="preserve">5.5 </w:t>
            </w:r>
            <w:r w:rsidRPr="009C6966">
              <w:rPr>
                <w:rFonts w:ascii="Calibri" w:eastAsia="Times New Roman" w:hAnsi="Calibri" w:cs="Times New Roman"/>
                <w:color w:val="000000"/>
                <w:sz w:val="18"/>
                <w:szCs w:val="18"/>
                <w:lang w:val="de-DE" w:eastAsia="de-DE"/>
              </w:rPr>
              <w:t>*</w:t>
            </w:r>
          </w:p>
        </w:tc>
        <w:tc>
          <w:tcPr>
            <w:tcW w:w="1241" w:type="dxa"/>
            <w:tcBorders>
              <w:top w:val="nil"/>
              <w:left w:val="nil"/>
              <w:bottom w:val="nil"/>
              <w:right w:val="nil"/>
            </w:tcBorders>
            <w:shd w:val="clear" w:color="auto" w:fill="auto"/>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 xml:space="preserve">7.3 </w:t>
            </w:r>
            <w:r w:rsidRPr="009C6966">
              <w:rPr>
                <w:rFonts w:ascii="Calibri" w:eastAsia="Times New Roman" w:hAnsi="Calibri" w:cs="Times New Roman"/>
                <w:color w:val="000000"/>
                <w:sz w:val="16"/>
                <w:szCs w:val="16"/>
                <w:lang w:val="de-DE" w:eastAsia="de-DE"/>
              </w:rPr>
              <w:t>± 0.7</w:t>
            </w:r>
          </w:p>
        </w:tc>
        <w:tc>
          <w:tcPr>
            <w:tcW w:w="1120" w:type="dxa"/>
            <w:tcBorders>
              <w:top w:val="nil"/>
              <w:left w:val="nil"/>
              <w:bottom w:val="nil"/>
              <w:right w:val="single" w:sz="4" w:space="0" w:color="auto"/>
            </w:tcBorders>
            <w:shd w:val="clear" w:color="auto" w:fill="auto"/>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 xml:space="preserve">8.6 </w:t>
            </w:r>
            <w:r w:rsidRPr="009C6966">
              <w:rPr>
                <w:rFonts w:ascii="Calibri" w:eastAsia="Times New Roman" w:hAnsi="Calibri" w:cs="Times New Roman"/>
                <w:color w:val="000000"/>
                <w:sz w:val="16"/>
                <w:szCs w:val="16"/>
                <w:lang w:val="de-DE" w:eastAsia="de-DE"/>
              </w:rPr>
              <w:t>± 1.5</w:t>
            </w:r>
          </w:p>
        </w:tc>
        <w:tc>
          <w:tcPr>
            <w:tcW w:w="1020" w:type="dxa"/>
            <w:tcBorders>
              <w:top w:val="nil"/>
              <w:left w:val="nil"/>
              <w:bottom w:val="nil"/>
              <w:right w:val="single" w:sz="4" w:space="0" w:color="auto"/>
            </w:tcBorders>
            <w:shd w:val="clear" w:color="auto" w:fill="auto"/>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1.2</w:t>
            </w:r>
          </w:p>
        </w:tc>
        <w:tc>
          <w:tcPr>
            <w:tcW w:w="1260" w:type="dxa"/>
            <w:tcBorders>
              <w:top w:val="nil"/>
              <w:left w:val="nil"/>
              <w:bottom w:val="nil"/>
              <w:right w:val="nil"/>
            </w:tcBorders>
            <w:shd w:val="clear" w:color="auto" w:fill="auto"/>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 xml:space="preserve">1.2 </w:t>
            </w:r>
            <w:r w:rsidRPr="009C6966">
              <w:rPr>
                <w:rFonts w:ascii="Calibri" w:eastAsia="Times New Roman" w:hAnsi="Calibri" w:cs="Times New Roman"/>
                <w:color w:val="000000"/>
                <w:sz w:val="16"/>
                <w:szCs w:val="16"/>
                <w:lang w:val="de-DE" w:eastAsia="de-DE"/>
              </w:rPr>
              <w:t>± 0.03</w:t>
            </w:r>
          </w:p>
        </w:tc>
        <w:tc>
          <w:tcPr>
            <w:tcW w:w="1220" w:type="dxa"/>
            <w:tcBorders>
              <w:top w:val="nil"/>
              <w:left w:val="nil"/>
              <w:bottom w:val="nil"/>
              <w:right w:val="single" w:sz="4" w:space="0" w:color="auto"/>
            </w:tcBorders>
            <w:shd w:val="clear" w:color="auto" w:fill="auto"/>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 xml:space="preserve">4.4 </w:t>
            </w:r>
            <w:r w:rsidRPr="009C6966">
              <w:rPr>
                <w:rFonts w:ascii="Calibri" w:eastAsia="Times New Roman" w:hAnsi="Calibri" w:cs="Times New Roman"/>
                <w:color w:val="000000"/>
                <w:sz w:val="16"/>
                <w:szCs w:val="16"/>
                <w:lang w:val="de-DE" w:eastAsia="de-DE"/>
              </w:rPr>
              <w:t>± 0.7</w:t>
            </w:r>
          </w:p>
        </w:tc>
        <w:tc>
          <w:tcPr>
            <w:tcW w:w="1060" w:type="dxa"/>
            <w:tcBorders>
              <w:top w:val="nil"/>
              <w:left w:val="nil"/>
              <w:bottom w:val="nil"/>
              <w:right w:val="single" w:sz="4" w:space="0" w:color="auto"/>
            </w:tcBorders>
            <w:shd w:val="clear" w:color="000000" w:fill="E6B8B7"/>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 xml:space="preserve">3.7 </w:t>
            </w:r>
            <w:r w:rsidRPr="009C6966">
              <w:rPr>
                <w:rFonts w:ascii="Calibri" w:eastAsia="Times New Roman" w:hAnsi="Calibri" w:cs="Times New Roman"/>
                <w:color w:val="000000"/>
                <w:sz w:val="18"/>
                <w:szCs w:val="18"/>
                <w:lang w:val="de-DE" w:eastAsia="de-DE"/>
              </w:rPr>
              <w:t>**</w:t>
            </w:r>
          </w:p>
        </w:tc>
        <w:tc>
          <w:tcPr>
            <w:tcW w:w="1220" w:type="dxa"/>
            <w:tcBorders>
              <w:top w:val="nil"/>
              <w:left w:val="nil"/>
              <w:bottom w:val="nil"/>
              <w:right w:val="nil"/>
            </w:tcBorders>
            <w:shd w:val="clear" w:color="auto" w:fill="auto"/>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 xml:space="preserve">3.5 </w:t>
            </w:r>
            <w:r w:rsidRPr="009C6966">
              <w:rPr>
                <w:rFonts w:ascii="Calibri" w:eastAsia="Times New Roman" w:hAnsi="Calibri" w:cs="Times New Roman"/>
                <w:color w:val="000000"/>
                <w:sz w:val="16"/>
                <w:szCs w:val="16"/>
                <w:lang w:val="de-DE" w:eastAsia="de-DE"/>
              </w:rPr>
              <w:t>± 0.05</w:t>
            </w:r>
          </w:p>
        </w:tc>
        <w:tc>
          <w:tcPr>
            <w:tcW w:w="1120" w:type="dxa"/>
            <w:tcBorders>
              <w:top w:val="nil"/>
              <w:left w:val="nil"/>
              <w:bottom w:val="nil"/>
              <w:right w:val="single" w:sz="4" w:space="0" w:color="auto"/>
            </w:tcBorders>
            <w:shd w:val="clear" w:color="auto" w:fill="auto"/>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 xml:space="preserve">3.6 </w:t>
            </w:r>
            <w:r w:rsidRPr="009C6966">
              <w:rPr>
                <w:rFonts w:ascii="Calibri" w:eastAsia="Times New Roman" w:hAnsi="Calibri" w:cs="Times New Roman"/>
                <w:color w:val="000000"/>
                <w:sz w:val="16"/>
                <w:szCs w:val="16"/>
                <w:lang w:val="de-DE" w:eastAsia="de-DE"/>
              </w:rPr>
              <w:t>± 0.6</w:t>
            </w:r>
          </w:p>
        </w:tc>
        <w:tc>
          <w:tcPr>
            <w:tcW w:w="1100" w:type="dxa"/>
            <w:tcBorders>
              <w:top w:val="nil"/>
              <w:left w:val="nil"/>
              <w:bottom w:val="nil"/>
              <w:right w:val="single" w:sz="4" w:space="0" w:color="auto"/>
            </w:tcBorders>
            <w:shd w:val="clear" w:color="auto" w:fill="auto"/>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1.0</w:t>
            </w:r>
          </w:p>
        </w:tc>
      </w:tr>
      <w:tr w:rsidR="009C6966" w:rsidRPr="009C6966" w:rsidTr="009A36CA">
        <w:trPr>
          <w:trHeight w:val="300"/>
        </w:trPr>
        <w:tc>
          <w:tcPr>
            <w:tcW w:w="1012" w:type="dxa"/>
            <w:tcBorders>
              <w:top w:val="nil"/>
              <w:left w:val="single" w:sz="4" w:space="0" w:color="auto"/>
              <w:bottom w:val="nil"/>
              <w:right w:val="single" w:sz="4" w:space="0" w:color="auto"/>
            </w:tcBorders>
            <w:shd w:val="clear" w:color="auto" w:fill="auto"/>
            <w:vAlign w:val="bottom"/>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Tyr</w:t>
            </w:r>
          </w:p>
        </w:tc>
        <w:tc>
          <w:tcPr>
            <w:tcW w:w="1240" w:type="dxa"/>
            <w:tcBorders>
              <w:top w:val="nil"/>
              <w:left w:val="nil"/>
              <w:bottom w:val="nil"/>
              <w:right w:val="nil"/>
            </w:tcBorders>
            <w:shd w:val="clear" w:color="auto" w:fill="auto"/>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 xml:space="preserve">3.3 </w:t>
            </w:r>
            <w:r w:rsidRPr="009C6966">
              <w:rPr>
                <w:rFonts w:ascii="Calibri" w:eastAsia="Times New Roman" w:hAnsi="Calibri" w:cs="Times New Roman"/>
                <w:color w:val="000000"/>
                <w:sz w:val="16"/>
                <w:szCs w:val="16"/>
                <w:lang w:val="de-DE" w:eastAsia="de-DE"/>
              </w:rPr>
              <w:t>± 1.0</w:t>
            </w:r>
          </w:p>
        </w:tc>
        <w:tc>
          <w:tcPr>
            <w:tcW w:w="1320" w:type="dxa"/>
            <w:tcBorders>
              <w:top w:val="nil"/>
              <w:left w:val="nil"/>
              <w:bottom w:val="nil"/>
              <w:right w:val="single" w:sz="4" w:space="0" w:color="auto"/>
            </w:tcBorders>
            <w:shd w:val="clear" w:color="auto" w:fill="auto"/>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 xml:space="preserve">23.9 </w:t>
            </w:r>
            <w:r w:rsidRPr="009C6966">
              <w:rPr>
                <w:rFonts w:ascii="Calibri" w:eastAsia="Times New Roman" w:hAnsi="Calibri" w:cs="Times New Roman"/>
                <w:color w:val="000000"/>
                <w:sz w:val="16"/>
                <w:szCs w:val="16"/>
                <w:lang w:val="de-DE" w:eastAsia="de-DE"/>
              </w:rPr>
              <w:t>± 4.5</w:t>
            </w:r>
          </w:p>
        </w:tc>
        <w:tc>
          <w:tcPr>
            <w:tcW w:w="979" w:type="dxa"/>
            <w:tcBorders>
              <w:top w:val="nil"/>
              <w:left w:val="nil"/>
              <w:bottom w:val="nil"/>
              <w:right w:val="single" w:sz="4" w:space="0" w:color="auto"/>
            </w:tcBorders>
            <w:shd w:val="clear" w:color="000000" w:fill="DA9694"/>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 xml:space="preserve">7.3 </w:t>
            </w:r>
            <w:r w:rsidRPr="009C6966">
              <w:rPr>
                <w:rFonts w:ascii="Calibri" w:eastAsia="Times New Roman" w:hAnsi="Calibri" w:cs="Times New Roman"/>
                <w:color w:val="000000"/>
                <w:sz w:val="18"/>
                <w:szCs w:val="18"/>
                <w:lang w:val="de-DE" w:eastAsia="de-DE"/>
              </w:rPr>
              <w:t>***</w:t>
            </w:r>
          </w:p>
        </w:tc>
        <w:tc>
          <w:tcPr>
            <w:tcW w:w="1241" w:type="dxa"/>
            <w:tcBorders>
              <w:top w:val="nil"/>
              <w:left w:val="nil"/>
              <w:bottom w:val="nil"/>
              <w:right w:val="nil"/>
            </w:tcBorders>
            <w:shd w:val="clear" w:color="auto" w:fill="auto"/>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 xml:space="preserve">2.0 </w:t>
            </w:r>
            <w:r w:rsidRPr="009C6966">
              <w:rPr>
                <w:rFonts w:ascii="Calibri" w:eastAsia="Times New Roman" w:hAnsi="Calibri" w:cs="Times New Roman"/>
                <w:color w:val="000000"/>
                <w:sz w:val="16"/>
                <w:szCs w:val="16"/>
                <w:lang w:val="de-DE" w:eastAsia="de-DE"/>
              </w:rPr>
              <w:t>± 0.06</w:t>
            </w:r>
          </w:p>
        </w:tc>
        <w:tc>
          <w:tcPr>
            <w:tcW w:w="1120" w:type="dxa"/>
            <w:tcBorders>
              <w:top w:val="nil"/>
              <w:left w:val="nil"/>
              <w:bottom w:val="nil"/>
              <w:right w:val="single" w:sz="4" w:space="0" w:color="auto"/>
            </w:tcBorders>
            <w:shd w:val="clear" w:color="auto" w:fill="auto"/>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2.7</w:t>
            </w:r>
            <w:r w:rsidRPr="009C6966">
              <w:rPr>
                <w:rFonts w:ascii="Calibri" w:eastAsia="Times New Roman" w:hAnsi="Calibri" w:cs="Times New Roman"/>
                <w:color w:val="000000"/>
                <w:sz w:val="16"/>
                <w:szCs w:val="16"/>
                <w:lang w:val="de-DE" w:eastAsia="de-DE"/>
              </w:rPr>
              <w:t xml:space="preserve"> ± 1.3</w:t>
            </w:r>
          </w:p>
        </w:tc>
        <w:tc>
          <w:tcPr>
            <w:tcW w:w="1020" w:type="dxa"/>
            <w:tcBorders>
              <w:top w:val="nil"/>
              <w:left w:val="nil"/>
              <w:bottom w:val="nil"/>
              <w:right w:val="single" w:sz="4" w:space="0" w:color="auto"/>
            </w:tcBorders>
            <w:shd w:val="clear" w:color="auto" w:fill="auto"/>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1.3</w:t>
            </w:r>
          </w:p>
        </w:tc>
        <w:tc>
          <w:tcPr>
            <w:tcW w:w="1260" w:type="dxa"/>
            <w:tcBorders>
              <w:top w:val="nil"/>
              <w:left w:val="nil"/>
              <w:bottom w:val="nil"/>
              <w:right w:val="nil"/>
            </w:tcBorders>
            <w:shd w:val="clear" w:color="auto" w:fill="auto"/>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 xml:space="preserve">0.3 </w:t>
            </w:r>
            <w:r w:rsidRPr="009C6966">
              <w:rPr>
                <w:rFonts w:ascii="Calibri" w:eastAsia="Times New Roman" w:hAnsi="Calibri" w:cs="Times New Roman"/>
                <w:color w:val="000000"/>
                <w:sz w:val="16"/>
                <w:szCs w:val="16"/>
                <w:lang w:val="de-DE" w:eastAsia="de-DE"/>
              </w:rPr>
              <w:t>± 0.05</w:t>
            </w:r>
          </w:p>
        </w:tc>
        <w:tc>
          <w:tcPr>
            <w:tcW w:w="1220" w:type="dxa"/>
            <w:tcBorders>
              <w:top w:val="nil"/>
              <w:left w:val="nil"/>
              <w:bottom w:val="nil"/>
              <w:right w:val="single" w:sz="4" w:space="0" w:color="auto"/>
            </w:tcBorders>
            <w:shd w:val="clear" w:color="auto" w:fill="auto"/>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 xml:space="preserve">3.9 </w:t>
            </w:r>
            <w:r w:rsidRPr="009C6966">
              <w:rPr>
                <w:rFonts w:ascii="Calibri" w:eastAsia="Times New Roman" w:hAnsi="Calibri" w:cs="Times New Roman"/>
                <w:color w:val="000000"/>
                <w:sz w:val="16"/>
                <w:szCs w:val="16"/>
                <w:lang w:val="de-DE" w:eastAsia="de-DE"/>
              </w:rPr>
              <w:t>± 0.9</w:t>
            </w:r>
          </w:p>
        </w:tc>
        <w:tc>
          <w:tcPr>
            <w:tcW w:w="1060" w:type="dxa"/>
            <w:tcBorders>
              <w:top w:val="nil"/>
              <w:left w:val="nil"/>
              <w:bottom w:val="nil"/>
              <w:right w:val="single" w:sz="4" w:space="0" w:color="auto"/>
            </w:tcBorders>
            <w:shd w:val="clear" w:color="000000" w:fill="DA9694"/>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 xml:space="preserve">11.9 </w:t>
            </w:r>
            <w:r w:rsidRPr="009C6966">
              <w:rPr>
                <w:rFonts w:ascii="Calibri" w:eastAsia="Times New Roman" w:hAnsi="Calibri" w:cs="Times New Roman"/>
                <w:color w:val="000000"/>
                <w:sz w:val="18"/>
                <w:szCs w:val="18"/>
                <w:lang w:val="de-DE" w:eastAsia="de-DE"/>
              </w:rPr>
              <w:t>**</w:t>
            </w:r>
          </w:p>
        </w:tc>
        <w:tc>
          <w:tcPr>
            <w:tcW w:w="1220" w:type="dxa"/>
            <w:tcBorders>
              <w:top w:val="nil"/>
              <w:left w:val="nil"/>
              <w:bottom w:val="nil"/>
              <w:right w:val="nil"/>
            </w:tcBorders>
            <w:shd w:val="clear" w:color="auto" w:fill="auto"/>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 xml:space="preserve">0.3 </w:t>
            </w:r>
            <w:r w:rsidRPr="009C6966">
              <w:rPr>
                <w:rFonts w:ascii="Calibri" w:eastAsia="Times New Roman" w:hAnsi="Calibri" w:cs="Times New Roman"/>
                <w:color w:val="000000"/>
                <w:sz w:val="16"/>
                <w:szCs w:val="16"/>
                <w:lang w:val="de-DE" w:eastAsia="de-DE"/>
              </w:rPr>
              <w:t>± 0.02</w:t>
            </w:r>
          </w:p>
        </w:tc>
        <w:tc>
          <w:tcPr>
            <w:tcW w:w="1120" w:type="dxa"/>
            <w:tcBorders>
              <w:top w:val="nil"/>
              <w:left w:val="nil"/>
              <w:bottom w:val="nil"/>
              <w:right w:val="single" w:sz="4" w:space="0" w:color="auto"/>
            </w:tcBorders>
            <w:shd w:val="clear" w:color="auto" w:fill="auto"/>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 xml:space="preserve">0.5 </w:t>
            </w:r>
            <w:r w:rsidRPr="009C6966">
              <w:rPr>
                <w:rFonts w:ascii="Calibri" w:eastAsia="Times New Roman" w:hAnsi="Calibri" w:cs="Times New Roman"/>
                <w:color w:val="000000"/>
                <w:sz w:val="16"/>
                <w:szCs w:val="16"/>
                <w:lang w:val="de-DE" w:eastAsia="de-DE"/>
              </w:rPr>
              <w:t>± 0.1</w:t>
            </w:r>
          </w:p>
        </w:tc>
        <w:tc>
          <w:tcPr>
            <w:tcW w:w="1100" w:type="dxa"/>
            <w:tcBorders>
              <w:top w:val="nil"/>
              <w:left w:val="nil"/>
              <w:bottom w:val="nil"/>
              <w:right w:val="single" w:sz="4" w:space="0" w:color="auto"/>
            </w:tcBorders>
            <w:shd w:val="clear" w:color="auto" w:fill="auto"/>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1.5</w:t>
            </w:r>
          </w:p>
        </w:tc>
      </w:tr>
      <w:tr w:rsidR="009C6966" w:rsidRPr="009C6966" w:rsidTr="009A36CA">
        <w:trPr>
          <w:trHeight w:val="300"/>
        </w:trPr>
        <w:tc>
          <w:tcPr>
            <w:tcW w:w="1012" w:type="dxa"/>
            <w:tcBorders>
              <w:top w:val="nil"/>
              <w:left w:val="single" w:sz="4" w:space="0" w:color="auto"/>
              <w:bottom w:val="nil"/>
              <w:right w:val="single" w:sz="4" w:space="0" w:color="auto"/>
            </w:tcBorders>
            <w:shd w:val="clear" w:color="auto" w:fill="auto"/>
            <w:vAlign w:val="bottom"/>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Trp</w:t>
            </w:r>
          </w:p>
        </w:tc>
        <w:tc>
          <w:tcPr>
            <w:tcW w:w="1240" w:type="dxa"/>
            <w:tcBorders>
              <w:top w:val="nil"/>
              <w:left w:val="nil"/>
              <w:bottom w:val="nil"/>
              <w:right w:val="nil"/>
            </w:tcBorders>
            <w:shd w:val="clear" w:color="auto" w:fill="auto"/>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 xml:space="preserve">2.7 </w:t>
            </w:r>
            <w:r w:rsidRPr="009C6966">
              <w:rPr>
                <w:rFonts w:ascii="Calibri" w:eastAsia="Times New Roman" w:hAnsi="Calibri" w:cs="Times New Roman"/>
                <w:color w:val="000000"/>
                <w:sz w:val="16"/>
                <w:szCs w:val="16"/>
                <w:lang w:val="de-DE" w:eastAsia="de-DE"/>
              </w:rPr>
              <w:t>± 0.7</w:t>
            </w:r>
          </w:p>
        </w:tc>
        <w:tc>
          <w:tcPr>
            <w:tcW w:w="1320" w:type="dxa"/>
            <w:tcBorders>
              <w:top w:val="nil"/>
              <w:left w:val="nil"/>
              <w:bottom w:val="nil"/>
              <w:right w:val="single" w:sz="4" w:space="0" w:color="auto"/>
            </w:tcBorders>
            <w:shd w:val="clear" w:color="auto" w:fill="auto"/>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24.7</w:t>
            </w:r>
            <w:r w:rsidRPr="009C6966">
              <w:rPr>
                <w:rFonts w:ascii="Calibri" w:eastAsia="Times New Roman" w:hAnsi="Calibri" w:cs="Times New Roman"/>
                <w:color w:val="000000"/>
                <w:sz w:val="16"/>
                <w:szCs w:val="16"/>
                <w:lang w:val="de-DE" w:eastAsia="de-DE"/>
              </w:rPr>
              <w:t xml:space="preserve"> ± 11.7</w:t>
            </w:r>
          </w:p>
        </w:tc>
        <w:tc>
          <w:tcPr>
            <w:tcW w:w="979" w:type="dxa"/>
            <w:tcBorders>
              <w:top w:val="nil"/>
              <w:left w:val="nil"/>
              <w:bottom w:val="nil"/>
              <w:right w:val="single" w:sz="4" w:space="0" w:color="auto"/>
            </w:tcBorders>
            <w:shd w:val="clear" w:color="000000" w:fill="DA9694"/>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 xml:space="preserve">9.2 </w:t>
            </w:r>
            <w:r w:rsidRPr="009C6966">
              <w:rPr>
                <w:rFonts w:ascii="Calibri" w:eastAsia="Times New Roman" w:hAnsi="Calibri" w:cs="Times New Roman"/>
                <w:color w:val="000000"/>
                <w:sz w:val="18"/>
                <w:szCs w:val="18"/>
                <w:lang w:val="de-DE" w:eastAsia="de-DE"/>
              </w:rPr>
              <w:t>**</w:t>
            </w:r>
          </w:p>
        </w:tc>
        <w:tc>
          <w:tcPr>
            <w:tcW w:w="1241" w:type="dxa"/>
            <w:tcBorders>
              <w:top w:val="nil"/>
              <w:left w:val="nil"/>
              <w:bottom w:val="nil"/>
              <w:right w:val="nil"/>
            </w:tcBorders>
            <w:shd w:val="clear" w:color="auto" w:fill="auto"/>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 xml:space="preserve">0.3 </w:t>
            </w:r>
            <w:r w:rsidRPr="009C6966">
              <w:rPr>
                <w:rFonts w:ascii="Calibri" w:eastAsia="Times New Roman" w:hAnsi="Calibri" w:cs="Times New Roman"/>
                <w:color w:val="000000"/>
                <w:sz w:val="16"/>
                <w:szCs w:val="16"/>
                <w:lang w:val="de-DE" w:eastAsia="de-DE"/>
              </w:rPr>
              <w:t>± 0.04</w:t>
            </w:r>
          </w:p>
        </w:tc>
        <w:tc>
          <w:tcPr>
            <w:tcW w:w="1120" w:type="dxa"/>
            <w:tcBorders>
              <w:top w:val="nil"/>
              <w:left w:val="nil"/>
              <w:bottom w:val="nil"/>
              <w:right w:val="single" w:sz="4" w:space="0" w:color="auto"/>
            </w:tcBorders>
            <w:shd w:val="clear" w:color="auto" w:fill="auto"/>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 xml:space="preserve">0.5 </w:t>
            </w:r>
            <w:r w:rsidRPr="009C6966">
              <w:rPr>
                <w:rFonts w:ascii="Calibri" w:eastAsia="Times New Roman" w:hAnsi="Calibri" w:cs="Times New Roman"/>
                <w:color w:val="000000"/>
                <w:sz w:val="16"/>
                <w:szCs w:val="16"/>
                <w:lang w:val="de-DE" w:eastAsia="de-DE"/>
              </w:rPr>
              <w:t>± 0.2</w:t>
            </w:r>
          </w:p>
        </w:tc>
        <w:tc>
          <w:tcPr>
            <w:tcW w:w="1020" w:type="dxa"/>
            <w:tcBorders>
              <w:top w:val="nil"/>
              <w:left w:val="nil"/>
              <w:bottom w:val="nil"/>
              <w:right w:val="single" w:sz="4" w:space="0" w:color="auto"/>
            </w:tcBorders>
            <w:shd w:val="clear" w:color="000000" w:fill="F2DCDB"/>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1.6</w:t>
            </w:r>
          </w:p>
        </w:tc>
        <w:tc>
          <w:tcPr>
            <w:tcW w:w="1260" w:type="dxa"/>
            <w:tcBorders>
              <w:top w:val="nil"/>
              <w:left w:val="nil"/>
              <w:bottom w:val="nil"/>
              <w:right w:val="nil"/>
            </w:tcBorders>
            <w:shd w:val="clear" w:color="auto" w:fill="auto"/>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 xml:space="preserve">0.09 </w:t>
            </w:r>
            <w:r w:rsidRPr="009C6966">
              <w:rPr>
                <w:rFonts w:ascii="Calibri" w:eastAsia="Times New Roman" w:hAnsi="Calibri" w:cs="Times New Roman"/>
                <w:color w:val="000000"/>
                <w:sz w:val="16"/>
                <w:szCs w:val="16"/>
                <w:lang w:val="de-DE" w:eastAsia="de-DE"/>
              </w:rPr>
              <w:t>± 0.02</w:t>
            </w:r>
          </w:p>
        </w:tc>
        <w:tc>
          <w:tcPr>
            <w:tcW w:w="1220" w:type="dxa"/>
            <w:tcBorders>
              <w:top w:val="nil"/>
              <w:left w:val="nil"/>
              <w:bottom w:val="nil"/>
              <w:right w:val="single" w:sz="4" w:space="0" w:color="auto"/>
            </w:tcBorders>
            <w:shd w:val="clear" w:color="auto" w:fill="auto"/>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 xml:space="preserve">1.5 </w:t>
            </w:r>
            <w:r w:rsidRPr="009C6966">
              <w:rPr>
                <w:rFonts w:ascii="Calibri" w:eastAsia="Times New Roman" w:hAnsi="Calibri" w:cs="Times New Roman"/>
                <w:color w:val="000000"/>
                <w:sz w:val="16"/>
                <w:szCs w:val="16"/>
                <w:lang w:val="de-DE" w:eastAsia="de-DE"/>
              </w:rPr>
              <w:t>± 0.6</w:t>
            </w:r>
          </w:p>
        </w:tc>
        <w:tc>
          <w:tcPr>
            <w:tcW w:w="1060" w:type="dxa"/>
            <w:tcBorders>
              <w:top w:val="nil"/>
              <w:left w:val="nil"/>
              <w:bottom w:val="nil"/>
              <w:right w:val="single" w:sz="4" w:space="0" w:color="auto"/>
            </w:tcBorders>
            <w:shd w:val="clear" w:color="000000" w:fill="DA9694"/>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 xml:space="preserve">17.5 </w:t>
            </w:r>
            <w:r w:rsidRPr="009C6966">
              <w:rPr>
                <w:rFonts w:ascii="Calibri" w:eastAsia="Times New Roman" w:hAnsi="Calibri" w:cs="Times New Roman"/>
                <w:color w:val="000000"/>
                <w:sz w:val="18"/>
                <w:szCs w:val="18"/>
                <w:lang w:val="de-DE" w:eastAsia="de-DE"/>
              </w:rPr>
              <w:t>*</w:t>
            </w:r>
          </w:p>
        </w:tc>
        <w:tc>
          <w:tcPr>
            <w:tcW w:w="1220" w:type="dxa"/>
            <w:tcBorders>
              <w:top w:val="nil"/>
              <w:left w:val="nil"/>
              <w:bottom w:val="nil"/>
              <w:right w:val="nil"/>
            </w:tcBorders>
            <w:shd w:val="clear" w:color="auto" w:fill="auto"/>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 xml:space="preserve">0.1 </w:t>
            </w:r>
            <w:r w:rsidRPr="009C6966">
              <w:rPr>
                <w:rFonts w:ascii="Calibri" w:eastAsia="Times New Roman" w:hAnsi="Calibri" w:cs="Times New Roman"/>
                <w:color w:val="000000"/>
                <w:sz w:val="16"/>
                <w:szCs w:val="16"/>
                <w:lang w:val="de-DE" w:eastAsia="de-DE"/>
              </w:rPr>
              <w:t>± 0.004</w:t>
            </w:r>
          </w:p>
        </w:tc>
        <w:tc>
          <w:tcPr>
            <w:tcW w:w="1120" w:type="dxa"/>
            <w:tcBorders>
              <w:top w:val="nil"/>
              <w:left w:val="nil"/>
              <w:bottom w:val="nil"/>
              <w:right w:val="single" w:sz="4" w:space="0" w:color="auto"/>
            </w:tcBorders>
            <w:shd w:val="clear" w:color="auto" w:fill="auto"/>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 xml:space="preserve">0.1 </w:t>
            </w:r>
            <w:r w:rsidRPr="009C6966">
              <w:rPr>
                <w:rFonts w:ascii="Calibri" w:eastAsia="Times New Roman" w:hAnsi="Calibri" w:cs="Times New Roman"/>
                <w:color w:val="000000"/>
                <w:sz w:val="16"/>
                <w:szCs w:val="16"/>
                <w:lang w:val="de-DE" w:eastAsia="de-DE"/>
              </w:rPr>
              <w:t>± 0.03</w:t>
            </w:r>
          </w:p>
        </w:tc>
        <w:tc>
          <w:tcPr>
            <w:tcW w:w="1100" w:type="dxa"/>
            <w:tcBorders>
              <w:top w:val="nil"/>
              <w:left w:val="nil"/>
              <w:bottom w:val="nil"/>
              <w:right w:val="single" w:sz="4" w:space="0" w:color="auto"/>
            </w:tcBorders>
            <w:shd w:val="clear" w:color="auto" w:fill="auto"/>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1.1</w:t>
            </w:r>
          </w:p>
        </w:tc>
      </w:tr>
      <w:tr w:rsidR="009C6966" w:rsidRPr="009C6966" w:rsidTr="009A36CA">
        <w:trPr>
          <w:trHeight w:val="300"/>
        </w:trPr>
        <w:tc>
          <w:tcPr>
            <w:tcW w:w="1012" w:type="dxa"/>
            <w:tcBorders>
              <w:top w:val="nil"/>
              <w:left w:val="single" w:sz="4" w:space="0" w:color="auto"/>
              <w:bottom w:val="nil"/>
              <w:right w:val="single" w:sz="4" w:space="0" w:color="auto"/>
            </w:tcBorders>
            <w:shd w:val="clear" w:color="auto" w:fill="auto"/>
            <w:vAlign w:val="bottom"/>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Val</w:t>
            </w:r>
          </w:p>
        </w:tc>
        <w:tc>
          <w:tcPr>
            <w:tcW w:w="1240" w:type="dxa"/>
            <w:tcBorders>
              <w:top w:val="nil"/>
              <w:left w:val="nil"/>
              <w:bottom w:val="nil"/>
              <w:right w:val="nil"/>
            </w:tcBorders>
            <w:shd w:val="clear" w:color="auto" w:fill="auto"/>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 xml:space="preserve">7.9 </w:t>
            </w:r>
            <w:r w:rsidRPr="009C6966">
              <w:rPr>
                <w:rFonts w:ascii="Calibri" w:eastAsia="Times New Roman" w:hAnsi="Calibri" w:cs="Times New Roman"/>
                <w:color w:val="000000"/>
                <w:sz w:val="16"/>
                <w:szCs w:val="16"/>
                <w:lang w:val="de-DE" w:eastAsia="de-DE"/>
              </w:rPr>
              <w:t>± 1.3</w:t>
            </w:r>
          </w:p>
        </w:tc>
        <w:tc>
          <w:tcPr>
            <w:tcW w:w="1320" w:type="dxa"/>
            <w:tcBorders>
              <w:top w:val="nil"/>
              <w:left w:val="nil"/>
              <w:bottom w:val="nil"/>
              <w:right w:val="single" w:sz="4" w:space="0" w:color="auto"/>
            </w:tcBorders>
            <w:shd w:val="clear" w:color="auto" w:fill="auto"/>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 xml:space="preserve">54.4 </w:t>
            </w:r>
            <w:r w:rsidRPr="009C6966">
              <w:rPr>
                <w:rFonts w:ascii="Calibri" w:eastAsia="Times New Roman" w:hAnsi="Calibri" w:cs="Times New Roman"/>
                <w:color w:val="000000"/>
                <w:sz w:val="16"/>
                <w:szCs w:val="16"/>
                <w:lang w:val="de-DE" w:eastAsia="de-DE"/>
              </w:rPr>
              <w:t>± 27.1</w:t>
            </w:r>
          </w:p>
        </w:tc>
        <w:tc>
          <w:tcPr>
            <w:tcW w:w="979" w:type="dxa"/>
            <w:tcBorders>
              <w:top w:val="nil"/>
              <w:left w:val="nil"/>
              <w:bottom w:val="nil"/>
              <w:right w:val="single" w:sz="4" w:space="0" w:color="auto"/>
            </w:tcBorders>
            <w:shd w:val="clear" w:color="000000" w:fill="DA9694"/>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 xml:space="preserve">6.9 </w:t>
            </w:r>
            <w:r w:rsidRPr="009C6966">
              <w:rPr>
                <w:rFonts w:ascii="Calibri" w:eastAsia="Times New Roman" w:hAnsi="Calibri" w:cs="Times New Roman"/>
                <w:color w:val="000000"/>
                <w:sz w:val="18"/>
                <w:szCs w:val="18"/>
                <w:lang w:val="de-DE" w:eastAsia="de-DE"/>
              </w:rPr>
              <w:t>**</w:t>
            </w:r>
          </w:p>
        </w:tc>
        <w:tc>
          <w:tcPr>
            <w:tcW w:w="1241" w:type="dxa"/>
            <w:tcBorders>
              <w:top w:val="nil"/>
              <w:left w:val="nil"/>
              <w:bottom w:val="nil"/>
              <w:right w:val="nil"/>
            </w:tcBorders>
            <w:shd w:val="clear" w:color="auto" w:fill="auto"/>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12.6</w:t>
            </w:r>
            <w:r w:rsidRPr="009C6966">
              <w:rPr>
                <w:rFonts w:ascii="Calibri" w:eastAsia="Times New Roman" w:hAnsi="Calibri" w:cs="Times New Roman"/>
                <w:color w:val="000000"/>
                <w:sz w:val="16"/>
                <w:szCs w:val="16"/>
                <w:lang w:val="de-DE" w:eastAsia="de-DE"/>
              </w:rPr>
              <w:t xml:space="preserve"> ± 0.8</w:t>
            </w:r>
          </w:p>
        </w:tc>
        <w:tc>
          <w:tcPr>
            <w:tcW w:w="1120" w:type="dxa"/>
            <w:tcBorders>
              <w:top w:val="nil"/>
              <w:left w:val="nil"/>
              <w:bottom w:val="nil"/>
              <w:right w:val="single" w:sz="4" w:space="0" w:color="auto"/>
            </w:tcBorders>
            <w:shd w:val="clear" w:color="auto" w:fill="auto"/>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 xml:space="preserve">12.9 </w:t>
            </w:r>
            <w:r w:rsidRPr="009C6966">
              <w:rPr>
                <w:rFonts w:ascii="Calibri" w:eastAsia="Times New Roman" w:hAnsi="Calibri" w:cs="Times New Roman"/>
                <w:color w:val="000000"/>
                <w:sz w:val="16"/>
                <w:szCs w:val="16"/>
                <w:lang w:val="de-DE" w:eastAsia="de-DE"/>
              </w:rPr>
              <w:t>± 3.3</w:t>
            </w:r>
          </w:p>
        </w:tc>
        <w:tc>
          <w:tcPr>
            <w:tcW w:w="1020" w:type="dxa"/>
            <w:tcBorders>
              <w:top w:val="nil"/>
              <w:left w:val="nil"/>
              <w:bottom w:val="nil"/>
              <w:right w:val="single" w:sz="4" w:space="0" w:color="auto"/>
            </w:tcBorders>
            <w:shd w:val="clear" w:color="auto" w:fill="auto"/>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1.0</w:t>
            </w:r>
          </w:p>
        </w:tc>
        <w:tc>
          <w:tcPr>
            <w:tcW w:w="1260" w:type="dxa"/>
            <w:tcBorders>
              <w:top w:val="nil"/>
              <w:left w:val="nil"/>
              <w:bottom w:val="nil"/>
              <w:right w:val="nil"/>
            </w:tcBorders>
            <w:shd w:val="clear" w:color="auto" w:fill="auto"/>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2.3</w:t>
            </w:r>
            <w:r w:rsidRPr="009C6966">
              <w:rPr>
                <w:rFonts w:ascii="Calibri" w:eastAsia="Times New Roman" w:hAnsi="Calibri" w:cs="Times New Roman"/>
                <w:color w:val="000000"/>
                <w:sz w:val="16"/>
                <w:szCs w:val="16"/>
                <w:lang w:val="de-DE" w:eastAsia="de-DE"/>
              </w:rPr>
              <w:t xml:space="preserve"> ± 0.2</w:t>
            </w:r>
          </w:p>
        </w:tc>
        <w:tc>
          <w:tcPr>
            <w:tcW w:w="1220" w:type="dxa"/>
            <w:tcBorders>
              <w:top w:val="nil"/>
              <w:left w:val="nil"/>
              <w:bottom w:val="nil"/>
              <w:right w:val="single" w:sz="4" w:space="0" w:color="auto"/>
            </w:tcBorders>
            <w:shd w:val="clear" w:color="auto" w:fill="auto"/>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 xml:space="preserve">13.2 </w:t>
            </w:r>
            <w:r w:rsidRPr="009C6966">
              <w:rPr>
                <w:rFonts w:ascii="Calibri" w:eastAsia="Times New Roman" w:hAnsi="Calibri" w:cs="Times New Roman"/>
                <w:color w:val="000000"/>
                <w:sz w:val="16"/>
                <w:szCs w:val="16"/>
                <w:lang w:val="de-DE" w:eastAsia="de-DE"/>
              </w:rPr>
              <w:t>± 3.2</w:t>
            </w:r>
          </w:p>
        </w:tc>
        <w:tc>
          <w:tcPr>
            <w:tcW w:w="1060" w:type="dxa"/>
            <w:tcBorders>
              <w:top w:val="nil"/>
              <w:left w:val="nil"/>
              <w:bottom w:val="nil"/>
              <w:right w:val="single" w:sz="4" w:space="0" w:color="auto"/>
            </w:tcBorders>
            <w:shd w:val="clear" w:color="000000" w:fill="DA9694"/>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 xml:space="preserve">5.7 </w:t>
            </w:r>
            <w:r w:rsidRPr="009C6966">
              <w:rPr>
                <w:rFonts w:ascii="Calibri" w:eastAsia="Times New Roman" w:hAnsi="Calibri" w:cs="Times New Roman"/>
                <w:color w:val="000000"/>
                <w:sz w:val="18"/>
                <w:szCs w:val="18"/>
                <w:lang w:val="de-DE" w:eastAsia="de-DE"/>
              </w:rPr>
              <w:t>**</w:t>
            </w:r>
          </w:p>
        </w:tc>
        <w:tc>
          <w:tcPr>
            <w:tcW w:w="1220" w:type="dxa"/>
            <w:tcBorders>
              <w:top w:val="nil"/>
              <w:left w:val="nil"/>
              <w:bottom w:val="nil"/>
              <w:right w:val="nil"/>
            </w:tcBorders>
            <w:shd w:val="clear" w:color="auto" w:fill="auto"/>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 xml:space="preserve">6.4 </w:t>
            </w:r>
            <w:r w:rsidRPr="009C6966">
              <w:rPr>
                <w:rFonts w:ascii="Calibri" w:eastAsia="Times New Roman" w:hAnsi="Calibri" w:cs="Times New Roman"/>
                <w:color w:val="000000"/>
                <w:sz w:val="16"/>
                <w:szCs w:val="16"/>
                <w:lang w:val="de-DE" w:eastAsia="de-DE"/>
              </w:rPr>
              <w:t>± 0.3</w:t>
            </w:r>
          </w:p>
        </w:tc>
        <w:tc>
          <w:tcPr>
            <w:tcW w:w="1120" w:type="dxa"/>
            <w:tcBorders>
              <w:top w:val="nil"/>
              <w:left w:val="nil"/>
              <w:bottom w:val="nil"/>
              <w:right w:val="single" w:sz="4" w:space="0" w:color="auto"/>
            </w:tcBorders>
            <w:shd w:val="clear" w:color="auto" w:fill="auto"/>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 xml:space="preserve">5.4 </w:t>
            </w:r>
            <w:r w:rsidRPr="009C6966">
              <w:rPr>
                <w:rFonts w:ascii="Calibri" w:eastAsia="Times New Roman" w:hAnsi="Calibri" w:cs="Times New Roman"/>
                <w:color w:val="000000"/>
                <w:sz w:val="16"/>
                <w:szCs w:val="16"/>
                <w:lang w:val="de-DE" w:eastAsia="de-DE"/>
              </w:rPr>
              <w:t>± 0.8</w:t>
            </w:r>
          </w:p>
        </w:tc>
        <w:tc>
          <w:tcPr>
            <w:tcW w:w="1100" w:type="dxa"/>
            <w:tcBorders>
              <w:top w:val="nil"/>
              <w:left w:val="nil"/>
              <w:bottom w:val="nil"/>
              <w:right w:val="single" w:sz="4" w:space="0" w:color="auto"/>
            </w:tcBorders>
            <w:shd w:val="clear" w:color="000000" w:fill="D8E4BC"/>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0.8</w:t>
            </w:r>
          </w:p>
        </w:tc>
      </w:tr>
      <w:tr w:rsidR="009C6966" w:rsidRPr="009C6966" w:rsidTr="009A36CA">
        <w:trPr>
          <w:trHeight w:val="300"/>
        </w:trPr>
        <w:tc>
          <w:tcPr>
            <w:tcW w:w="1012" w:type="dxa"/>
            <w:tcBorders>
              <w:top w:val="nil"/>
              <w:left w:val="single" w:sz="4" w:space="0" w:color="auto"/>
              <w:bottom w:val="nil"/>
              <w:right w:val="single" w:sz="4" w:space="0" w:color="auto"/>
            </w:tcBorders>
            <w:shd w:val="clear" w:color="auto" w:fill="auto"/>
            <w:vAlign w:val="bottom"/>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Leu</w:t>
            </w:r>
          </w:p>
        </w:tc>
        <w:tc>
          <w:tcPr>
            <w:tcW w:w="1240" w:type="dxa"/>
            <w:tcBorders>
              <w:top w:val="nil"/>
              <w:left w:val="nil"/>
              <w:bottom w:val="nil"/>
              <w:right w:val="nil"/>
            </w:tcBorders>
            <w:shd w:val="clear" w:color="auto" w:fill="auto"/>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 xml:space="preserve">3.3 </w:t>
            </w:r>
            <w:r w:rsidRPr="009C6966">
              <w:rPr>
                <w:rFonts w:ascii="Calibri" w:eastAsia="Times New Roman" w:hAnsi="Calibri" w:cs="Times New Roman"/>
                <w:color w:val="000000"/>
                <w:sz w:val="16"/>
                <w:szCs w:val="16"/>
                <w:lang w:val="de-DE" w:eastAsia="de-DE"/>
              </w:rPr>
              <w:t>± 0.6</w:t>
            </w:r>
          </w:p>
        </w:tc>
        <w:tc>
          <w:tcPr>
            <w:tcW w:w="1320" w:type="dxa"/>
            <w:tcBorders>
              <w:top w:val="nil"/>
              <w:left w:val="nil"/>
              <w:bottom w:val="nil"/>
              <w:right w:val="single" w:sz="4" w:space="0" w:color="auto"/>
            </w:tcBorders>
            <w:shd w:val="clear" w:color="auto" w:fill="auto"/>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 xml:space="preserve">49.2 </w:t>
            </w:r>
            <w:r w:rsidRPr="009C6966">
              <w:rPr>
                <w:rFonts w:ascii="Calibri" w:eastAsia="Times New Roman" w:hAnsi="Calibri" w:cs="Times New Roman"/>
                <w:color w:val="000000"/>
                <w:sz w:val="16"/>
                <w:szCs w:val="16"/>
                <w:lang w:val="de-DE" w:eastAsia="de-DE"/>
              </w:rPr>
              <w:t>± 26.7</w:t>
            </w:r>
          </w:p>
        </w:tc>
        <w:tc>
          <w:tcPr>
            <w:tcW w:w="979" w:type="dxa"/>
            <w:tcBorders>
              <w:top w:val="nil"/>
              <w:left w:val="nil"/>
              <w:bottom w:val="nil"/>
              <w:right w:val="single" w:sz="4" w:space="0" w:color="auto"/>
            </w:tcBorders>
            <w:shd w:val="clear" w:color="000000" w:fill="DA9694"/>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 xml:space="preserve">14.8 </w:t>
            </w:r>
            <w:r w:rsidRPr="009C6966">
              <w:rPr>
                <w:rFonts w:ascii="Calibri" w:eastAsia="Times New Roman" w:hAnsi="Calibri" w:cs="Times New Roman"/>
                <w:color w:val="000000"/>
                <w:sz w:val="18"/>
                <w:szCs w:val="18"/>
                <w:lang w:val="de-DE" w:eastAsia="de-DE"/>
              </w:rPr>
              <w:t>**</w:t>
            </w:r>
          </w:p>
        </w:tc>
        <w:tc>
          <w:tcPr>
            <w:tcW w:w="1241" w:type="dxa"/>
            <w:tcBorders>
              <w:top w:val="nil"/>
              <w:left w:val="nil"/>
              <w:bottom w:val="nil"/>
              <w:right w:val="nil"/>
            </w:tcBorders>
            <w:shd w:val="clear" w:color="auto" w:fill="auto"/>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 xml:space="preserve">17.6 </w:t>
            </w:r>
            <w:r w:rsidRPr="009C6966">
              <w:rPr>
                <w:rFonts w:ascii="Calibri" w:eastAsia="Times New Roman" w:hAnsi="Calibri" w:cs="Times New Roman"/>
                <w:color w:val="000000"/>
                <w:sz w:val="16"/>
                <w:szCs w:val="16"/>
                <w:lang w:val="de-DE" w:eastAsia="de-DE"/>
              </w:rPr>
              <w:t>± 1.5</w:t>
            </w:r>
          </w:p>
        </w:tc>
        <w:tc>
          <w:tcPr>
            <w:tcW w:w="1120" w:type="dxa"/>
            <w:tcBorders>
              <w:top w:val="nil"/>
              <w:left w:val="nil"/>
              <w:bottom w:val="nil"/>
              <w:right w:val="single" w:sz="4" w:space="0" w:color="auto"/>
            </w:tcBorders>
            <w:shd w:val="clear" w:color="auto" w:fill="auto"/>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 xml:space="preserve">14.3 </w:t>
            </w:r>
            <w:r w:rsidRPr="009C6966">
              <w:rPr>
                <w:rFonts w:ascii="Calibri" w:eastAsia="Times New Roman" w:hAnsi="Calibri" w:cs="Times New Roman"/>
                <w:color w:val="000000"/>
                <w:sz w:val="16"/>
                <w:szCs w:val="16"/>
                <w:lang w:val="de-DE" w:eastAsia="de-DE"/>
              </w:rPr>
              <w:t>± 3.6</w:t>
            </w:r>
          </w:p>
        </w:tc>
        <w:tc>
          <w:tcPr>
            <w:tcW w:w="1020" w:type="dxa"/>
            <w:tcBorders>
              <w:top w:val="nil"/>
              <w:left w:val="nil"/>
              <w:bottom w:val="nil"/>
              <w:right w:val="single" w:sz="4" w:space="0" w:color="auto"/>
            </w:tcBorders>
            <w:shd w:val="clear" w:color="000000" w:fill="D8E4BC"/>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0.8</w:t>
            </w:r>
          </w:p>
        </w:tc>
        <w:tc>
          <w:tcPr>
            <w:tcW w:w="1260" w:type="dxa"/>
            <w:tcBorders>
              <w:top w:val="nil"/>
              <w:left w:val="nil"/>
              <w:bottom w:val="nil"/>
              <w:right w:val="nil"/>
            </w:tcBorders>
            <w:shd w:val="clear" w:color="auto" w:fill="auto"/>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 xml:space="preserve">1.0 </w:t>
            </w:r>
            <w:r w:rsidRPr="009C6966">
              <w:rPr>
                <w:rFonts w:ascii="Calibri" w:eastAsia="Times New Roman" w:hAnsi="Calibri" w:cs="Times New Roman"/>
                <w:color w:val="000000"/>
                <w:sz w:val="16"/>
                <w:szCs w:val="16"/>
                <w:lang w:val="de-DE" w:eastAsia="de-DE"/>
              </w:rPr>
              <w:t>± 0.1</w:t>
            </w:r>
          </w:p>
        </w:tc>
        <w:tc>
          <w:tcPr>
            <w:tcW w:w="1220" w:type="dxa"/>
            <w:tcBorders>
              <w:top w:val="nil"/>
              <w:left w:val="nil"/>
              <w:bottom w:val="nil"/>
              <w:right w:val="single" w:sz="4" w:space="0" w:color="auto"/>
            </w:tcBorders>
            <w:shd w:val="clear" w:color="auto" w:fill="auto"/>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 xml:space="preserve">7.9 </w:t>
            </w:r>
            <w:r w:rsidRPr="009C6966">
              <w:rPr>
                <w:rFonts w:ascii="Calibri" w:eastAsia="Times New Roman" w:hAnsi="Calibri" w:cs="Times New Roman"/>
                <w:color w:val="000000"/>
                <w:sz w:val="16"/>
                <w:szCs w:val="16"/>
                <w:lang w:val="de-DE" w:eastAsia="de-DE"/>
              </w:rPr>
              <w:t>± 2.3</w:t>
            </w:r>
          </w:p>
        </w:tc>
        <w:tc>
          <w:tcPr>
            <w:tcW w:w="1060" w:type="dxa"/>
            <w:tcBorders>
              <w:top w:val="nil"/>
              <w:left w:val="nil"/>
              <w:bottom w:val="nil"/>
              <w:right w:val="single" w:sz="4" w:space="0" w:color="auto"/>
            </w:tcBorders>
            <w:shd w:val="clear" w:color="000000" w:fill="DA9694"/>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 xml:space="preserve">7.8 </w:t>
            </w:r>
            <w:r w:rsidRPr="009C6966">
              <w:rPr>
                <w:rFonts w:ascii="Calibri" w:eastAsia="Times New Roman" w:hAnsi="Calibri" w:cs="Times New Roman"/>
                <w:color w:val="000000"/>
                <w:sz w:val="18"/>
                <w:szCs w:val="18"/>
                <w:lang w:val="de-DE" w:eastAsia="de-DE"/>
              </w:rPr>
              <w:t>*</w:t>
            </w:r>
          </w:p>
        </w:tc>
        <w:tc>
          <w:tcPr>
            <w:tcW w:w="1220" w:type="dxa"/>
            <w:tcBorders>
              <w:top w:val="nil"/>
              <w:left w:val="nil"/>
              <w:bottom w:val="nil"/>
              <w:right w:val="nil"/>
            </w:tcBorders>
            <w:shd w:val="clear" w:color="auto" w:fill="auto"/>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 xml:space="preserve">1.4 </w:t>
            </w:r>
            <w:r w:rsidRPr="009C6966">
              <w:rPr>
                <w:rFonts w:ascii="Calibri" w:eastAsia="Times New Roman" w:hAnsi="Calibri" w:cs="Times New Roman"/>
                <w:color w:val="000000"/>
                <w:sz w:val="16"/>
                <w:szCs w:val="16"/>
                <w:lang w:val="de-DE" w:eastAsia="de-DE"/>
              </w:rPr>
              <w:t>± 0.06</w:t>
            </w:r>
          </w:p>
        </w:tc>
        <w:tc>
          <w:tcPr>
            <w:tcW w:w="1120" w:type="dxa"/>
            <w:tcBorders>
              <w:top w:val="nil"/>
              <w:left w:val="nil"/>
              <w:bottom w:val="nil"/>
              <w:right w:val="single" w:sz="4" w:space="0" w:color="auto"/>
            </w:tcBorders>
            <w:shd w:val="clear" w:color="auto" w:fill="auto"/>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1.7</w:t>
            </w:r>
            <w:r w:rsidRPr="009C6966">
              <w:rPr>
                <w:rFonts w:ascii="Calibri" w:eastAsia="Times New Roman" w:hAnsi="Calibri" w:cs="Times New Roman"/>
                <w:color w:val="000000"/>
                <w:sz w:val="16"/>
                <w:szCs w:val="16"/>
                <w:lang w:val="de-DE" w:eastAsia="de-DE"/>
              </w:rPr>
              <w:t xml:space="preserve"> ± 0.5</w:t>
            </w:r>
          </w:p>
        </w:tc>
        <w:tc>
          <w:tcPr>
            <w:tcW w:w="1100" w:type="dxa"/>
            <w:tcBorders>
              <w:top w:val="nil"/>
              <w:left w:val="nil"/>
              <w:bottom w:val="nil"/>
              <w:right w:val="single" w:sz="4" w:space="0" w:color="auto"/>
            </w:tcBorders>
            <w:shd w:val="clear" w:color="auto" w:fill="auto"/>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1.2</w:t>
            </w:r>
          </w:p>
        </w:tc>
      </w:tr>
      <w:tr w:rsidR="009C6966" w:rsidRPr="009C6966" w:rsidTr="009A36CA">
        <w:trPr>
          <w:trHeight w:val="300"/>
        </w:trPr>
        <w:tc>
          <w:tcPr>
            <w:tcW w:w="1012" w:type="dxa"/>
            <w:tcBorders>
              <w:top w:val="nil"/>
              <w:left w:val="single" w:sz="4" w:space="0" w:color="auto"/>
              <w:bottom w:val="nil"/>
              <w:right w:val="single" w:sz="4" w:space="0" w:color="auto"/>
            </w:tcBorders>
            <w:shd w:val="clear" w:color="auto" w:fill="auto"/>
            <w:vAlign w:val="bottom"/>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Ile</w:t>
            </w:r>
          </w:p>
        </w:tc>
        <w:tc>
          <w:tcPr>
            <w:tcW w:w="1240" w:type="dxa"/>
            <w:tcBorders>
              <w:top w:val="nil"/>
              <w:left w:val="nil"/>
              <w:bottom w:val="nil"/>
              <w:right w:val="nil"/>
            </w:tcBorders>
            <w:shd w:val="clear" w:color="auto" w:fill="auto"/>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 xml:space="preserve">2.6 </w:t>
            </w:r>
            <w:r w:rsidRPr="009C6966">
              <w:rPr>
                <w:rFonts w:ascii="Calibri" w:eastAsia="Times New Roman" w:hAnsi="Calibri" w:cs="Times New Roman"/>
                <w:color w:val="000000"/>
                <w:sz w:val="16"/>
                <w:szCs w:val="16"/>
                <w:lang w:val="de-DE" w:eastAsia="de-DE"/>
              </w:rPr>
              <w:t>± 0.4</w:t>
            </w:r>
          </w:p>
        </w:tc>
        <w:tc>
          <w:tcPr>
            <w:tcW w:w="1320" w:type="dxa"/>
            <w:tcBorders>
              <w:top w:val="nil"/>
              <w:left w:val="nil"/>
              <w:bottom w:val="nil"/>
              <w:right w:val="single" w:sz="4" w:space="0" w:color="auto"/>
            </w:tcBorders>
            <w:shd w:val="clear" w:color="auto" w:fill="auto"/>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31.4</w:t>
            </w:r>
            <w:r w:rsidRPr="009C6966">
              <w:rPr>
                <w:rFonts w:ascii="Calibri" w:eastAsia="Times New Roman" w:hAnsi="Calibri" w:cs="Times New Roman"/>
                <w:color w:val="000000"/>
                <w:sz w:val="16"/>
                <w:szCs w:val="16"/>
                <w:lang w:val="de-DE" w:eastAsia="de-DE"/>
              </w:rPr>
              <w:t xml:space="preserve"> ± 16.0</w:t>
            </w:r>
          </w:p>
        </w:tc>
        <w:tc>
          <w:tcPr>
            <w:tcW w:w="979" w:type="dxa"/>
            <w:tcBorders>
              <w:top w:val="nil"/>
              <w:left w:val="nil"/>
              <w:bottom w:val="nil"/>
              <w:right w:val="single" w:sz="4" w:space="0" w:color="auto"/>
            </w:tcBorders>
            <w:shd w:val="clear" w:color="000000" w:fill="DA9694"/>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 xml:space="preserve">12.0 </w:t>
            </w:r>
            <w:r w:rsidRPr="009C6966">
              <w:rPr>
                <w:rFonts w:ascii="Calibri" w:eastAsia="Times New Roman" w:hAnsi="Calibri" w:cs="Times New Roman"/>
                <w:color w:val="000000"/>
                <w:sz w:val="18"/>
                <w:szCs w:val="18"/>
                <w:lang w:val="de-DE" w:eastAsia="de-DE"/>
              </w:rPr>
              <w:t>**</w:t>
            </w:r>
          </w:p>
        </w:tc>
        <w:tc>
          <w:tcPr>
            <w:tcW w:w="1241" w:type="dxa"/>
            <w:tcBorders>
              <w:top w:val="nil"/>
              <w:left w:val="nil"/>
              <w:bottom w:val="nil"/>
              <w:right w:val="nil"/>
            </w:tcBorders>
            <w:shd w:val="clear" w:color="auto" w:fill="auto"/>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 xml:space="preserve">7.1 </w:t>
            </w:r>
            <w:r w:rsidRPr="009C6966">
              <w:rPr>
                <w:rFonts w:ascii="Calibri" w:eastAsia="Times New Roman" w:hAnsi="Calibri" w:cs="Times New Roman"/>
                <w:color w:val="000000"/>
                <w:sz w:val="16"/>
                <w:szCs w:val="16"/>
                <w:lang w:val="de-DE" w:eastAsia="de-DE"/>
              </w:rPr>
              <w:t>± 0.3</w:t>
            </w:r>
          </w:p>
        </w:tc>
        <w:tc>
          <w:tcPr>
            <w:tcW w:w="1120" w:type="dxa"/>
            <w:tcBorders>
              <w:top w:val="nil"/>
              <w:left w:val="nil"/>
              <w:bottom w:val="nil"/>
              <w:right w:val="single" w:sz="4" w:space="0" w:color="auto"/>
            </w:tcBorders>
            <w:shd w:val="clear" w:color="auto" w:fill="auto"/>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7.0</w:t>
            </w:r>
            <w:r w:rsidRPr="009C6966">
              <w:rPr>
                <w:rFonts w:ascii="Calibri" w:eastAsia="Times New Roman" w:hAnsi="Calibri" w:cs="Times New Roman"/>
                <w:color w:val="000000"/>
                <w:sz w:val="16"/>
                <w:szCs w:val="16"/>
                <w:lang w:val="de-DE" w:eastAsia="de-DE"/>
              </w:rPr>
              <w:t xml:space="preserve"> ± 1.7</w:t>
            </w:r>
          </w:p>
        </w:tc>
        <w:tc>
          <w:tcPr>
            <w:tcW w:w="1020" w:type="dxa"/>
            <w:tcBorders>
              <w:top w:val="nil"/>
              <w:left w:val="nil"/>
              <w:bottom w:val="nil"/>
              <w:right w:val="single" w:sz="4" w:space="0" w:color="auto"/>
            </w:tcBorders>
            <w:shd w:val="clear" w:color="auto" w:fill="auto"/>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1.0</w:t>
            </w:r>
          </w:p>
        </w:tc>
        <w:tc>
          <w:tcPr>
            <w:tcW w:w="1260" w:type="dxa"/>
            <w:tcBorders>
              <w:top w:val="nil"/>
              <w:left w:val="nil"/>
              <w:bottom w:val="nil"/>
              <w:right w:val="nil"/>
            </w:tcBorders>
            <w:shd w:val="clear" w:color="auto" w:fill="auto"/>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 xml:space="preserve">0.8 </w:t>
            </w:r>
            <w:r w:rsidRPr="009C6966">
              <w:rPr>
                <w:rFonts w:ascii="Calibri" w:eastAsia="Times New Roman" w:hAnsi="Calibri" w:cs="Times New Roman"/>
                <w:color w:val="000000"/>
                <w:sz w:val="16"/>
                <w:szCs w:val="16"/>
                <w:lang w:val="de-DE" w:eastAsia="de-DE"/>
              </w:rPr>
              <w:t>± 0.03</w:t>
            </w:r>
          </w:p>
        </w:tc>
        <w:tc>
          <w:tcPr>
            <w:tcW w:w="1220" w:type="dxa"/>
            <w:tcBorders>
              <w:top w:val="nil"/>
              <w:left w:val="nil"/>
              <w:bottom w:val="nil"/>
              <w:right w:val="single" w:sz="4" w:space="0" w:color="auto"/>
            </w:tcBorders>
            <w:shd w:val="clear" w:color="auto" w:fill="auto"/>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4.7</w:t>
            </w:r>
            <w:r w:rsidRPr="009C6966">
              <w:rPr>
                <w:rFonts w:ascii="Calibri" w:eastAsia="Times New Roman" w:hAnsi="Calibri" w:cs="Times New Roman"/>
                <w:color w:val="000000"/>
                <w:sz w:val="16"/>
                <w:szCs w:val="16"/>
                <w:lang w:val="de-DE" w:eastAsia="de-DE"/>
              </w:rPr>
              <w:t xml:space="preserve"> ± 1.3</w:t>
            </w:r>
          </w:p>
        </w:tc>
        <w:tc>
          <w:tcPr>
            <w:tcW w:w="1060" w:type="dxa"/>
            <w:tcBorders>
              <w:top w:val="nil"/>
              <w:left w:val="nil"/>
              <w:bottom w:val="nil"/>
              <w:right w:val="single" w:sz="4" w:space="0" w:color="auto"/>
            </w:tcBorders>
            <w:shd w:val="clear" w:color="000000" w:fill="DA9694"/>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 xml:space="preserve">5.6 </w:t>
            </w:r>
            <w:r w:rsidRPr="009C6966">
              <w:rPr>
                <w:rFonts w:ascii="Calibri" w:eastAsia="Times New Roman" w:hAnsi="Calibri" w:cs="Times New Roman"/>
                <w:color w:val="000000"/>
                <w:sz w:val="18"/>
                <w:szCs w:val="18"/>
                <w:lang w:val="de-DE" w:eastAsia="de-DE"/>
              </w:rPr>
              <w:t>*</w:t>
            </w:r>
          </w:p>
        </w:tc>
        <w:tc>
          <w:tcPr>
            <w:tcW w:w="1220" w:type="dxa"/>
            <w:tcBorders>
              <w:top w:val="nil"/>
              <w:left w:val="nil"/>
              <w:bottom w:val="nil"/>
              <w:right w:val="nil"/>
            </w:tcBorders>
            <w:shd w:val="clear" w:color="auto" w:fill="auto"/>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1.5</w:t>
            </w:r>
            <w:r w:rsidRPr="009C6966">
              <w:rPr>
                <w:rFonts w:ascii="Calibri" w:eastAsia="Times New Roman" w:hAnsi="Calibri" w:cs="Times New Roman"/>
                <w:color w:val="000000"/>
                <w:sz w:val="16"/>
                <w:szCs w:val="16"/>
                <w:lang w:val="de-DE" w:eastAsia="de-DE"/>
              </w:rPr>
              <w:t xml:space="preserve"> ± 0.04</w:t>
            </w:r>
          </w:p>
        </w:tc>
        <w:tc>
          <w:tcPr>
            <w:tcW w:w="1120" w:type="dxa"/>
            <w:tcBorders>
              <w:top w:val="nil"/>
              <w:left w:val="nil"/>
              <w:bottom w:val="nil"/>
              <w:right w:val="single" w:sz="4" w:space="0" w:color="auto"/>
            </w:tcBorders>
            <w:shd w:val="clear" w:color="auto" w:fill="auto"/>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1.4</w:t>
            </w:r>
            <w:r w:rsidRPr="009C6966">
              <w:rPr>
                <w:rFonts w:ascii="Calibri" w:eastAsia="Times New Roman" w:hAnsi="Calibri" w:cs="Times New Roman"/>
                <w:color w:val="000000"/>
                <w:sz w:val="16"/>
                <w:szCs w:val="16"/>
                <w:lang w:val="de-DE" w:eastAsia="de-DE"/>
              </w:rPr>
              <w:t xml:space="preserve"> ± 0.3</w:t>
            </w:r>
          </w:p>
        </w:tc>
        <w:tc>
          <w:tcPr>
            <w:tcW w:w="1100" w:type="dxa"/>
            <w:tcBorders>
              <w:top w:val="nil"/>
              <w:left w:val="nil"/>
              <w:bottom w:val="nil"/>
              <w:right w:val="single" w:sz="4" w:space="0" w:color="auto"/>
            </w:tcBorders>
            <w:shd w:val="clear" w:color="auto" w:fill="auto"/>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0.9</w:t>
            </w:r>
          </w:p>
        </w:tc>
      </w:tr>
      <w:tr w:rsidR="009C6966" w:rsidRPr="009C6966" w:rsidTr="009A36CA">
        <w:trPr>
          <w:trHeight w:val="300"/>
        </w:trPr>
        <w:tc>
          <w:tcPr>
            <w:tcW w:w="1012" w:type="dxa"/>
            <w:tcBorders>
              <w:top w:val="nil"/>
              <w:left w:val="single" w:sz="4" w:space="0" w:color="auto"/>
              <w:bottom w:val="nil"/>
              <w:right w:val="single" w:sz="4" w:space="0" w:color="auto"/>
            </w:tcBorders>
            <w:shd w:val="clear" w:color="auto" w:fill="auto"/>
            <w:vAlign w:val="bottom"/>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Thr</w:t>
            </w:r>
          </w:p>
        </w:tc>
        <w:tc>
          <w:tcPr>
            <w:tcW w:w="1240" w:type="dxa"/>
            <w:tcBorders>
              <w:top w:val="nil"/>
              <w:left w:val="nil"/>
              <w:bottom w:val="nil"/>
              <w:right w:val="nil"/>
            </w:tcBorders>
            <w:shd w:val="clear" w:color="auto" w:fill="auto"/>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 xml:space="preserve">58.9 </w:t>
            </w:r>
            <w:r w:rsidRPr="009C6966">
              <w:rPr>
                <w:rFonts w:ascii="Calibri" w:eastAsia="Times New Roman" w:hAnsi="Calibri" w:cs="Times New Roman"/>
                <w:color w:val="000000"/>
                <w:sz w:val="16"/>
                <w:szCs w:val="16"/>
                <w:lang w:val="de-DE" w:eastAsia="de-DE"/>
              </w:rPr>
              <w:t>± 13.0</w:t>
            </w:r>
          </w:p>
        </w:tc>
        <w:tc>
          <w:tcPr>
            <w:tcW w:w="1320" w:type="dxa"/>
            <w:tcBorders>
              <w:top w:val="nil"/>
              <w:left w:val="nil"/>
              <w:bottom w:val="nil"/>
              <w:right w:val="single" w:sz="4" w:space="0" w:color="auto"/>
            </w:tcBorders>
            <w:shd w:val="clear" w:color="auto" w:fill="auto"/>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 xml:space="preserve">98.5 </w:t>
            </w:r>
            <w:r w:rsidRPr="009C6966">
              <w:rPr>
                <w:rFonts w:ascii="Calibri" w:eastAsia="Times New Roman" w:hAnsi="Calibri" w:cs="Times New Roman"/>
                <w:color w:val="000000"/>
                <w:sz w:val="16"/>
                <w:szCs w:val="16"/>
                <w:lang w:val="de-DE" w:eastAsia="de-DE"/>
              </w:rPr>
              <w:t>± 33.7</w:t>
            </w:r>
          </w:p>
        </w:tc>
        <w:tc>
          <w:tcPr>
            <w:tcW w:w="979" w:type="dxa"/>
            <w:tcBorders>
              <w:top w:val="nil"/>
              <w:left w:val="nil"/>
              <w:bottom w:val="nil"/>
              <w:right w:val="single" w:sz="4" w:space="0" w:color="auto"/>
            </w:tcBorders>
            <w:shd w:val="clear" w:color="000000" w:fill="F2DCDB"/>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1.7</w:t>
            </w:r>
          </w:p>
        </w:tc>
        <w:tc>
          <w:tcPr>
            <w:tcW w:w="1241" w:type="dxa"/>
            <w:tcBorders>
              <w:top w:val="nil"/>
              <w:left w:val="nil"/>
              <w:bottom w:val="nil"/>
              <w:right w:val="nil"/>
            </w:tcBorders>
            <w:shd w:val="clear" w:color="auto" w:fill="auto"/>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13.3</w:t>
            </w:r>
            <w:r w:rsidRPr="009C6966">
              <w:rPr>
                <w:rFonts w:ascii="Calibri" w:eastAsia="Times New Roman" w:hAnsi="Calibri" w:cs="Times New Roman"/>
                <w:color w:val="000000"/>
                <w:sz w:val="16"/>
                <w:szCs w:val="16"/>
                <w:lang w:val="de-DE" w:eastAsia="de-DE"/>
              </w:rPr>
              <w:t xml:space="preserve"> ± 0.3</w:t>
            </w:r>
          </w:p>
        </w:tc>
        <w:tc>
          <w:tcPr>
            <w:tcW w:w="1120" w:type="dxa"/>
            <w:tcBorders>
              <w:top w:val="nil"/>
              <w:left w:val="nil"/>
              <w:bottom w:val="nil"/>
              <w:right w:val="single" w:sz="4" w:space="0" w:color="auto"/>
            </w:tcBorders>
            <w:shd w:val="clear" w:color="auto" w:fill="auto"/>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 xml:space="preserve">16.6 </w:t>
            </w:r>
            <w:r w:rsidRPr="009C6966">
              <w:rPr>
                <w:rFonts w:ascii="Calibri" w:eastAsia="Times New Roman" w:hAnsi="Calibri" w:cs="Times New Roman"/>
                <w:color w:val="000000"/>
                <w:sz w:val="16"/>
                <w:szCs w:val="16"/>
                <w:lang w:val="de-DE" w:eastAsia="de-DE"/>
              </w:rPr>
              <w:t>± 3.9</w:t>
            </w:r>
          </w:p>
        </w:tc>
        <w:tc>
          <w:tcPr>
            <w:tcW w:w="1020" w:type="dxa"/>
            <w:tcBorders>
              <w:top w:val="nil"/>
              <w:left w:val="nil"/>
              <w:bottom w:val="nil"/>
              <w:right w:val="single" w:sz="4" w:space="0" w:color="auto"/>
            </w:tcBorders>
            <w:shd w:val="clear" w:color="auto" w:fill="auto"/>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1.2</w:t>
            </w:r>
          </w:p>
        </w:tc>
        <w:tc>
          <w:tcPr>
            <w:tcW w:w="1260" w:type="dxa"/>
            <w:tcBorders>
              <w:top w:val="nil"/>
              <w:left w:val="nil"/>
              <w:bottom w:val="nil"/>
              <w:right w:val="nil"/>
            </w:tcBorders>
            <w:shd w:val="clear" w:color="auto" w:fill="auto"/>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 xml:space="preserve">10.6 </w:t>
            </w:r>
            <w:r w:rsidRPr="009C6966">
              <w:rPr>
                <w:rFonts w:ascii="Calibri" w:eastAsia="Times New Roman" w:hAnsi="Calibri" w:cs="Times New Roman"/>
                <w:color w:val="000000"/>
                <w:sz w:val="16"/>
                <w:szCs w:val="16"/>
                <w:lang w:val="de-DE" w:eastAsia="de-DE"/>
              </w:rPr>
              <w:t>± 0.7</w:t>
            </w:r>
          </w:p>
        </w:tc>
        <w:tc>
          <w:tcPr>
            <w:tcW w:w="1220" w:type="dxa"/>
            <w:tcBorders>
              <w:top w:val="nil"/>
              <w:left w:val="nil"/>
              <w:bottom w:val="nil"/>
              <w:right w:val="single" w:sz="4" w:space="0" w:color="auto"/>
            </w:tcBorders>
            <w:shd w:val="clear" w:color="auto" w:fill="auto"/>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 xml:space="preserve">21.1 </w:t>
            </w:r>
            <w:r w:rsidRPr="009C6966">
              <w:rPr>
                <w:rFonts w:ascii="Calibri" w:eastAsia="Times New Roman" w:hAnsi="Calibri" w:cs="Times New Roman"/>
                <w:color w:val="000000"/>
                <w:sz w:val="16"/>
                <w:szCs w:val="16"/>
                <w:lang w:val="de-DE" w:eastAsia="de-DE"/>
              </w:rPr>
              <w:t>± 6.6</w:t>
            </w:r>
          </w:p>
        </w:tc>
        <w:tc>
          <w:tcPr>
            <w:tcW w:w="1060" w:type="dxa"/>
            <w:tcBorders>
              <w:top w:val="nil"/>
              <w:left w:val="nil"/>
              <w:bottom w:val="nil"/>
              <w:right w:val="single" w:sz="4" w:space="0" w:color="auto"/>
            </w:tcBorders>
            <w:shd w:val="clear" w:color="000000" w:fill="F2DCDB"/>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2.0</w:t>
            </w:r>
          </w:p>
        </w:tc>
        <w:tc>
          <w:tcPr>
            <w:tcW w:w="1220" w:type="dxa"/>
            <w:tcBorders>
              <w:top w:val="nil"/>
              <w:left w:val="nil"/>
              <w:bottom w:val="nil"/>
              <w:right w:val="nil"/>
            </w:tcBorders>
            <w:shd w:val="clear" w:color="auto" w:fill="auto"/>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 xml:space="preserve">26.4 </w:t>
            </w:r>
            <w:r w:rsidRPr="009C6966">
              <w:rPr>
                <w:rFonts w:ascii="Calibri" w:eastAsia="Times New Roman" w:hAnsi="Calibri" w:cs="Times New Roman"/>
                <w:color w:val="000000"/>
                <w:sz w:val="16"/>
                <w:szCs w:val="16"/>
                <w:lang w:val="de-DE" w:eastAsia="de-DE"/>
              </w:rPr>
              <w:t>± 0.4</w:t>
            </w:r>
          </w:p>
        </w:tc>
        <w:tc>
          <w:tcPr>
            <w:tcW w:w="1120" w:type="dxa"/>
            <w:tcBorders>
              <w:top w:val="nil"/>
              <w:left w:val="nil"/>
              <w:bottom w:val="nil"/>
              <w:right w:val="single" w:sz="4" w:space="0" w:color="auto"/>
            </w:tcBorders>
            <w:shd w:val="clear" w:color="auto" w:fill="auto"/>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27.5</w:t>
            </w:r>
            <w:r w:rsidRPr="009C6966">
              <w:rPr>
                <w:rFonts w:ascii="Calibri" w:eastAsia="Times New Roman" w:hAnsi="Calibri" w:cs="Times New Roman"/>
                <w:color w:val="000000"/>
                <w:sz w:val="16"/>
                <w:szCs w:val="16"/>
                <w:lang w:val="de-DE" w:eastAsia="de-DE"/>
              </w:rPr>
              <w:t xml:space="preserve"> ± 5.2</w:t>
            </w:r>
          </w:p>
        </w:tc>
        <w:tc>
          <w:tcPr>
            <w:tcW w:w="1100" w:type="dxa"/>
            <w:tcBorders>
              <w:top w:val="nil"/>
              <w:left w:val="nil"/>
              <w:bottom w:val="nil"/>
              <w:right w:val="single" w:sz="4" w:space="0" w:color="auto"/>
            </w:tcBorders>
            <w:shd w:val="clear" w:color="auto" w:fill="auto"/>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1.0</w:t>
            </w:r>
          </w:p>
        </w:tc>
      </w:tr>
      <w:tr w:rsidR="009C6966" w:rsidRPr="009C6966" w:rsidTr="009A36CA">
        <w:trPr>
          <w:trHeight w:val="300"/>
        </w:trPr>
        <w:tc>
          <w:tcPr>
            <w:tcW w:w="1012" w:type="dxa"/>
            <w:tcBorders>
              <w:top w:val="nil"/>
              <w:left w:val="single" w:sz="4" w:space="0" w:color="auto"/>
              <w:bottom w:val="nil"/>
              <w:right w:val="single" w:sz="4" w:space="0" w:color="auto"/>
            </w:tcBorders>
            <w:shd w:val="clear" w:color="auto" w:fill="auto"/>
            <w:vAlign w:val="bottom"/>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Pro</w:t>
            </w:r>
          </w:p>
        </w:tc>
        <w:tc>
          <w:tcPr>
            <w:tcW w:w="1240" w:type="dxa"/>
            <w:tcBorders>
              <w:top w:val="nil"/>
              <w:left w:val="nil"/>
              <w:bottom w:val="nil"/>
              <w:right w:val="nil"/>
            </w:tcBorders>
            <w:shd w:val="clear" w:color="auto" w:fill="auto"/>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 xml:space="preserve">11.1 </w:t>
            </w:r>
            <w:r w:rsidRPr="009C6966">
              <w:rPr>
                <w:rFonts w:ascii="Calibri" w:eastAsia="Times New Roman" w:hAnsi="Calibri" w:cs="Times New Roman"/>
                <w:color w:val="000000"/>
                <w:sz w:val="16"/>
                <w:szCs w:val="16"/>
                <w:lang w:val="de-DE" w:eastAsia="de-DE"/>
              </w:rPr>
              <w:t>± 1.5</w:t>
            </w:r>
          </w:p>
        </w:tc>
        <w:tc>
          <w:tcPr>
            <w:tcW w:w="1320" w:type="dxa"/>
            <w:tcBorders>
              <w:top w:val="nil"/>
              <w:left w:val="nil"/>
              <w:bottom w:val="nil"/>
              <w:right w:val="single" w:sz="4" w:space="0" w:color="auto"/>
            </w:tcBorders>
            <w:shd w:val="clear" w:color="auto" w:fill="auto"/>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 xml:space="preserve">10.0 </w:t>
            </w:r>
            <w:r w:rsidRPr="009C6966">
              <w:rPr>
                <w:rFonts w:ascii="Calibri" w:eastAsia="Times New Roman" w:hAnsi="Calibri" w:cs="Times New Roman"/>
                <w:color w:val="000000"/>
                <w:sz w:val="16"/>
                <w:szCs w:val="16"/>
                <w:lang w:val="de-DE" w:eastAsia="de-DE"/>
              </w:rPr>
              <w:t>± 3.0</w:t>
            </w:r>
          </w:p>
        </w:tc>
        <w:tc>
          <w:tcPr>
            <w:tcW w:w="979" w:type="dxa"/>
            <w:tcBorders>
              <w:top w:val="nil"/>
              <w:left w:val="nil"/>
              <w:bottom w:val="nil"/>
              <w:right w:val="single" w:sz="4" w:space="0" w:color="auto"/>
            </w:tcBorders>
            <w:shd w:val="clear" w:color="auto" w:fill="auto"/>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0.9</w:t>
            </w:r>
          </w:p>
        </w:tc>
        <w:tc>
          <w:tcPr>
            <w:tcW w:w="1241" w:type="dxa"/>
            <w:tcBorders>
              <w:top w:val="nil"/>
              <w:left w:val="nil"/>
              <w:bottom w:val="nil"/>
              <w:right w:val="nil"/>
            </w:tcBorders>
            <w:shd w:val="clear" w:color="auto" w:fill="auto"/>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11.8</w:t>
            </w:r>
            <w:r w:rsidRPr="009C6966">
              <w:rPr>
                <w:rFonts w:ascii="Calibri" w:eastAsia="Times New Roman" w:hAnsi="Calibri" w:cs="Times New Roman"/>
                <w:color w:val="000000"/>
                <w:sz w:val="16"/>
                <w:szCs w:val="16"/>
                <w:lang w:val="de-DE" w:eastAsia="de-DE"/>
              </w:rPr>
              <w:t xml:space="preserve"> ± 1.5</w:t>
            </w:r>
          </w:p>
        </w:tc>
        <w:tc>
          <w:tcPr>
            <w:tcW w:w="1120" w:type="dxa"/>
            <w:tcBorders>
              <w:top w:val="nil"/>
              <w:left w:val="nil"/>
              <w:bottom w:val="nil"/>
              <w:right w:val="single" w:sz="4" w:space="0" w:color="auto"/>
            </w:tcBorders>
            <w:shd w:val="clear" w:color="auto" w:fill="auto"/>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 xml:space="preserve">13.5 </w:t>
            </w:r>
            <w:r w:rsidRPr="009C6966">
              <w:rPr>
                <w:rFonts w:ascii="Calibri" w:eastAsia="Times New Roman" w:hAnsi="Calibri" w:cs="Times New Roman"/>
                <w:color w:val="000000"/>
                <w:sz w:val="16"/>
                <w:szCs w:val="16"/>
                <w:lang w:val="de-DE" w:eastAsia="de-DE"/>
              </w:rPr>
              <w:t>± 3.6</w:t>
            </w:r>
          </w:p>
        </w:tc>
        <w:tc>
          <w:tcPr>
            <w:tcW w:w="1020" w:type="dxa"/>
            <w:tcBorders>
              <w:top w:val="nil"/>
              <w:left w:val="nil"/>
              <w:bottom w:val="nil"/>
              <w:right w:val="single" w:sz="4" w:space="0" w:color="auto"/>
            </w:tcBorders>
            <w:shd w:val="clear" w:color="auto" w:fill="auto"/>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1.1</w:t>
            </w:r>
          </w:p>
        </w:tc>
        <w:tc>
          <w:tcPr>
            <w:tcW w:w="1260" w:type="dxa"/>
            <w:tcBorders>
              <w:top w:val="nil"/>
              <w:left w:val="nil"/>
              <w:bottom w:val="nil"/>
              <w:right w:val="nil"/>
            </w:tcBorders>
            <w:shd w:val="clear" w:color="auto" w:fill="auto"/>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 xml:space="preserve">9.0 </w:t>
            </w:r>
            <w:r w:rsidRPr="009C6966">
              <w:rPr>
                <w:rFonts w:ascii="Calibri" w:eastAsia="Times New Roman" w:hAnsi="Calibri" w:cs="Times New Roman"/>
                <w:color w:val="000000"/>
                <w:sz w:val="16"/>
                <w:szCs w:val="16"/>
                <w:lang w:val="de-DE" w:eastAsia="de-DE"/>
              </w:rPr>
              <w:t>± 1.1</w:t>
            </w:r>
          </w:p>
        </w:tc>
        <w:tc>
          <w:tcPr>
            <w:tcW w:w="1220" w:type="dxa"/>
            <w:tcBorders>
              <w:top w:val="nil"/>
              <w:left w:val="nil"/>
              <w:bottom w:val="nil"/>
              <w:right w:val="single" w:sz="4" w:space="0" w:color="auto"/>
            </w:tcBorders>
            <w:shd w:val="clear" w:color="auto" w:fill="auto"/>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 xml:space="preserve">44.0 </w:t>
            </w:r>
            <w:r w:rsidRPr="009C6966">
              <w:rPr>
                <w:rFonts w:ascii="Calibri" w:eastAsia="Times New Roman" w:hAnsi="Calibri" w:cs="Times New Roman"/>
                <w:color w:val="000000"/>
                <w:sz w:val="16"/>
                <w:szCs w:val="16"/>
                <w:lang w:val="de-DE" w:eastAsia="de-DE"/>
              </w:rPr>
              <w:t>± 11.7</w:t>
            </w:r>
          </w:p>
        </w:tc>
        <w:tc>
          <w:tcPr>
            <w:tcW w:w="1060" w:type="dxa"/>
            <w:tcBorders>
              <w:top w:val="nil"/>
              <w:left w:val="nil"/>
              <w:bottom w:val="nil"/>
              <w:right w:val="single" w:sz="4" w:space="0" w:color="auto"/>
            </w:tcBorders>
            <w:shd w:val="clear" w:color="000000" w:fill="E6B8B7"/>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 xml:space="preserve">4.9 </w:t>
            </w:r>
            <w:r w:rsidRPr="009C6966">
              <w:rPr>
                <w:rFonts w:ascii="Calibri" w:eastAsia="Times New Roman" w:hAnsi="Calibri" w:cs="Times New Roman"/>
                <w:color w:val="000000"/>
                <w:sz w:val="18"/>
                <w:szCs w:val="18"/>
                <w:lang w:val="de-DE" w:eastAsia="de-DE"/>
              </w:rPr>
              <w:t>*</w:t>
            </w:r>
          </w:p>
        </w:tc>
        <w:tc>
          <w:tcPr>
            <w:tcW w:w="1220" w:type="dxa"/>
            <w:tcBorders>
              <w:top w:val="nil"/>
              <w:left w:val="nil"/>
              <w:bottom w:val="nil"/>
              <w:right w:val="nil"/>
            </w:tcBorders>
            <w:shd w:val="clear" w:color="auto" w:fill="auto"/>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 xml:space="preserve">70.3 </w:t>
            </w:r>
            <w:r w:rsidRPr="009C6966">
              <w:rPr>
                <w:rFonts w:ascii="Calibri" w:eastAsia="Times New Roman" w:hAnsi="Calibri" w:cs="Times New Roman"/>
                <w:color w:val="000000"/>
                <w:sz w:val="16"/>
                <w:szCs w:val="16"/>
                <w:lang w:val="de-DE" w:eastAsia="de-DE"/>
              </w:rPr>
              <w:t>± 8.0</w:t>
            </w:r>
          </w:p>
        </w:tc>
        <w:tc>
          <w:tcPr>
            <w:tcW w:w="1120" w:type="dxa"/>
            <w:tcBorders>
              <w:top w:val="nil"/>
              <w:left w:val="nil"/>
              <w:bottom w:val="nil"/>
              <w:right w:val="single" w:sz="4" w:space="0" w:color="auto"/>
            </w:tcBorders>
            <w:shd w:val="clear" w:color="auto" w:fill="auto"/>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22.7</w:t>
            </w:r>
            <w:r w:rsidRPr="009C6966">
              <w:rPr>
                <w:rFonts w:ascii="Calibri" w:eastAsia="Times New Roman" w:hAnsi="Calibri" w:cs="Times New Roman"/>
                <w:color w:val="000000"/>
                <w:sz w:val="16"/>
                <w:szCs w:val="16"/>
                <w:lang w:val="de-DE" w:eastAsia="de-DE"/>
              </w:rPr>
              <w:t xml:space="preserve"> ± 4.7</w:t>
            </w:r>
          </w:p>
        </w:tc>
        <w:tc>
          <w:tcPr>
            <w:tcW w:w="1100" w:type="dxa"/>
            <w:tcBorders>
              <w:top w:val="nil"/>
              <w:left w:val="nil"/>
              <w:bottom w:val="nil"/>
              <w:right w:val="single" w:sz="4" w:space="0" w:color="auto"/>
            </w:tcBorders>
            <w:shd w:val="clear" w:color="000000" w:fill="76933C"/>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0.3</w:t>
            </w:r>
            <w:r w:rsidRPr="009C6966">
              <w:rPr>
                <w:rFonts w:ascii="Calibri" w:eastAsia="Times New Roman" w:hAnsi="Calibri" w:cs="Times New Roman"/>
                <w:color w:val="000000"/>
                <w:sz w:val="18"/>
                <w:szCs w:val="18"/>
                <w:lang w:val="de-DE" w:eastAsia="de-DE"/>
              </w:rPr>
              <w:t xml:space="preserve"> **</w:t>
            </w:r>
          </w:p>
        </w:tc>
      </w:tr>
      <w:tr w:rsidR="009C6966" w:rsidRPr="009C6966" w:rsidTr="009A36CA">
        <w:trPr>
          <w:trHeight w:val="300"/>
        </w:trPr>
        <w:tc>
          <w:tcPr>
            <w:tcW w:w="1012" w:type="dxa"/>
            <w:tcBorders>
              <w:top w:val="nil"/>
              <w:left w:val="single" w:sz="4" w:space="0" w:color="auto"/>
              <w:bottom w:val="nil"/>
              <w:right w:val="single" w:sz="4" w:space="0" w:color="auto"/>
            </w:tcBorders>
            <w:shd w:val="clear" w:color="auto" w:fill="auto"/>
            <w:vAlign w:val="bottom"/>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Ser</w:t>
            </w:r>
          </w:p>
        </w:tc>
        <w:tc>
          <w:tcPr>
            <w:tcW w:w="1240" w:type="dxa"/>
            <w:tcBorders>
              <w:top w:val="nil"/>
              <w:left w:val="nil"/>
              <w:bottom w:val="nil"/>
              <w:right w:val="nil"/>
            </w:tcBorders>
            <w:shd w:val="clear" w:color="auto" w:fill="auto"/>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 xml:space="preserve">127.5 </w:t>
            </w:r>
            <w:r w:rsidRPr="009C6966">
              <w:rPr>
                <w:rFonts w:ascii="Calibri" w:eastAsia="Times New Roman" w:hAnsi="Calibri" w:cs="Times New Roman"/>
                <w:color w:val="000000"/>
                <w:sz w:val="16"/>
                <w:szCs w:val="16"/>
                <w:lang w:val="de-DE" w:eastAsia="de-DE"/>
              </w:rPr>
              <w:t>± 17.8</w:t>
            </w:r>
          </w:p>
        </w:tc>
        <w:tc>
          <w:tcPr>
            <w:tcW w:w="1320" w:type="dxa"/>
            <w:tcBorders>
              <w:top w:val="nil"/>
              <w:left w:val="nil"/>
              <w:bottom w:val="nil"/>
              <w:right w:val="single" w:sz="4" w:space="0" w:color="auto"/>
            </w:tcBorders>
            <w:shd w:val="clear" w:color="auto" w:fill="auto"/>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 xml:space="preserve">230.5 </w:t>
            </w:r>
            <w:r w:rsidRPr="009C6966">
              <w:rPr>
                <w:rFonts w:ascii="Calibri" w:eastAsia="Times New Roman" w:hAnsi="Calibri" w:cs="Times New Roman"/>
                <w:color w:val="000000"/>
                <w:sz w:val="16"/>
                <w:szCs w:val="16"/>
                <w:lang w:val="de-DE" w:eastAsia="de-DE"/>
              </w:rPr>
              <w:t xml:space="preserve">± 46.4 </w:t>
            </w:r>
          </w:p>
        </w:tc>
        <w:tc>
          <w:tcPr>
            <w:tcW w:w="979" w:type="dxa"/>
            <w:tcBorders>
              <w:top w:val="nil"/>
              <w:left w:val="nil"/>
              <w:bottom w:val="nil"/>
              <w:right w:val="single" w:sz="4" w:space="0" w:color="auto"/>
            </w:tcBorders>
            <w:shd w:val="clear" w:color="000000" w:fill="F2DCDB"/>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 xml:space="preserve">1.8 </w:t>
            </w:r>
            <w:r w:rsidRPr="009C6966">
              <w:rPr>
                <w:rFonts w:ascii="Calibri" w:eastAsia="Times New Roman" w:hAnsi="Calibri" w:cs="Times New Roman"/>
                <w:color w:val="000000"/>
                <w:sz w:val="18"/>
                <w:szCs w:val="18"/>
                <w:lang w:val="de-DE" w:eastAsia="de-DE"/>
              </w:rPr>
              <w:t>*</w:t>
            </w:r>
          </w:p>
        </w:tc>
        <w:tc>
          <w:tcPr>
            <w:tcW w:w="1241" w:type="dxa"/>
            <w:tcBorders>
              <w:top w:val="nil"/>
              <w:left w:val="nil"/>
              <w:bottom w:val="nil"/>
              <w:right w:val="nil"/>
            </w:tcBorders>
            <w:shd w:val="clear" w:color="auto" w:fill="auto"/>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 xml:space="preserve">19.7 </w:t>
            </w:r>
            <w:r w:rsidRPr="009C6966">
              <w:rPr>
                <w:rFonts w:ascii="Calibri" w:eastAsia="Times New Roman" w:hAnsi="Calibri" w:cs="Times New Roman"/>
                <w:color w:val="000000"/>
                <w:sz w:val="16"/>
                <w:szCs w:val="16"/>
                <w:lang w:val="de-DE" w:eastAsia="de-DE"/>
              </w:rPr>
              <w:t>± 1.4</w:t>
            </w:r>
          </w:p>
        </w:tc>
        <w:tc>
          <w:tcPr>
            <w:tcW w:w="1120" w:type="dxa"/>
            <w:tcBorders>
              <w:top w:val="nil"/>
              <w:left w:val="nil"/>
              <w:bottom w:val="nil"/>
              <w:right w:val="single" w:sz="4" w:space="0" w:color="auto"/>
            </w:tcBorders>
            <w:shd w:val="clear" w:color="auto" w:fill="auto"/>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 xml:space="preserve">20.3 </w:t>
            </w:r>
            <w:r w:rsidRPr="009C6966">
              <w:rPr>
                <w:rFonts w:ascii="Calibri" w:eastAsia="Times New Roman" w:hAnsi="Calibri" w:cs="Times New Roman"/>
                <w:color w:val="000000"/>
                <w:sz w:val="16"/>
                <w:szCs w:val="16"/>
                <w:lang w:val="de-DE" w:eastAsia="de-DE"/>
              </w:rPr>
              <w:t>± 4.2</w:t>
            </w:r>
          </w:p>
        </w:tc>
        <w:tc>
          <w:tcPr>
            <w:tcW w:w="1020" w:type="dxa"/>
            <w:tcBorders>
              <w:top w:val="nil"/>
              <w:left w:val="nil"/>
              <w:bottom w:val="nil"/>
              <w:right w:val="single" w:sz="4" w:space="0" w:color="auto"/>
            </w:tcBorders>
            <w:shd w:val="clear" w:color="auto" w:fill="auto"/>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1.0</w:t>
            </w:r>
          </w:p>
        </w:tc>
        <w:tc>
          <w:tcPr>
            <w:tcW w:w="1260" w:type="dxa"/>
            <w:tcBorders>
              <w:top w:val="nil"/>
              <w:left w:val="nil"/>
              <w:bottom w:val="nil"/>
              <w:right w:val="nil"/>
            </w:tcBorders>
            <w:shd w:val="clear" w:color="auto" w:fill="auto"/>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13.3</w:t>
            </w:r>
            <w:r w:rsidRPr="009C6966">
              <w:rPr>
                <w:rFonts w:ascii="Calibri" w:eastAsia="Times New Roman" w:hAnsi="Calibri" w:cs="Times New Roman"/>
                <w:color w:val="000000"/>
                <w:sz w:val="16"/>
                <w:szCs w:val="16"/>
                <w:lang w:val="de-DE" w:eastAsia="de-DE"/>
              </w:rPr>
              <w:t xml:space="preserve"> ± 0.4</w:t>
            </w:r>
          </w:p>
        </w:tc>
        <w:tc>
          <w:tcPr>
            <w:tcW w:w="1220" w:type="dxa"/>
            <w:tcBorders>
              <w:top w:val="nil"/>
              <w:left w:val="nil"/>
              <w:bottom w:val="nil"/>
              <w:right w:val="single" w:sz="4" w:space="0" w:color="auto"/>
            </w:tcBorders>
            <w:shd w:val="clear" w:color="auto" w:fill="auto"/>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 xml:space="preserve">33.3 </w:t>
            </w:r>
            <w:r w:rsidRPr="009C6966">
              <w:rPr>
                <w:rFonts w:ascii="Calibri" w:eastAsia="Times New Roman" w:hAnsi="Calibri" w:cs="Times New Roman"/>
                <w:color w:val="000000"/>
                <w:sz w:val="16"/>
                <w:szCs w:val="16"/>
                <w:lang w:val="de-DE" w:eastAsia="de-DE"/>
              </w:rPr>
              <w:t>± 10.8</w:t>
            </w:r>
          </w:p>
        </w:tc>
        <w:tc>
          <w:tcPr>
            <w:tcW w:w="1060" w:type="dxa"/>
            <w:tcBorders>
              <w:top w:val="nil"/>
              <w:left w:val="nil"/>
              <w:bottom w:val="nil"/>
              <w:right w:val="single" w:sz="4" w:space="0" w:color="auto"/>
            </w:tcBorders>
            <w:shd w:val="clear" w:color="000000" w:fill="F2DCDB"/>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2.5</w:t>
            </w:r>
          </w:p>
        </w:tc>
        <w:tc>
          <w:tcPr>
            <w:tcW w:w="1220" w:type="dxa"/>
            <w:tcBorders>
              <w:top w:val="nil"/>
              <w:left w:val="nil"/>
              <w:bottom w:val="nil"/>
              <w:right w:val="nil"/>
            </w:tcBorders>
            <w:shd w:val="clear" w:color="auto" w:fill="auto"/>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 xml:space="preserve">26.6 </w:t>
            </w:r>
            <w:r w:rsidRPr="009C6966">
              <w:rPr>
                <w:rFonts w:ascii="Calibri" w:eastAsia="Times New Roman" w:hAnsi="Calibri" w:cs="Times New Roman"/>
                <w:color w:val="000000"/>
                <w:sz w:val="16"/>
                <w:szCs w:val="16"/>
                <w:lang w:val="de-DE" w:eastAsia="de-DE"/>
              </w:rPr>
              <w:t>± 2.4</w:t>
            </w:r>
          </w:p>
        </w:tc>
        <w:tc>
          <w:tcPr>
            <w:tcW w:w="1120" w:type="dxa"/>
            <w:tcBorders>
              <w:top w:val="nil"/>
              <w:left w:val="nil"/>
              <w:bottom w:val="nil"/>
              <w:right w:val="single" w:sz="4" w:space="0" w:color="auto"/>
            </w:tcBorders>
            <w:shd w:val="clear" w:color="auto" w:fill="auto"/>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 xml:space="preserve">29.9 </w:t>
            </w:r>
            <w:r w:rsidRPr="009C6966">
              <w:rPr>
                <w:rFonts w:ascii="Calibri" w:eastAsia="Times New Roman" w:hAnsi="Calibri" w:cs="Times New Roman"/>
                <w:color w:val="000000"/>
                <w:sz w:val="16"/>
                <w:szCs w:val="16"/>
                <w:lang w:val="de-DE" w:eastAsia="de-DE"/>
              </w:rPr>
              <w:t>± 8.5</w:t>
            </w:r>
          </w:p>
        </w:tc>
        <w:tc>
          <w:tcPr>
            <w:tcW w:w="1100" w:type="dxa"/>
            <w:tcBorders>
              <w:top w:val="nil"/>
              <w:left w:val="nil"/>
              <w:bottom w:val="nil"/>
              <w:right w:val="single" w:sz="4" w:space="0" w:color="auto"/>
            </w:tcBorders>
            <w:shd w:val="clear" w:color="auto" w:fill="auto"/>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1.1</w:t>
            </w:r>
          </w:p>
        </w:tc>
      </w:tr>
      <w:tr w:rsidR="009C6966" w:rsidRPr="009C6966" w:rsidTr="009A36CA">
        <w:trPr>
          <w:trHeight w:val="300"/>
        </w:trPr>
        <w:tc>
          <w:tcPr>
            <w:tcW w:w="1012" w:type="dxa"/>
            <w:tcBorders>
              <w:top w:val="nil"/>
              <w:left w:val="single" w:sz="4" w:space="0" w:color="auto"/>
              <w:bottom w:val="nil"/>
              <w:right w:val="single" w:sz="4" w:space="0" w:color="auto"/>
            </w:tcBorders>
            <w:shd w:val="clear" w:color="auto" w:fill="auto"/>
            <w:vAlign w:val="bottom"/>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Asn</w:t>
            </w:r>
          </w:p>
        </w:tc>
        <w:tc>
          <w:tcPr>
            <w:tcW w:w="1240" w:type="dxa"/>
            <w:tcBorders>
              <w:top w:val="nil"/>
              <w:left w:val="nil"/>
              <w:bottom w:val="nil"/>
              <w:right w:val="nil"/>
            </w:tcBorders>
            <w:shd w:val="clear" w:color="auto" w:fill="auto"/>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 xml:space="preserve">28.1 </w:t>
            </w:r>
            <w:r w:rsidRPr="009C6966">
              <w:rPr>
                <w:rFonts w:ascii="Calibri" w:eastAsia="Times New Roman" w:hAnsi="Calibri" w:cs="Times New Roman"/>
                <w:color w:val="000000"/>
                <w:sz w:val="16"/>
                <w:szCs w:val="16"/>
                <w:lang w:val="de-DE" w:eastAsia="de-DE"/>
              </w:rPr>
              <w:t>± 4.3</w:t>
            </w:r>
          </w:p>
        </w:tc>
        <w:tc>
          <w:tcPr>
            <w:tcW w:w="1320" w:type="dxa"/>
            <w:tcBorders>
              <w:top w:val="nil"/>
              <w:left w:val="nil"/>
              <w:bottom w:val="nil"/>
              <w:right w:val="single" w:sz="4" w:space="0" w:color="auto"/>
            </w:tcBorders>
            <w:shd w:val="clear" w:color="auto" w:fill="auto"/>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78.9</w:t>
            </w:r>
            <w:r w:rsidRPr="009C6966">
              <w:rPr>
                <w:rFonts w:ascii="Calibri" w:eastAsia="Times New Roman" w:hAnsi="Calibri" w:cs="Times New Roman"/>
                <w:color w:val="000000"/>
                <w:sz w:val="16"/>
                <w:szCs w:val="16"/>
                <w:lang w:val="de-DE" w:eastAsia="de-DE"/>
              </w:rPr>
              <w:t xml:space="preserve"> ± 22.3</w:t>
            </w:r>
          </w:p>
        </w:tc>
        <w:tc>
          <w:tcPr>
            <w:tcW w:w="979" w:type="dxa"/>
            <w:tcBorders>
              <w:top w:val="nil"/>
              <w:left w:val="nil"/>
              <w:bottom w:val="nil"/>
              <w:right w:val="single" w:sz="4" w:space="0" w:color="auto"/>
            </w:tcBorders>
            <w:shd w:val="clear" w:color="000000" w:fill="F2DCDB"/>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2.8</w:t>
            </w:r>
            <w:r w:rsidRPr="009C6966">
              <w:rPr>
                <w:rFonts w:ascii="Calibri" w:eastAsia="Times New Roman" w:hAnsi="Calibri" w:cs="Times New Roman"/>
                <w:color w:val="000000"/>
                <w:sz w:val="18"/>
                <w:szCs w:val="18"/>
                <w:lang w:val="de-DE" w:eastAsia="de-DE"/>
              </w:rPr>
              <w:t xml:space="preserve"> **</w:t>
            </w:r>
          </w:p>
        </w:tc>
        <w:tc>
          <w:tcPr>
            <w:tcW w:w="1241" w:type="dxa"/>
            <w:tcBorders>
              <w:top w:val="nil"/>
              <w:left w:val="nil"/>
              <w:bottom w:val="nil"/>
              <w:right w:val="nil"/>
            </w:tcBorders>
            <w:shd w:val="clear" w:color="auto" w:fill="auto"/>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 xml:space="preserve">6.1 </w:t>
            </w:r>
            <w:r w:rsidRPr="009C6966">
              <w:rPr>
                <w:rFonts w:ascii="Calibri" w:eastAsia="Times New Roman" w:hAnsi="Calibri" w:cs="Times New Roman"/>
                <w:color w:val="000000"/>
                <w:sz w:val="16"/>
                <w:szCs w:val="16"/>
                <w:lang w:val="de-DE" w:eastAsia="de-DE"/>
              </w:rPr>
              <w:t>± 1.0</w:t>
            </w:r>
          </w:p>
        </w:tc>
        <w:tc>
          <w:tcPr>
            <w:tcW w:w="1120" w:type="dxa"/>
            <w:tcBorders>
              <w:top w:val="nil"/>
              <w:left w:val="nil"/>
              <w:bottom w:val="nil"/>
              <w:right w:val="single" w:sz="4" w:space="0" w:color="auto"/>
            </w:tcBorders>
            <w:shd w:val="clear" w:color="auto" w:fill="auto"/>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 xml:space="preserve">6.9 </w:t>
            </w:r>
            <w:r w:rsidRPr="009C6966">
              <w:rPr>
                <w:rFonts w:ascii="Calibri" w:eastAsia="Times New Roman" w:hAnsi="Calibri" w:cs="Times New Roman"/>
                <w:color w:val="000000"/>
                <w:sz w:val="16"/>
                <w:szCs w:val="16"/>
                <w:lang w:val="de-DE" w:eastAsia="de-DE"/>
              </w:rPr>
              <w:t>± 1.0</w:t>
            </w:r>
          </w:p>
        </w:tc>
        <w:tc>
          <w:tcPr>
            <w:tcW w:w="1020" w:type="dxa"/>
            <w:tcBorders>
              <w:top w:val="nil"/>
              <w:left w:val="nil"/>
              <w:bottom w:val="nil"/>
              <w:right w:val="single" w:sz="4" w:space="0" w:color="auto"/>
            </w:tcBorders>
            <w:shd w:val="clear" w:color="auto" w:fill="auto"/>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1.1</w:t>
            </w:r>
          </w:p>
        </w:tc>
        <w:tc>
          <w:tcPr>
            <w:tcW w:w="1260" w:type="dxa"/>
            <w:tcBorders>
              <w:top w:val="nil"/>
              <w:left w:val="nil"/>
              <w:bottom w:val="nil"/>
              <w:right w:val="nil"/>
            </w:tcBorders>
            <w:shd w:val="clear" w:color="auto" w:fill="auto"/>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 xml:space="preserve">8.3 </w:t>
            </w:r>
            <w:r w:rsidRPr="009C6966">
              <w:rPr>
                <w:rFonts w:ascii="Calibri" w:eastAsia="Times New Roman" w:hAnsi="Calibri" w:cs="Times New Roman"/>
                <w:color w:val="000000"/>
                <w:sz w:val="16"/>
                <w:szCs w:val="16"/>
                <w:lang w:val="de-DE" w:eastAsia="de-DE"/>
              </w:rPr>
              <w:t>± 1.2</w:t>
            </w:r>
          </w:p>
        </w:tc>
        <w:tc>
          <w:tcPr>
            <w:tcW w:w="1220" w:type="dxa"/>
            <w:tcBorders>
              <w:top w:val="nil"/>
              <w:left w:val="nil"/>
              <w:bottom w:val="nil"/>
              <w:right w:val="single" w:sz="4" w:space="0" w:color="auto"/>
            </w:tcBorders>
            <w:shd w:val="clear" w:color="auto" w:fill="auto"/>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 xml:space="preserve">23.1 </w:t>
            </w:r>
            <w:r w:rsidRPr="009C6966">
              <w:rPr>
                <w:rFonts w:ascii="Calibri" w:eastAsia="Times New Roman" w:hAnsi="Calibri" w:cs="Times New Roman"/>
                <w:color w:val="000000"/>
                <w:sz w:val="16"/>
                <w:szCs w:val="16"/>
                <w:lang w:val="de-DE" w:eastAsia="de-DE"/>
              </w:rPr>
              <w:t>± 9.3</w:t>
            </w:r>
          </w:p>
        </w:tc>
        <w:tc>
          <w:tcPr>
            <w:tcW w:w="1060" w:type="dxa"/>
            <w:tcBorders>
              <w:top w:val="nil"/>
              <w:left w:val="nil"/>
              <w:bottom w:val="nil"/>
              <w:right w:val="single" w:sz="4" w:space="0" w:color="auto"/>
            </w:tcBorders>
            <w:shd w:val="clear" w:color="000000" w:fill="F2DCDB"/>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2.8</w:t>
            </w:r>
          </w:p>
        </w:tc>
        <w:tc>
          <w:tcPr>
            <w:tcW w:w="1220" w:type="dxa"/>
            <w:tcBorders>
              <w:top w:val="nil"/>
              <w:left w:val="nil"/>
              <w:bottom w:val="nil"/>
              <w:right w:val="nil"/>
            </w:tcBorders>
            <w:shd w:val="clear" w:color="auto" w:fill="auto"/>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 xml:space="preserve">31.7 </w:t>
            </w:r>
            <w:r w:rsidRPr="009C6966">
              <w:rPr>
                <w:rFonts w:ascii="Calibri" w:eastAsia="Times New Roman" w:hAnsi="Calibri" w:cs="Times New Roman"/>
                <w:color w:val="000000"/>
                <w:sz w:val="16"/>
                <w:szCs w:val="16"/>
                <w:lang w:val="de-DE" w:eastAsia="de-DE"/>
              </w:rPr>
              <w:t>± 2.3</w:t>
            </w:r>
          </w:p>
        </w:tc>
        <w:tc>
          <w:tcPr>
            <w:tcW w:w="1120" w:type="dxa"/>
            <w:tcBorders>
              <w:top w:val="nil"/>
              <w:left w:val="nil"/>
              <w:bottom w:val="nil"/>
              <w:right w:val="single" w:sz="4" w:space="0" w:color="auto"/>
            </w:tcBorders>
            <w:shd w:val="clear" w:color="auto" w:fill="auto"/>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 xml:space="preserve">22.1 </w:t>
            </w:r>
            <w:r w:rsidRPr="009C6966">
              <w:rPr>
                <w:rFonts w:ascii="Calibri" w:eastAsia="Times New Roman" w:hAnsi="Calibri" w:cs="Times New Roman"/>
                <w:color w:val="000000"/>
                <w:sz w:val="16"/>
                <w:szCs w:val="16"/>
                <w:lang w:val="de-DE" w:eastAsia="de-DE"/>
              </w:rPr>
              <w:t>± 4.0</w:t>
            </w:r>
          </w:p>
        </w:tc>
        <w:tc>
          <w:tcPr>
            <w:tcW w:w="1100" w:type="dxa"/>
            <w:tcBorders>
              <w:top w:val="nil"/>
              <w:left w:val="nil"/>
              <w:bottom w:val="nil"/>
              <w:right w:val="single" w:sz="4" w:space="0" w:color="auto"/>
            </w:tcBorders>
            <w:shd w:val="clear" w:color="000000" w:fill="D8E4BC"/>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 xml:space="preserve">0.7 </w:t>
            </w:r>
            <w:r w:rsidRPr="009C6966">
              <w:rPr>
                <w:rFonts w:ascii="Calibri" w:eastAsia="Times New Roman" w:hAnsi="Calibri" w:cs="Times New Roman"/>
                <w:color w:val="000000"/>
                <w:sz w:val="18"/>
                <w:szCs w:val="18"/>
                <w:lang w:val="de-DE" w:eastAsia="de-DE"/>
              </w:rPr>
              <w:t>*</w:t>
            </w:r>
          </w:p>
        </w:tc>
      </w:tr>
      <w:tr w:rsidR="009C6966" w:rsidRPr="009C6966" w:rsidTr="009A36CA">
        <w:trPr>
          <w:trHeight w:val="300"/>
        </w:trPr>
        <w:tc>
          <w:tcPr>
            <w:tcW w:w="1012" w:type="dxa"/>
            <w:tcBorders>
              <w:top w:val="nil"/>
              <w:left w:val="single" w:sz="4" w:space="0" w:color="auto"/>
              <w:bottom w:val="nil"/>
              <w:right w:val="single" w:sz="4" w:space="0" w:color="auto"/>
            </w:tcBorders>
            <w:shd w:val="clear" w:color="auto" w:fill="auto"/>
            <w:vAlign w:val="bottom"/>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 xml:space="preserve">Met </w:t>
            </w:r>
          </w:p>
        </w:tc>
        <w:tc>
          <w:tcPr>
            <w:tcW w:w="1240" w:type="dxa"/>
            <w:tcBorders>
              <w:top w:val="nil"/>
              <w:left w:val="nil"/>
              <w:bottom w:val="nil"/>
              <w:right w:val="nil"/>
            </w:tcBorders>
            <w:shd w:val="clear" w:color="auto" w:fill="auto"/>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 xml:space="preserve">0.2 </w:t>
            </w:r>
            <w:r w:rsidRPr="009C6966">
              <w:rPr>
                <w:rFonts w:ascii="Calibri" w:eastAsia="Times New Roman" w:hAnsi="Calibri" w:cs="Times New Roman"/>
                <w:color w:val="000000"/>
                <w:sz w:val="16"/>
                <w:szCs w:val="16"/>
                <w:lang w:val="de-DE" w:eastAsia="de-DE"/>
              </w:rPr>
              <w:t>± 0.02</w:t>
            </w:r>
          </w:p>
        </w:tc>
        <w:tc>
          <w:tcPr>
            <w:tcW w:w="1320" w:type="dxa"/>
            <w:tcBorders>
              <w:top w:val="nil"/>
              <w:left w:val="nil"/>
              <w:bottom w:val="nil"/>
              <w:right w:val="single" w:sz="4" w:space="0" w:color="auto"/>
            </w:tcBorders>
            <w:shd w:val="clear" w:color="auto" w:fill="auto"/>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 xml:space="preserve">1.0 </w:t>
            </w:r>
            <w:r w:rsidRPr="009C6966">
              <w:rPr>
                <w:rFonts w:ascii="Calibri" w:eastAsia="Times New Roman" w:hAnsi="Calibri" w:cs="Times New Roman"/>
                <w:color w:val="000000"/>
                <w:sz w:val="16"/>
                <w:szCs w:val="16"/>
                <w:lang w:val="de-DE" w:eastAsia="de-DE"/>
              </w:rPr>
              <w:t>± 0.1</w:t>
            </w:r>
          </w:p>
        </w:tc>
        <w:tc>
          <w:tcPr>
            <w:tcW w:w="979" w:type="dxa"/>
            <w:tcBorders>
              <w:top w:val="nil"/>
              <w:left w:val="nil"/>
              <w:bottom w:val="nil"/>
              <w:right w:val="single" w:sz="4" w:space="0" w:color="auto"/>
            </w:tcBorders>
            <w:shd w:val="clear" w:color="000000" w:fill="DA9694"/>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5.6</w:t>
            </w:r>
            <w:r w:rsidRPr="009C6966">
              <w:rPr>
                <w:rFonts w:ascii="Calibri" w:eastAsia="Times New Roman" w:hAnsi="Calibri" w:cs="Times New Roman"/>
                <w:color w:val="000000"/>
                <w:sz w:val="18"/>
                <w:szCs w:val="18"/>
                <w:lang w:val="de-DE" w:eastAsia="de-DE"/>
              </w:rPr>
              <w:t xml:space="preserve"> ***</w:t>
            </w:r>
          </w:p>
        </w:tc>
        <w:tc>
          <w:tcPr>
            <w:tcW w:w="1241" w:type="dxa"/>
            <w:tcBorders>
              <w:top w:val="nil"/>
              <w:left w:val="nil"/>
              <w:bottom w:val="nil"/>
              <w:right w:val="nil"/>
            </w:tcBorders>
            <w:shd w:val="clear" w:color="auto" w:fill="auto"/>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 xml:space="preserve">0.06 </w:t>
            </w:r>
            <w:r w:rsidRPr="009C6966">
              <w:rPr>
                <w:rFonts w:ascii="Calibri" w:eastAsia="Times New Roman" w:hAnsi="Calibri" w:cs="Times New Roman"/>
                <w:color w:val="000000"/>
                <w:sz w:val="16"/>
                <w:szCs w:val="16"/>
                <w:lang w:val="de-DE" w:eastAsia="de-DE"/>
              </w:rPr>
              <w:t>± 0.02</w:t>
            </w:r>
          </w:p>
        </w:tc>
        <w:tc>
          <w:tcPr>
            <w:tcW w:w="1120" w:type="dxa"/>
            <w:tcBorders>
              <w:top w:val="nil"/>
              <w:left w:val="nil"/>
              <w:bottom w:val="nil"/>
              <w:right w:val="single" w:sz="4" w:space="0" w:color="auto"/>
            </w:tcBorders>
            <w:shd w:val="clear" w:color="auto" w:fill="auto"/>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 xml:space="preserve">0.20 </w:t>
            </w:r>
            <w:r w:rsidRPr="009C6966">
              <w:rPr>
                <w:rFonts w:ascii="Calibri" w:eastAsia="Times New Roman" w:hAnsi="Calibri" w:cs="Times New Roman"/>
                <w:color w:val="000000"/>
                <w:sz w:val="16"/>
                <w:szCs w:val="16"/>
                <w:lang w:val="de-DE" w:eastAsia="de-DE"/>
              </w:rPr>
              <w:t>± 0.08</w:t>
            </w:r>
          </w:p>
        </w:tc>
        <w:tc>
          <w:tcPr>
            <w:tcW w:w="1020" w:type="dxa"/>
            <w:tcBorders>
              <w:top w:val="nil"/>
              <w:left w:val="nil"/>
              <w:bottom w:val="nil"/>
              <w:right w:val="single" w:sz="4" w:space="0" w:color="auto"/>
            </w:tcBorders>
            <w:shd w:val="clear" w:color="000000" w:fill="E6B8B7"/>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3.6</w:t>
            </w:r>
          </w:p>
        </w:tc>
        <w:tc>
          <w:tcPr>
            <w:tcW w:w="2480" w:type="dxa"/>
            <w:gridSpan w:val="2"/>
            <w:tcBorders>
              <w:top w:val="nil"/>
              <w:left w:val="nil"/>
              <w:bottom w:val="nil"/>
              <w:right w:val="single" w:sz="4" w:space="0" w:color="000000"/>
            </w:tcBorders>
            <w:shd w:val="clear" w:color="auto" w:fill="auto"/>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not detected</w:t>
            </w:r>
          </w:p>
        </w:tc>
        <w:tc>
          <w:tcPr>
            <w:tcW w:w="1060" w:type="dxa"/>
            <w:tcBorders>
              <w:top w:val="nil"/>
              <w:left w:val="nil"/>
              <w:bottom w:val="nil"/>
              <w:right w:val="single" w:sz="4" w:space="0" w:color="auto"/>
            </w:tcBorders>
            <w:shd w:val="clear" w:color="auto" w:fill="auto"/>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 </w:t>
            </w:r>
          </w:p>
        </w:tc>
        <w:tc>
          <w:tcPr>
            <w:tcW w:w="2340" w:type="dxa"/>
            <w:gridSpan w:val="2"/>
            <w:tcBorders>
              <w:top w:val="nil"/>
              <w:left w:val="nil"/>
              <w:bottom w:val="nil"/>
              <w:right w:val="single" w:sz="4" w:space="0" w:color="000000"/>
            </w:tcBorders>
            <w:shd w:val="clear" w:color="auto" w:fill="auto"/>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not detected</w:t>
            </w:r>
          </w:p>
        </w:tc>
        <w:tc>
          <w:tcPr>
            <w:tcW w:w="1100" w:type="dxa"/>
            <w:tcBorders>
              <w:top w:val="nil"/>
              <w:left w:val="nil"/>
              <w:bottom w:val="nil"/>
              <w:right w:val="single" w:sz="4" w:space="0" w:color="auto"/>
            </w:tcBorders>
            <w:shd w:val="clear" w:color="auto" w:fill="auto"/>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 </w:t>
            </w:r>
          </w:p>
        </w:tc>
      </w:tr>
      <w:tr w:rsidR="009C6966" w:rsidRPr="009C6966" w:rsidTr="009A36CA">
        <w:trPr>
          <w:trHeight w:val="300"/>
        </w:trPr>
        <w:tc>
          <w:tcPr>
            <w:tcW w:w="1012" w:type="dxa"/>
            <w:tcBorders>
              <w:top w:val="nil"/>
              <w:left w:val="single" w:sz="4" w:space="0" w:color="auto"/>
              <w:bottom w:val="nil"/>
              <w:right w:val="single" w:sz="4" w:space="0" w:color="auto"/>
            </w:tcBorders>
            <w:shd w:val="clear" w:color="auto" w:fill="auto"/>
            <w:vAlign w:val="bottom"/>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Asp</w:t>
            </w:r>
          </w:p>
        </w:tc>
        <w:tc>
          <w:tcPr>
            <w:tcW w:w="1240" w:type="dxa"/>
            <w:tcBorders>
              <w:top w:val="nil"/>
              <w:left w:val="nil"/>
              <w:bottom w:val="nil"/>
              <w:right w:val="nil"/>
            </w:tcBorders>
            <w:shd w:val="clear" w:color="auto" w:fill="auto"/>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160.0</w:t>
            </w:r>
            <w:r w:rsidRPr="009C6966">
              <w:rPr>
                <w:rFonts w:ascii="Calibri" w:eastAsia="Times New Roman" w:hAnsi="Calibri" w:cs="Times New Roman"/>
                <w:color w:val="000000"/>
                <w:sz w:val="16"/>
                <w:szCs w:val="16"/>
                <w:lang w:val="de-DE" w:eastAsia="de-DE"/>
              </w:rPr>
              <w:t xml:space="preserve"> ± 46.6</w:t>
            </w:r>
          </w:p>
        </w:tc>
        <w:tc>
          <w:tcPr>
            <w:tcW w:w="1320" w:type="dxa"/>
            <w:tcBorders>
              <w:top w:val="nil"/>
              <w:left w:val="nil"/>
              <w:bottom w:val="nil"/>
              <w:right w:val="single" w:sz="4" w:space="0" w:color="auto"/>
            </w:tcBorders>
            <w:shd w:val="clear" w:color="auto" w:fill="auto"/>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91.7</w:t>
            </w:r>
            <w:r w:rsidRPr="009C6966">
              <w:rPr>
                <w:rFonts w:ascii="Calibri" w:eastAsia="Times New Roman" w:hAnsi="Calibri" w:cs="Times New Roman"/>
                <w:color w:val="000000"/>
                <w:sz w:val="16"/>
                <w:szCs w:val="16"/>
                <w:lang w:val="de-DE" w:eastAsia="de-DE"/>
              </w:rPr>
              <w:t xml:space="preserve"> ± 30.7</w:t>
            </w:r>
          </w:p>
        </w:tc>
        <w:tc>
          <w:tcPr>
            <w:tcW w:w="979" w:type="dxa"/>
            <w:tcBorders>
              <w:top w:val="nil"/>
              <w:left w:val="nil"/>
              <w:bottom w:val="nil"/>
              <w:right w:val="single" w:sz="4" w:space="0" w:color="auto"/>
            </w:tcBorders>
            <w:shd w:val="clear" w:color="000000" w:fill="D8E4BC"/>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0.6</w:t>
            </w:r>
            <w:r w:rsidRPr="009C6966">
              <w:rPr>
                <w:rFonts w:ascii="Calibri" w:eastAsia="Times New Roman" w:hAnsi="Calibri" w:cs="Times New Roman"/>
                <w:color w:val="000000"/>
                <w:sz w:val="18"/>
                <w:szCs w:val="18"/>
                <w:lang w:val="de-DE" w:eastAsia="de-DE"/>
              </w:rPr>
              <w:t xml:space="preserve"> *</w:t>
            </w:r>
          </w:p>
        </w:tc>
        <w:tc>
          <w:tcPr>
            <w:tcW w:w="1241" w:type="dxa"/>
            <w:tcBorders>
              <w:top w:val="nil"/>
              <w:left w:val="nil"/>
              <w:bottom w:val="nil"/>
              <w:right w:val="nil"/>
            </w:tcBorders>
            <w:shd w:val="clear" w:color="auto" w:fill="auto"/>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 xml:space="preserve">76.7 </w:t>
            </w:r>
            <w:r w:rsidRPr="009C6966">
              <w:rPr>
                <w:rFonts w:ascii="Calibri" w:eastAsia="Times New Roman" w:hAnsi="Calibri" w:cs="Times New Roman"/>
                <w:color w:val="000000"/>
                <w:sz w:val="16"/>
                <w:szCs w:val="16"/>
                <w:lang w:val="de-DE" w:eastAsia="de-DE"/>
              </w:rPr>
              <w:t>± 6.6</w:t>
            </w:r>
          </w:p>
        </w:tc>
        <w:tc>
          <w:tcPr>
            <w:tcW w:w="1120" w:type="dxa"/>
            <w:tcBorders>
              <w:top w:val="nil"/>
              <w:left w:val="nil"/>
              <w:bottom w:val="nil"/>
              <w:right w:val="single" w:sz="4" w:space="0" w:color="auto"/>
            </w:tcBorders>
            <w:shd w:val="clear" w:color="auto" w:fill="auto"/>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 xml:space="preserve">102.9 </w:t>
            </w:r>
            <w:r w:rsidRPr="009C6966">
              <w:rPr>
                <w:rFonts w:ascii="Calibri" w:eastAsia="Times New Roman" w:hAnsi="Calibri" w:cs="Times New Roman"/>
                <w:color w:val="000000"/>
                <w:sz w:val="16"/>
                <w:szCs w:val="16"/>
                <w:lang w:val="de-DE" w:eastAsia="de-DE"/>
              </w:rPr>
              <w:t>± 16.6</w:t>
            </w:r>
          </w:p>
        </w:tc>
        <w:tc>
          <w:tcPr>
            <w:tcW w:w="1020" w:type="dxa"/>
            <w:tcBorders>
              <w:top w:val="nil"/>
              <w:left w:val="nil"/>
              <w:bottom w:val="nil"/>
              <w:right w:val="single" w:sz="4" w:space="0" w:color="auto"/>
            </w:tcBorders>
            <w:shd w:val="clear" w:color="auto" w:fill="auto"/>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1.3</w:t>
            </w:r>
          </w:p>
        </w:tc>
        <w:tc>
          <w:tcPr>
            <w:tcW w:w="1260" w:type="dxa"/>
            <w:tcBorders>
              <w:top w:val="nil"/>
              <w:left w:val="nil"/>
              <w:bottom w:val="nil"/>
              <w:right w:val="nil"/>
            </w:tcBorders>
            <w:shd w:val="clear" w:color="auto" w:fill="auto"/>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 xml:space="preserve">192.4 </w:t>
            </w:r>
            <w:r w:rsidRPr="009C6966">
              <w:rPr>
                <w:rFonts w:ascii="Calibri" w:eastAsia="Times New Roman" w:hAnsi="Calibri" w:cs="Times New Roman"/>
                <w:color w:val="000000"/>
                <w:sz w:val="16"/>
                <w:szCs w:val="16"/>
                <w:lang w:val="de-DE" w:eastAsia="de-DE"/>
              </w:rPr>
              <w:t>± 27.4</w:t>
            </w:r>
          </w:p>
        </w:tc>
        <w:tc>
          <w:tcPr>
            <w:tcW w:w="1220" w:type="dxa"/>
            <w:tcBorders>
              <w:top w:val="nil"/>
              <w:left w:val="nil"/>
              <w:bottom w:val="nil"/>
              <w:right w:val="single" w:sz="4" w:space="0" w:color="auto"/>
            </w:tcBorders>
            <w:shd w:val="clear" w:color="auto" w:fill="auto"/>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325.0</w:t>
            </w:r>
            <w:r w:rsidRPr="009C6966">
              <w:rPr>
                <w:rFonts w:ascii="Calibri" w:eastAsia="Times New Roman" w:hAnsi="Calibri" w:cs="Times New Roman"/>
                <w:color w:val="000000"/>
                <w:sz w:val="16"/>
                <w:szCs w:val="16"/>
                <w:lang w:val="de-DE" w:eastAsia="de-DE"/>
              </w:rPr>
              <w:t xml:space="preserve"> ± 77.3</w:t>
            </w:r>
          </w:p>
        </w:tc>
        <w:tc>
          <w:tcPr>
            <w:tcW w:w="1060" w:type="dxa"/>
            <w:tcBorders>
              <w:top w:val="nil"/>
              <w:left w:val="nil"/>
              <w:bottom w:val="nil"/>
              <w:right w:val="single" w:sz="4" w:space="0" w:color="auto"/>
            </w:tcBorders>
            <w:shd w:val="clear" w:color="000000" w:fill="F2DCDB"/>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1.7</w:t>
            </w:r>
          </w:p>
        </w:tc>
        <w:tc>
          <w:tcPr>
            <w:tcW w:w="1220" w:type="dxa"/>
            <w:tcBorders>
              <w:top w:val="nil"/>
              <w:left w:val="nil"/>
              <w:bottom w:val="nil"/>
              <w:right w:val="nil"/>
            </w:tcBorders>
            <w:shd w:val="clear" w:color="auto" w:fill="auto"/>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 xml:space="preserve">333.7 </w:t>
            </w:r>
            <w:r w:rsidRPr="009C6966">
              <w:rPr>
                <w:rFonts w:ascii="Calibri" w:eastAsia="Times New Roman" w:hAnsi="Calibri" w:cs="Times New Roman"/>
                <w:color w:val="000000"/>
                <w:sz w:val="16"/>
                <w:szCs w:val="16"/>
                <w:lang w:val="de-DE" w:eastAsia="de-DE"/>
              </w:rPr>
              <w:t>± 22.8</w:t>
            </w:r>
          </w:p>
        </w:tc>
        <w:tc>
          <w:tcPr>
            <w:tcW w:w="1120" w:type="dxa"/>
            <w:tcBorders>
              <w:top w:val="nil"/>
              <w:left w:val="nil"/>
              <w:bottom w:val="nil"/>
              <w:right w:val="single" w:sz="4" w:space="0" w:color="auto"/>
            </w:tcBorders>
            <w:shd w:val="clear" w:color="auto" w:fill="auto"/>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 xml:space="preserve">271.0 </w:t>
            </w:r>
            <w:r w:rsidRPr="009C6966">
              <w:rPr>
                <w:rFonts w:ascii="Calibri" w:eastAsia="Times New Roman" w:hAnsi="Calibri" w:cs="Times New Roman"/>
                <w:color w:val="000000"/>
                <w:sz w:val="16"/>
                <w:szCs w:val="16"/>
                <w:lang w:val="de-DE" w:eastAsia="de-DE"/>
              </w:rPr>
              <w:t>± 38.9</w:t>
            </w:r>
          </w:p>
        </w:tc>
        <w:tc>
          <w:tcPr>
            <w:tcW w:w="1100" w:type="dxa"/>
            <w:tcBorders>
              <w:top w:val="nil"/>
              <w:left w:val="nil"/>
              <w:bottom w:val="nil"/>
              <w:right w:val="single" w:sz="4" w:space="0" w:color="auto"/>
            </w:tcBorders>
            <w:shd w:val="clear" w:color="000000" w:fill="D8E4BC"/>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0.8</w:t>
            </w:r>
          </w:p>
        </w:tc>
      </w:tr>
      <w:tr w:rsidR="009C6966" w:rsidRPr="009C6966" w:rsidTr="009A36CA">
        <w:trPr>
          <w:trHeight w:val="300"/>
        </w:trPr>
        <w:tc>
          <w:tcPr>
            <w:tcW w:w="1012" w:type="dxa"/>
            <w:tcBorders>
              <w:top w:val="nil"/>
              <w:left w:val="single" w:sz="4" w:space="0" w:color="auto"/>
              <w:bottom w:val="nil"/>
              <w:right w:val="single" w:sz="4" w:space="0" w:color="auto"/>
            </w:tcBorders>
            <w:shd w:val="clear" w:color="auto" w:fill="auto"/>
            <w:vAlign w:val="center"/>
            <w:hideMark/>
          </w:tcPr>
          <w:p w:rsidR="009C6966" w:rsidRPr="009C6966" w:rsidRDefault="00E24EB1" w:rsidP="009C6966">
            <w:pPr>
              <w:spacing w:after="0" w:line="240" w:lineRule="auto"/>
              <w:jc w:val="center"/>
              <w:rPr>
                <w:rFonts w:ascii="Calibri" w:eastAsia="Times New Roman" w:hAnsi="Calibri" w:cs="Times New Roman"/>
                <w:color w:val="000000"/>
                <w:lang w:val="de-DE" w:eastAsia="de-DE"/>
              </w:rPr>
            </w:pPr>
            <w:r>
              <w:rPr>
                <w:rFonts w:ascii="Calibri" w:eastAsia="Times New Roman" w:hAnsi="Calibri" w:cs="Times New Roman"/>
                <w:color w:val="000000"/>
                <w:lang w:val="de-DE" w:eastAsia="de-DE"/>
              </w:rPr>
              <w:t>Aad</w:t>
            </w:r>
          </w:p>
        </w:tc>
        <w:tc>
          <w:tcPr>
            <w:tcW w:w="1240" w:type="dxa"/>
            <w:tcBorders>
              <w:top w:val="nil"/>
              <w:left w:val="nil"/>
              <w:bottom w:val="nil"/>
              <w:right w:val="nil"/>
            </w:tcBorders>
            <w:shd w:val="clear" w:color="auto" w:fill="auto"/>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 xml:space="preserve">0.4 </w:t>
            </w:r>
            <w:r w:rsidRPr="009C6966">
              <w:rPr>
                <w:rFonts w:ascii="Calibri" w:eastAsia="Times New Roman" w:hAnsi="Calibri" w:cs="Times New Roman"/>
                <w:color w:val="000000"/>
                <w:sz w:val="16"/>
                <w:szCs w:val="16"/>
                <w:lang w:val="de-DE" w:eastAsia="de-DE"/>
              </w:rPr>
              <w:t>± 0.1</w:t>
            </w:r>
          </w:p>
        </w:tc>
        <w:tc>
          <w:tcPr>
            <w:tcW w:w="1320" w:type="dxa"/>
            <w:tcBorders>
              <w:top w:val="nil"/>
              <w:left w:val="nil"/>
              <w:bottom w:val="nil"/>
              <w:right w:val="single" w:sz="4" w:space="0" w:color="auto"/>
            </w:tcBorders>
            <w:shd w:val="clear" w:color="auto" w:fill="auto"/>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25.6</w:t>
            </w:r>
            <w:r w:rsidRPr="009C6966">
              <w:rPr>
                <w:rFonts w:ascii="Calibri" w:eastAsia="Times New Roman" w:hAnsi="Calibri" w:cs="Times New Roman"/>
                <w:color w:val="000000"/>
                <w:sz w:val="16"/>
                <w:szCs w:val="16"/>
                <w:lang w:val="de-DE" w:eastAsia="de-DE"/>
              </w:rPr>
              <w:t xml:space="preserve"> ± 6.6</w:t>
            </w:r>
          </w:p>
        </w:tc>
        <w:tc>
          <w:tcPr>
            <w:tcW w:w="979" w:type="dxa"/>
            <w:tcBorders>
              <w:top w:val="nil"/>
              <w:left w:val="nil"/>
              <w:bottom w:val="nil"/>
              <w:right w:val="single" w:sz="4" w:space="0" w:color="auto"/>
            </w:tcBorders>
            <w:shd w:val="clear" w:color="000000" w:fill="963634"/>
            <w:noWrap/>
            <w:vAlign w:val="center"/>
            <w:hideMark/>
          </w:tcPr>
          <w:p w:rsidR="009C6966" w:rsidRPr="009C6966" w:rsidRDefault="009C6966" w:rsidP="009C6966">
            <w:pPr>
              <w:spacing w:after="0" w:line="240" w:lineRule="auto"/>
              <w:jc w:val="center"/>
              <w:rPr>
                <w:rFonts w:ascii="Calibri" w:eastAsia="Times New Roman" w:hAnsi="Calibri" w:cs="Times New Roman"/>
                <w:color w:val="FFFFFF"/>
                <w:lang w:val="de-DE" w:eastAsia="de-DE"/>
              </w:rPr>
            </w:pPr>
            <w:r w:rsidRPr="009C6966">
              <w:rPr>
                <w:rFonts w:ascii="Calibri" w:eastAsia="Times New Roman" w:hAnsi="Calibri" w:cs="Times New Roman"/>
                <w:color w:val="FFFFFF"/>
                <w:lang w:val="de-DE" w:eastAsia="de-DE"/>
              </w:rPr>
              <w:t xml:space="preserve">71.2 </w:t>
            </w:r>
            <w:r w:rsidRPr="009C6966">
              <w:rPr>
                <w:rFonts w:ascii="Calibri" w:eastAsia="Times New Roman" w:hAnsi="Calibri" w:cs="Times New Roman"/>
                <w:color w:val="FFFFFF"/>
                <w:sz w:val="18"/>
                <w:szCs w:val="18"/>
                <w:lang w:val="de-DE" w:eastAsia="de-DE"/>
              </w:rPr>
              <w:t>***</w:t>
            </w:r>
          </w:p>
        </w:tc>
        <w:tc>
          <w:tcPr>
            <w:tcW w:w="1241" w:type="dxa"/>
            <w:tcBorders>
              <w:top w:val="nil"/>
              <w:left w:val="nil"/>
              <w:bottom w:val="nil"/>
              <w:right w:val="nil"/>
            </w:tcBorders>
            <w:shd w:val="clear" w:color="auto" w:fill="auto"/>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0.1</w:t>
            </w:r>
            <w:r w:rsidRPr="009C6966">
              <w:rPr>
                <w:rFonts w:ascii="Calibri" w:eastAsia="Times New Roman" w:hAnsi="Calibri" w:cs="Times New Roman"/>
                <w:color w:val="000000"/>
                <w:sz w:val="16"/>
                <w:szCs w:val="16"/>
                <w:lang w:val="de-DE" w:eastAsia="de-DE"/>
              </w:rPr>
              <w:t xml:space="preserve"> ± 0.02</w:t>
            </w:r>
          </w:p>
        </w:tc>
        <w:tc>
          <w:tcPr>
            <w:tcW w:w="1120" w:type="dxa"/>
            <w:tcBorders>
              <w:top w:val="nil"/>
              <w:left w:val="nil"/>
              <w:bottom w:val="nil"/>
              <w:right w:val="single" w:sz="4" w:space="0" w:color="auto"/>
            </w:tcBorders>
            <w:shd w:val="clear" w:color="auto" w:fill="auto"/>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 xml:space="preserve">0.6 </w:t>
            </w:r>
            <w:r w:rsidRPr="009C6966">
              <w:rPr>
                <w:rFonts w:ascii="Calibri" w:eastAsia="Times New Roman" w:hAnsi="Calibri" w:cs="Times New Roman"/>
                <w:color w:val="000000"/>
                <w:sz w:val="16"/>
                <w:szCs w:val="16"/>
                <w:lang w:val="de-DE" w:eastAsia="de-DE"/>
              </w:rPr>
              <w:t>± 0.4</w:t>
            </w:r>
          </w:p>
        </w:tc>
        <w:tc>
          <w:tcPr>
            <w:tcW w:w="1020" w:type="dxa"/>
            <w:tcBorders>
              <w:top w:val="nil"/>
              <w:left w:val="nil"/>
              <w:bottom w:val="nil"/>
              <w:right w:val="single" w:sz="4" w:space="0" w:color="auto"/>
            </w:tcBorders>
            <w:shd w:val="clear" w:color="000000" w:fill="DA9694"/>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5.3</w:t>
            </w:r>
          </w:p>
        </w:tc>
        <w:tc>
          <w:tcPr>
            <w:tcW w:w="1260" w:type="dxa"/>
            <w:tcBorders>
              <w:top w:val="nil"/>
              <w:left w:val="nil"/>
              <w:bottom w:val="nil"/>
              <w:right w:val="nil"/>
            </w:tcBorders>
            <w:shd w:val="clear" w:color="auto" w:fill="auto"/>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 xml:space="preserve">0.06 </w:t>
            </w:r>
            <w:r w:rsidRPr="009C6966">
              <w:rPr>
                <w:rFonts w:ascii="Calibri" w:eastAsia="Times New Roman" w:hAnsi="Calibri" w:cs="Times New Roman"/>
                <w:color w:val="000000"/>
                <w:sz w:val="16"/>
                <w:szCs w:val="16"/>
                <w:lang w:val="de-DE" w:eastAsia="de-DE"/>
              </w:rPr>
              <w:t>± 0.02</w:t>
            </w:r>
          </w:p>
        </w:tc>
        <w:tc>
          <w:tcPr>
            <w:tcW w:w="1220" w:type="dxa"/>
            <w:tcBorders>
              <w:top w:val="nil"/>
              <w:left w:val="nil"/>
              <w:bottom w:val="nil"/>
              <w:right w:val="single" w:sz="4" w:space="0" w:color="auto"/>
            </w:tcBorders>
            <w:shd w:val="clear" w:color="auto" w:fill="auto"/>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 xml:space="preserve">1.6 </w:t>
            </w:r>
            <w:r w:rsidRPr="009C6966">
              <w:rPr>
                <w:rFonts w:ascii="Calibri" w:eastAsia="Times New Roman" w:hAnsi="Calibri" w:cs="Times New Roman"/>
                <w:color w:val="000000"/>
                <w:sz w:val="16"/>
                <w:szCs w:val="16"/>
                <w:lang w:val="de-DE" w:eastAsia="de-DE"/>
              </w:rPr>
              <w:t>± 0.4</w:t>
            </w:r>
          </w:p>
        </w:tc>
        <w:tc>
          <w:tcPr>
            <w:tcW w:w="1060" w:type="dxa"/>
            <w:tcBorders>
              <w:top w:val="nil"/>
              <w:left w:val="nil"/>
              <w:bottom w:val="nil"/>
              <w:right w:val="single" w:sz="4" w:space="0" w:color="auto"/>
            </w:tcBorders>
            <w:shd w:val="clear" w:color="000000" w:fill="963634"/>
            <w:noWrap/>
            <w:vAlign w:val="center"/>
            <w:hideMark/>
          </w:tcPr>
          <w:p w:rsidR="009C6966" w:rsidRPr="009C6966" w:rsidRDefault="009C6966" w:rsidP="009C6966">
            <w:pPr>
              <w:spacing w:after="0" w:line="240" w:lineRule="auto"/>
              <w:jc w:val="center"/>
              <w:rPr>
                <w:rFonts w:ascii="Calibri" w:eastAsia="Times New Roman" w:hAnsi="Calibri" w:cs="Times New Roman"/>
                <w:color w:val="FFFFFF"/>
                <w:lang w:val="de-DE" w:eastAsia="de-DE"/>
              </w:rPr>
            </w:pPr>
            <w:r w:rsidRPr="009C6966">
              <w:rPr>
                <w:rFonts w:ascii="Calibri" w:eastAsia="Times New Roman" w:hAnsi="Calibri" w:cs="Times New Roman"/>
                <w:color w:val="FFFFFF"/>
                <w:lang w:val="de-DE" w:eastAsia="de-DE"/>
              </w:rPr>
              <w:t xml:space="preserve">26.1 </w:t>
            </w:r>
            <w:r w:rsidRPr="009C6966">
              <w:rPr>
                <w:rFonts w:ascii="Calibri" w:eastAsia="Times New Roman" w:hAnsi="Calibri" w:cs="Times New Roman"/>
                <w:color w:val="FFFFFF"/>
                <w:sz w:val="18"/>
                <w:szCs w:val="18"/>
                <w:lang w:val="de-DE" w:eastAsia="de-DE"/>
              </w:rPr>
              <w:t>**</w:t>
            </w:r>
          </w:p>
        </w:tc>
        <w:tc>
          <w:tcPr>
            <w:tcW w:w="1220" w:type="dxa"/>
            <w:tcBorders>
              <w:top w:val="nil"/>
              <w:left w:val="nil"/>
              <w:bottom w:val="nil"/>
              <w:right w:val="nil"/>
            </w:tcBorders>
            <w:shd w:val="clear" w:color="auto" w:fill="auto"/>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 xml:space="preserve">0.05 </w:t>
            </w:r>
            <w:r w:rsidRPr="009C6966">
              <w:rPr>
                <w:rFonts w:ascii="Calibri" w:eastAsia="Times New Roman" w:hAnsi="Calibri" w:cs="Times New Roman"/>
                <w:color w:val="000000"/>
                <w:sz w:val="16"/>
                <w:szCs w:val="16"/>
                <w:lang w:val="de-DE" w:eastAsia="de-DE"/>
              </w:rPr>
              <w:t>± 0.005</w:t>
            </w:r>
          </w:p>
        </w:tc>
        <w:tc>
          <w:tcPr>
            <w:tcW w:w="1120" w:type="dxa"/>
            <w:tcBorders>
              <w:top w:val="nil"/>
              <w:left w:val="nil"/>
              <w:bottom w:val="nil"/>
              <w:right w:val="single" w:sz="4" w:space="0" w:color="auto"/>
            </w:tcBorders>
            <w:shd w:val="clear" w:color="auto" w:fill="auto"/>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 xml:space="preserve">0.2 </w:t>
            </w:r>
            <w:r w:rsidRPr="009C6966">
              <w:rPr>
                <w:rFonts w:ascii="Calibri" w:eastAsia="Times New Roman" w:hAnsi="Calibri" w:cs="Times New Roman"/>
                <w:color w:val="000000"/>
                <w:sz w:val="16"/>
                <w:szCs w:val="16"/>
                <w:lang w:val="de-DE" w:eastAsia="de-DE"/>
              </w:rPr>
              <w:t>± 0.03</w:t>
            </w:r>
          </w:p>
        </w:tc>
        <w:tc>
          <w:tcPr>
            <w:tcW w:w="1100" w:type="dxa"/>
            <w:tcBorders>
              <w:top w:val="nil"/>
              <w:left w:val="nil"/>
              <w:bottom w:val="nil"/>
              <w:right w:val="single" w:sz="4" w:space="0" w:color="auto"/>
            </w:tcBorders>
            <w:shd w:val="clear" w:color="000000" w:fill="E6B8B7"/>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 xml:space="preserve">3.4 </w:t>
            </w:r>
            <w:r w:rsidRPr="009C6966">
              <w:rPr>
                <w:rFonts w:ascii="Calibri" w:eastAsia="Times New Roman" w:hAnsi="Calibri" w:cs="Times New Roman"/>
                <w:color w:val="000000"/>
                <w:sz w:val="18"/>
                <w:szCs w:val="18"/>
                <w:lang w:val="de-DE" w:eastAsia="de-DE"/>
              </w:rPr>
              <w:t>**</w:t>
            </w:r>
          </w:p>
        </w:tc>
      </w:tr>
      <w:tr w:rsidR="009C6966" w:rsidRPr="009C6966" w:rsidTr="009A36CA">
        <w:trPr>
          <w:trHeight w:val="300"/>
        </w:trPr>
        <w:tc>
          <w:tcPr>
            <w:tcW w:w="1012" w:type="dxa"/>
            <w:tcBorders>
              <w:top w:val="nil"/>
              <w:left w:val="single" w:sz="4" w:space="0" w:color="auto"/>
              <w:bottom w:val="nil"/>
              <w:right w:val="single" w:sz="4" w:space="0" w:color="auto"/>
            </w:tcBorders>
            <w:shd w:val="clear" w:color="auto" w:fill="auto"/>
            <w:vAlign w:val="bottom"/>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Cys</w:t>
            </w:r>
          </w:p>
        </w:tc>
        <w:tc>
          <w:tcPr>
            <w:tcW w:w="1240" w:type="dxa"/>
            <w:tcBorders>
              <w:top w:val="nil"/>
              <w:left w:val="nil"/>
              <w:bottom w:val="nil"/>
              <w:right w:val="nil"/>
            </w:tcBorders>
            <w:shd w:val="clear" w:color="auto" w:fill="auto"/>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 xml:space="preserve">0.09 </w:t>
            </w:r>
            <w:r w:rsidRPr="009C6966">
              <w:rPr>
                <w:rFonts w:ascii="Calibri" w:eastAsia="Times New Roman" w:hAnsi="Calibri" w:cs="Times New Roman"/>
                <w:color w:val="000000"/>
                <w:sz w:val="16"/>
                <w:szCs w:val="16"/>
                <w:lang w:val="de-DE" w:eastAsia="de-DE"/>
              </w:rPr>
              <w:t>± 0.01</w:t>
            </w:r>
          </w:p>
        </w:tc>
        <w:tc>
          <w:tcPr>
            <w:tcW w:w="1320" w:type="dxa"/>
            <w:tcBorders>
              <w:top w:val="nil"/>
              <w:left w:val="nil"/>
              <w:bottom w:val="nil"/>
              <w:right w:val="single" w:sz="4" w:space="0" w:color="auto"/>
            </w:tcBorders>
            <w:shd w:val="clear" w:color="auto" w:fill="auto"/>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0.25</w:t>
            </w:r>
            <w:r w:rsidRPr="009C6966">
              <w:rPr>
                <w:rFonts w:ascii="Calibri" w:eastAsia="Times New Roman" w:hAnsi="Calibri" w:cs="Times New Roman"/>
                <w:color w:val="000000"/>
                <w:sz w:val="16"/>
                <w:szCs w:val="16"/>
                <w:lang w:val="de-DE" w:eastAsia="de-DE"/>
              </w:rPr>
              <w:t xml:space="preserve"> ± 0.03</w:t>
            </w:r>
          </w:p>
        </w:tc>
        <w:tc>
          <w:tcPr>
            <w:tcW w:w="979" w:type="dxa"/>
            <w:tcBorders>
              <w:top w:val="nil"/>
              <w:left w:val="nil"/>
              <w:bottom w:val="nil"/>
              <w:right w:val="single" w:sz="4" w:space="0" w:color="auto"/>
            </w:tcBorders>
            <w:shd w:val="clear" w:color="000000" w:fill="F2DCDB"/>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 xml:space="preserve">2.9 </w:t>
            </w:r>
            <w:r w:rsidRPr="009C6966">
              <w:rPr>
                <w:rFonts w:ascii="Calibri" w:eastAsia="Times New Roman" w:hAnsi="Calibri" w:cs="Times New Roman"/>
                <w:color w:val="000000"/>
                <w:sz w:val="18"/>
                <w:szCs w:val="18"/>
                <w:lang w:val="de-DE" w:eastAsia="de-DE"/>
              </w:rPr>
              <w:t>*</w:t>
            </w:r>
          </w:p>
        </w:tc>
        <w:tc>
          <w:tcPr>
            <w:tcW w:w="1241" w:type="dxa"/>
            <w:tcBorders>
              <w:top w:val="nil"/>
              <w:left w:val="nil"/>
              <w:bottom w:val="nil"/>
              <w:right w:val="nil"/>
            </w:tcBorders>
            <w:shd w:val="clear" w:color="auto" w:fill="auto"/>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0.07</w:t>
            </w:r>
            <w:r w:rsidRPr="009C6966">
              <w:rPr>
                <w:rFonts w:ascii="Calibri" w:eastAsia="Times New Roman" w:hAnsi="Calibri" w:cs="Times New Roman"/>
                <w:color w:val="000000"/>
                <w:sz w:val="16"/>
                <w:szCs w:val="16"/>
                <w:lang w:val="de-DE" w:eastAsia="de-DE"/>
              </w:rPr>
              <w:t xml:space="preserve"> ± 0.007</w:t>
            </w:r>
          </w:p>
        </w:tc>
        <w:tc>
          <w:tcPr>
            <w:tcW w:w="1120" w:type="dxa"/>
            <w:tcBorders>
              <w:top w:val="nil"/>
              <w:left w:val="nil"/>
              <w:bottom w:val="nil"/>
              <w:right w:val="single" w:sz="4" w:space="0" w:color="auto"/>
            </w:tcBorders>
            <w:shd w:val="clear" w:color="auto" w:fill="auto"/>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 xml:space="preserve">0.1 </w:t>
            </w:r>
            <w:r w:rsidRPr="009C6966">
              <w:rPr>
                <w:rFonts w:ascii="Calibri" w:eastAsia="Times New Roman" w:hAnsi="Calibri" w:cs="Times New Roman"/>
                <w:color w:val="000000"/>
                <w:sz w:val="16"/>
                <w:szCs w:val="16"/>
                <w:lang w:val="de-DE" w:eastAsia="de-DE"/>
              </w:rPr>
              <w:t>± 0.04</w:t>
            </w:r>
          </w:p>
        </w:tc>
        <w:tc>
          <w:tcPr>
            <w:tcW w:w="1020" w:type="dxa"/>
            <w:tcBorders>
              <w:top w:val="nil"/>
              <w:left w:val="nil"/>
              <w:bottom w:val="nil"/>
              <w:right w:val="single" w:sz="4" w:space="0" w:color="auto"/>
            </w:tcBorders>
            <w:shd w:val="clear" w:color="000000" w:fill="F2DCDB"/>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 xml:space="preserve">2.1 </w:t>
            </w:r>
            <w:r w:rsidRPr="009C6966">
              <w:rPr>
                <w:rFonts w:ascii="Calibri" w:eastAsia="Times New Roman" w:hAnsi="Calibri" w:cs="Times New Roman"/>
                <w:color w:val="000000"/>
                <w:sz w:val="18"/>
                <w:szCs w:val="18"/>
                <w:lang w:val="de-DE" w:eastAsia="de-DE"/>
              </w:rPr>
              <w:t>*</w:t>
            </w:r>
          </w:p>
        </w:tc>
        <w:tc>
          <w:tcPr>
            <w:tcW w:w="1260" w:type="dxa"/>
            <w:tcBorders>
              <w:top w:val="nil"/>
              <w:left w:val="nil"/>
              <w:bottom w:val="nil"/>
              <w:right w:val="nil"/>
            </w:tcBorders>
            <w:shd w:val="clear" w:color="auto" w:fill="auto"/>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0.1</w:t>
            </w:r>
            <w:r w:rsidRPr="009C6966">
              <w:rPr>
                <w:rFonts w:ascii="Calibri" w:eastAsia="Times New Roman" w:hAnsi="Calibri" w:cs="Times New Roman"/>
                <w:color w:val="000000"/>
                <w:sz w:val="16"/>
                <w:szCs w:val="16"/>
                <w:lang w:val="de-DE" w:eastAsia="de-DE"/>
              </w:rPr>
              <w:t xml:space="preserve"> ± 0.02</w:t>
            </w:r>
          </w:p>
        </w:tc>
        <w:tc>
          <w:tcPr>
            <w:tcW w:w="1220" w:type="dxa"/>
            <w:tcBorders>
              <w:top w:val="nil"/>
              <w:left w:val="nil"/>
              <w:bottom w:val="nil"/>
              <w:right w:val="single" w:sz="4" w:space="0" w:color="auto"/>
            </w:tcBorders>
            <w:shd w:val="clear" w:color="auto" w:fill="auto"/>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 xml:space="preserve">0.4 </w:t>
            </w:r>
            <w:r w:rsidRPr="009C6966">
              <w:rPr>
                <w:rFonts w:ascii="Calibri" w:eastAsia="Times New Roman" w:hAnsi="Calibri" w:cs="Times New Roman"/>
                <w:color w:val="000000"/>
                <w:sz w:val="16"/>
                <w:szCs w:val="16"/>
                <w:lang w:val="de-DE" w:eastAsia="de-DE"/>
              </w:rPr>
              <w:t>± 0.09</w:t>
            </w:r>
          </w:p>
        </w:tc>
        <w:tc>
          <w:tcPr>
            <w:tcW w:w="1060" w:type="dxa"/>
            <w:tcBorders>
              <w:top w:val="nil"/>
              <w:left w:val="nil"/>
              <w:bottom w:val="nil"/>
              <w:right w:val="single" w:sz="4" w:space="0" w:color="auto"/>
            </w:tcBorders>
            <w:shd w:val="clear" w:color="000000" w:fill="E6B8B7"/>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 xml:space="preserve">3.3 </w:t>
            </w:r>
            <w:r w:rsidRPr="009C6966">
              <w:rPr>
                <w:rFonts w:ascii="Calibri" w:eastAsia="Times New Roman" w:hAnsi="Calibri" w:cs="Times New Roman"/>
                <w:color w:val="000000"/>
                <w:sz w:val="18"/>
                <w:szCs w:val="18"/>
                <w:lang w:val="de-DE" w:eastAsia="de-DE"/>
              </w:rPr>
              <w:t>**</w:t>
            </w:r>
          </w:p>
        </w:tc>
        <w:tc>
          <w:tcPr>
            <w:tcW w:w="1220" w:type="dxa"/>
            <w:tcBorders>
              <w:top w:val="nil"/>
              <w:left w:val="nil"/>
              <w:bottom w:val="nil"/>
              <w:right w:val="nil"/>
            </w:tcBorders>
            <w:shd w:val="clear" w:color="auto" w:fill="auto"/>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 xml:space="preserve">0.09 </w:t>
            </w:r>
            <w:r w:rsidRPr="009C6966">
              <w:rPr>
                <w:rFonts w:ascii="Calibri" w:eastAsia="Times New Roman" w:hAnsi="Calibri" w:cs="Times New Roman"/>
                <w:color w:val="000000"/>
                <w:sz w:val="16"/>
                <w:szCs w:val="16"/>
                <w:lang w:val="de-DE" w:eastAsia="de-DE"/>
              </w:rPr>
              <w:t>± 0.01</w:t>
            </w:r>
          </w:p>
        </w:tc>
        <w:tc>
          <w:tcPr>
            <w:tcW w:w="1120" w:type="dxa"/>
            <w:tcBorders>
              <w:top w:val="nil"/>
              <w:left w:val="nil"/>
              <w:bottom w:val="nil"/>
              <w:right w:val="single" w:sz="4" w:space="0" w:color="auto"/>
            </w:tcBorders>
            <w:shd w:val="clear" w:color="auto" w:fill="auto"/>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 xml:space="preserve">0.09 </w:t>
            </w:r>
            <w:r w:rsidRPr="009C6966">
              <w:rPr>
                <w:rFonts w:ascii="Calibri" w:eastAsia="Times New Roman" w:hAnsi="Calibri" w:cs="Times New Roman"/>
                <w:color w:val="000000"/>
                <w:sz w:val="16"/>
                <w:szCs w:val="16"/>
                <w:lang w:val="de-DE" w:eastAsia="de-DE"/>
              </w:rPr>
              <w:t>± 0.006</w:t>
            </w:r>
          </w:p>
        </w:tc>
        <w:tc>
          <w:tcPr>
            <w:tcW w:w="1100" w:type="dxa"/>
            <w:tcBorders>
              <w:top w:val="nil"/>
              <w:left w:val="nil"/>
              <w:bottom w:val="nil"/>
              <w:right w:val="single" w:sz="4" w:space="0" w:color="auto"/>
            </w:tcBorders>
            <w:shd w:val="clear" w:color="auto" w:fill="auto"/>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1.0</w:t>
            </w:r>
          </w:p>
        </w:tc>
      </w:tr>
      <w:tr w:rsidR="009C6966" w:rsidRPr="009C6966" w:rsidTr="009A36CA">
        <w:trPr>
          <w:trHeight w:val="300"/>
        </w:trPr>
        <w:tc>
          <w:tcPr>
            <w:tcW w:w="1012" w:type="dxa"/>
            <w:tcBorders>
              <w:top w:val="nil"/>
              <w:left w:val="single" w:sz="4" w:space="0" w:color="auto"/>
              <w:bottom w:val="nil"/>
              <w:right w:val="single" w:sz="4" w:space="0" w:color="auto"/>
            </w:tcBorders>
            <w:shd w:val="clear" w:color="auto" w:fill="auto"/>
            <w:vAlign w:val="bottom"/>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Orn</w:t>
            </w:r>
          </w:p>
        </w:tc>
        <w:tc>
          <w:tcPr>
            <w:tcW w:w="1240" w:type="dxa"/>
            <w:tcBorders>
              <w:top w:val="nil"/>
              <w:left w:val="nil"/>
              <w:bottom w:val="nil"/>
              <w:right w:val="nil"/>
            </w:tcBorders>
            <w:shd w:val="clear" w:color="auto" w:fill="auto"/>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0.7</w:t>
            </w:r>
            <w:r w:rsidRPr="009C6966">
              <w:rPr>
                <w:rFonts w:ascii="Calibri" w:eastAsia="Times New Roman" w:hAnsi="Calibri" w:cs="Times New Roman"/>
                <w:color w:val="000000"/>
                <w:sz w:val="16"/>
                <w:szCs w:val="16"/>
                <w:lang w:val="de-DE" w:eastAsia="de-DE"/>
              </w:rPr>
              <w:t xml:space="preserve"> ± 0.1</w:t>
            </w:r>
          </w:p>
        </w:tc>
        <w:tc>
          <w:tcPr>
            <w:tcW w:w="1320" w:type="dxa"/>
            <w:tcBorders>
              <w:top w:val="nil"/>
              <w:left w:val="nil"/>
              <w:bottom w:val="nil"/>
              <w:right w:val="single" w:sz="4" w:space="0" w:color="auto"/>
            </w:tcBorders>
            <w:shd w:val="clear" w:color="auto" w:fill="auto"/>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 xml:space="preserve">1.1 </w:t>
            </w:r>
            <w:r w:rsidRPr="009C6966">
              <w:rPr>
                <w:rFonts w:ascii="Calibri" w:eastAsia="Times New Roman" w:hAnsi="Calibri" w:cs="Times New Roman"/>
                <w:color w:val="000000"/>
                <w:sz w:val="16"/>
                <w:szCs w:val="16"/>
                <w:lang w:val="de-DE" w:eastAsia="de-DE"/>
              </w:rPr>
              <w:t>± 0.2</w:t>
            </w:r>
          </w:p>
        </w:tc>
        <w:tc>
          <w:tcPr>
            <w:tcW w:w="979" w:type="dxa"/>
            <w:tcBorders>
              <w:top w:val="nil"/>
              <w:left w:val="nil"/>
              <w:bottom w:val="nil"/>
              <w:right w:val="single" w:sz="4" w:space="0" w:color="auto"/>
            </w:tcBorders>
            <w:shd w:val="clear" w:color="000000" w:fill="F2DCDB"/>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1.6</w:t>
            </w:r>
            <w:r w:rsidRPr="009C6966">
              <w:rPr>
                <w:rFonts w:ascii="Calibri" w:eastAsia="Times New Roman" w:hAnsi="Calibri" w:cs="Times New Roman"/>
                <w:color w:val="000000"/>
                <w:sz w:val="18"/>
                <w:szCs w:val="18"/>
                <w:lang w:val="de-DE" w:eastAsia="de-DE"/>
              </w:rPr>
              <w:t xml:space="preserve"> *</w:t>
            </w:r>
          </w:p>
        </w:tc>
        <w:tc>
          <w:tcPr>
            <w:tcW w:w="1241" w:type="dxa"/>
            <w:tcBorders>
              <w:top w:val="nil"/>
              <w:left w:val="nil"/>
              <w:bottom w:val="nil"/>
              <w:right w:val="nil"/>
            </w:tcBorders>
            <w:shd w:val="clear" w:color="auto" w:fill="auto"/>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 xml:space="preserve">0.7 </w:t>
            </w:r>
            <w:r w:rsidRPr="009C6966">
              <w:rPr>
                <w:rFonts w:ascii="Calibri" w:eastAsia="Times New Roman" w:hAnsi="Calibri" w:cs="Times New Roman"/>
                <w:color w:val="000000"/>
                <w:sz w:val="16"/>
                <w:szCs w:val="16"/>
                <w:lang w:val="de-DE" w:eastAsia="de-DE"/>
              </w:rPr>
              <w:t>± 0.07</w:t>
            </w:r>
          </w:p>
        </w:tc>
        <w:tc>
          <w:tcPr>
            <w:tcW w:w="1120" w:type="dxa"/>
            <w:tcBorders>
              <w:top w:val="nil"/>
              <w:left w:val="nil"/>
              <w:bottom w:val="nil"/>
              <w:right w:val="single" w:sz="4" w:space="0" w:color="auto"/>
            </w:tcBorders>
            <w:shd w:val="clear" w:color="auto" w:fill="auto"/>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 xml:space="preserve">1.5 </w:t>
            </w:r>
            <w:r w:rsidRPr="009C6966">
              <w:rPr>
                <w:rFonts w:ascii="Calibri" w:eastAsia="Times New Roman" w:hAnsi="Calibri" w:cs="Times New Roman"/>
                <w:color w:val="000000"/>
                <w:sz w:val="16"/>
                <w:szCs w:val="16"/>
                <w:lang w:val="de-DE" w:eastAsia="de-DE"/>
              </w:rPr>
              <w:t>± 0.4</w:t>
            </w:r>
          </w:p>
        </w:tc>
        <w:tc>
          <w:tcPr>
            <w:tcW w:w="1020" w:type="dxa"/>
            <w:tcBorders>
              <w:top w:val="nil"/>
              <w:left w:val="nil"/>
              <w:bottom w:val="nil"/>
              <w:right w:val="single" w:sz="4" w:space="0" w:color="auto"/>
            </w:tcBorders>
            <w:shd w:val="clear" w:color="000000" w:fill="F2DCDB"/>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2.2</w:t>
            </w:r>
          </w:p>
        </w:tc>
        <w:tc>
          <w:tcPr>
            <w:tcW w:w="1260" w:type="dxa"/>
            <w:tcBorders>
              <w:top w:val="nil"/>
              <w:left w:val="nil"/>
              <w:bottom w:val="nil"/>
              <w:right w:val="nil"/>
            </w:tcBorders>
            <w:shd w:val="clear" w:color="auto" w:fill="auto"/>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 xml:space="preserve">0.1 </w:t>
            </w:r>
            <w:r w:rsidRPr="009C6966">
              <w:rPr>
                <w:rFonts w:ascii="Calibri" w:eastAsia="Times New Roman" w:hAnsi="Calibri" w:cs="Times New Roman"/>
                <w:color w:val="000000"/>
                <w:sz w:val="16"/>
                <w:szCs w:val="16"/>
                <w:lang w:val="de-DE" w:eastAsia="de-DE"/>
              </w:rPr>
              <w:t>± 0.02</w:t>
            </w:r>
          </w:p>
        </w:tc>
        <w:tc>
          <w:tcPr>
            <w:tcW w:w="1220" w:type="dxa"/>
            <w:tcBorders>
              <w:top w:val="nil"/>
              <w:left w:val="nil"/>
              <w:bottom w:val="nil"/>
              <w:right w:val="single" w:sz="4" w:space="0" w:color="auto"/>
            </w:tcBorders>
            <w:shd w:val="clear" w:color="auto" w:fill="auto"/>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 xml:space="preserve">1.2 </w:t>
            </w:r>
            <w:r w:rsidRPr="009C6966">
              <w:rPr>
                <w:rFonts w:ascii="Calibri" w:eastAsia="Times New Roman" w:hAnsi="Calibri" w:cs="Times New Roman"/>
                <w:color w:val="000000"/>
                <w:sz w:val="16"/>
                <w:szCs w:val="16"/>
                <w:lang w:val="de-DE" w:eastAsia="de-DE"/>
              </w:rPr>
              <w:t>± 0.5</w:t>
            </w:r>
          </w:p>
        </w:tc>
        <w:tc>
          <w:tcPr>
            <w:tcW w:w="1060" w:type="dxa"/>
            <w:tcBorders>
              <w:top w:val="nil"/>
              <w:left w:val="nil"/>
              <w:bottom w:val="nil"/>
              <w:right w:val="single" w:sz="4" w:space="0" w:color="auto"/>
            </w:tcBorders>
            <w:shd w:val="clear" w:color="000000" w:fill="DA9694"/>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10.9</w:t>
            </w:r>
            <w:r w:rsidRPr="009C6966">
              <w:rPr>
                <w:rFonts w:ascii="Calibri" w:eastAsia="Times New Roman" w:hAnsi="Calibri" w:cs="Times New Roman"/>
                <w:color w:val="000000"/>
                <w:sz w:val="18"/>
                <w:szCs w:val="18"/>
                <w:lang w:val="de-DE" w:eastAsia="de-DE"/>
              </w:rPr>
              <w:t xml:space="preserve"> *</w:t>
            </w:r>
          </w:p>
        </w:tc>
        <w:tc>
          <w:tcPr>
            <w:tcW w:w="1220" w:type="dxa"/>
            <w:tcBorders>
              <w:top w:val="nil"/>
              <w:left w:val="nil"/>
              <w:bottom w:val="nil"/>
              <w:right w:val="nil"/>
            </w:tcBorders>
            <w:shd w:val="clear" w:color="auto" w:fill="auto"/>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 xml:space="preserve">0.09 </w:t>
            </w:r>
            <w:r w:rsidRPr="009C6966">
              <w:rPr>
                <w:rFonts w:ascii="Calibri" w:eastAsia="Times New Roman" w:hAnsi="Calibri" w:cs="Times New Roman"/>
                <w:color w:val="000000"/>
                <w:sz w:val="16"/>
                <w:szCs w:val="16"/>
                <w:lang w:val="de-DE" w:eastAsia="de-DE"/>
              </w:rPr>
              <w:t>± 0.009</w:t>
            </w:r>
          </w:p>
        </w:tc>
        <w:tc>
          <w:tcPr>
            <w:tcW w:w="1120" w:type="dxa"/>
            <w:tcBorders>
              <w:top w:val="nil"/>
              <w:left w:val="nil"/>
              <w:bottom w:val="nil"/>
              <w:right w:val="single" w:sz="4" w:space="0" w:color="auto"/>
            </w:tcBorders>
            <w:shd w:val="clear" w:color="auto" w:fill="auto"/>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 xml:space="preserve">0.1 </w:t>
            </w:r>
            <w:r w:rsidRPr="009C6966">
              <w:rPr>
                <w:rFonts w:ascii="Calibri" w:eastAsia="Times New Roman" w:hAnsi="Calibri" w:cs="Times New Roman"/>
                <w:color w:val="000000"/>
                <w:sz w:val="16"/>
                <w:szCs w:val="16"/>
                <w:lang w:val="de-DE" w:eastAsia="de-DE"/>
              </w:rPr>
              <w:t>± 0.03</w:t>
            </w:r>
          </w:p>
        </w:tc>
        <w:tc>
          <w:tcPr>
            <w:tcW w:w="1100" w:type="dxa"/>
            <w:tcBorders>
              <w:top w:val="nil"/>
              <w:left w:val="nil"/>
              <w:bottom w:val="nil"/>
              <w:right w:val="single" w:sz="4" w:space="0" w:color="auto"/>
            </w:tcBorders>
            <w:shd w:val="clear" w:color="auto" w:fill="auto"/>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1.3</w:t>
            </w:r>
          </w:p>
        </w:tc>
      </w:tr>
      <w:tr w:rsidR="009C6966" w:rsidRPr="009C6966" w:rsidTr="009A36CA">
        <w:trPr>
          <w:trHeight w:val="300"/>
        </w:trPr>
        <w:tc>
          <w:tcPr>
            <w:tcW w:w="1012" w:type="dxa"/>
            <w:tcBorders>
              <w:top w:val="nil"/>
              <w:left w:val="single" w:sz="4" w:space="0" w:color="auto"/>
              <w:bottom w:val="single" w:sz="4" w:space="0" w:color="auto"/>
              <w:right w:val="single" w:sz="4" w:space="0" w:color="auto"/>
            </w:tcBorders>
            <w:shd w:val="clear" w:color="auto" w:fill="auto"/>
            <w:vAlign w:val="bottom"/>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GABA</w:t>
            </w:r>
          </w:p>
        </w:tc>
        <w:tc>
          <w:tcPr>
            <w:tcW w:w="1240" w:type="dxa"/>
            <w:tcBorders>
              <w:top w:val="nil"/>
              <w:left w:val="nil"/>
              <w:bottom w:val="single" w:sz="4" w:space="0" w:color="auto"/>
              <w:right w:val="nil"/>
            </w:tcBorders>
            <w:shd w:val="clear" w:color="auto" w:fill="auto"/>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 xml:space="preserve">6.5 </w:t>
            </w:r>
            <w:r w:rsidRPr="009C6966">
              <w:rPr>
                <w:rFonts w:ascii="Calibri" w:eastAsia="Times New Roman" w:hAnsi="Calibri" w:cs="Times New Roman"/>
                <w:color w:val="000000"/>
                <w:sz w:val="16"/>
                <w:szCs w:val="16"/>
                <w:lang w:val="de-DE" w:eastAsia="de-DE"/>
              </w:rPr>
              <w:t>± 0.5</w:t>
            </w:r>
          </w:p>
        </w:tc>
        <w:tc>
          <w:tcPr>
            <w:tcW w:w="1320" w:type="dxa"/>
            <w:tcBorders>
              <w:top w:val="nil"/>
              <w:left w:val="nil"/>
              <w:bottom w:val="single" w:sz="4" w:space="0" w:color="auto"/>
              <w:right w:val="single" w:sz="4" w:space="0" w:color="auto"/>
            </w:tcBorders>
            <w:shd w:val="clear" w:color="auto" w:fill="auto"/>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 xml:space="preserve">25.1 </w:t>
            </w:r>
            <w:r w:rsidRPr="009C6966">
              <w:rPr>
                <w:rFonts w:ascii="Calibri" w:eastAsia="Times New Roman" w:hAnsi="Calibri" w:cs="Times New Roman"/>
                <w:color w:val="000000"/>
                <w:sz w:val="16"/>
                <w:szCs w:val="16"/>
                <w:lang w:val="de-DE" w:eastAsia="de-DE"/>
              </w:rPr>
              <w:t>± 6.5</w:t>
            </w:r>
          </w:p>
        </w:tc>
        <w:tc>
          <w:tcPr>
            <w:tcW w:w="979" w:type="dxa"/>
            <w:tcBorders>
              <w:top w:val="nil"/>
              <w:left w:val="nil"/>
              <w:bottom w:val="single" w:sz="4" w:space="0" w:color="auto"/>
              <w:right w:val="single" w:sz="4" w:space="0" w:color="auto"/>
            </w:tcBorders>
            <w:shd w:val="clear" w:color="000000" w:fill="E6B8B7"/>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3.8</w:t>
            </w:r>
            <w:r w:rsidRPr="009C6966">
              <w:rPr>
                <w:rFonts w:ascii="Calibri" w:eastAsia="Times New Roman" w:hAnsi="Calibri" w:cs="Times New Roman"/>
                <w:color w:val="000000"/>
                <w:sz w:val="18"/>
                <w:szCs w:val="18"/>
                <w:lang w:val="de-DE" w:eastAsia="de-DE"/>
              </w:rPr>
              <w:t xml:space="preserve"> **</w:t>
            </w:r>
          </w:p>
        </w:tc>
        <w:tc>
          <w:tcPr>
            <w:tcW w:w="1241" w:type="dxa"/>
            <w:tcBorders>
              <w:top w:val="nil"/>
              <w:left w:val="nil"/>
              <w:bottom w:val="single" w:sz="4" w:space="0" w:color="auto"/>
              <w:right w:val="nil"/>
            </w:tcBorders>
            <w:shd w:val="clear" w:color="auto" w:fill="auto"/>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 xml:space="preserve">1.1 </w:t>
            </w:r>
            <w:r w:rsidRPr="009C6966">
              <w:rPr>
                <w:rFonts w:ascii="Calibri" w:eastAsia="Times New Roman" w:hAnsi="Calibri" w:cs="Times New Roman"/>
                <w:color w:val="000000"/>
                <w:sz w:val="16"/>
                <w:szCs w:val="16"/>
                <w:lang w:val="de-DE" w:eastAsia="de-DE"/>
              </w:rPr>
              <w:t>± 0.2</w:t>
            </w:r>
          </w:p>
        </w:tc>
        <w:tc>
          <w:tcPr>
            <w:tcW w:w="1120" w:type="dxa"/>
            <w:tcBorders>
              <w:top w:val="nil"/>
              <w:left w:val="nil"/>
              <w:bottom w:val="single" w:sz="4" w:space="0" w:color="auto"/>
              <w:right w:val="single" w:sz="4" w:space="0" w:color="auto"/>
            </w:tcBorders>
            <w:shd w:val="clear" w:color="auto" w:fill="auto"/>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 xml:space="preserve">5.4 </w:t>
            </w:r>
            <w:r w:rsidRPr="009C6966">
              <w:rPr>
                <w:rFonts w:ascii="Calibri" w:eastAsia="Times New Roman" w:hAnsi="Calibri" w:cs="Times New Roman"/>
                <w:color w:val="000000"/>
                <w:sz w:val="16"/>
                <w:szCs w:val="16"/>
                <w:lang w:val="de-DE" w:eastAsia="de-DE"/>
              </w:rPr>
              <w:t>± 3.1</w:t>
            </w:r>
          </w:p>
        </w:tc>
        <w:tc>
          <w:tcPr>
            <w:tcW w:w="1020" w:type="dxa"/>
            <w:tcBorders>
              <w:top w:val="nil"/>
              <w:left w:val="nil"/>
              <w:bottom w:val="single" w:sz="4" w:space="0" w:color="auto"/>
              <w:right w:val="single" w:sz="4" w:space="0" w:color="auto"/>
            </w:tcBorders>
            <w:shd w:val="clear" w:color="000000" w:fill="E6B8B7"/>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4.9</w:t>
            </w:r>
          </w:p>
        </w:tc>
        <w:tc>
          <w:tcPr>
            <w:tcW w:w="1260" w:type="dxa"/>
            <w:tcBorders>
              <w:top w:val="nil"/>
              <w:left w:val="nil"/>
              <w:bottom w:val="single" w:sz="4" w:space="0" w:color="auto"/>
              <w:right w:val="nil"/>
            </w:tcBorders>
            <w:shd w:val="clear" w:color="auto" w:fill="auto"/>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 xml:space="preserve">2.4 </w:t>
            </w:r>
            <w:r w:rsidRPr="009C6966">
              <w:rPr>
                <w:rFonts w:ascii="Calibri" w:eastAsia="Times New Roman" w:hAnsi="Calibri" w:cs="Times New Roman"/>
                <w:color w:val="000000"/>
                <w:sz w:val="16"/>
                <w:szCs w:val="16"/>
                <w:lang w:val="de-DE" w:eastAsia="de-DE"/>
              </w:rPr>
              <w:t>± 0.1</w:t>
            </w:r>
          </w:p>
        </w:tc>
        <w:tc>
          <w:tcPr>
            <w:tcW w:w="1220" w:type="dxa"/>
            <w:tcBorders>
              <w:top w:val="nil"/>
              <w:left w:val="nil"/>
              <w:bottom w:val="single" w:sz="4" w:space="0" w:color="auto"/>
              <w:right w:val="single" w:sz="4" w:space="0" w:color="auto"/>
            </w:tcBorders>
            <w:shd w:val="clear" w:color="auto" w:fill="auto"/>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 xml:space="preserve">9.9 </w:t>
            </w:r>
            <w:r w:rsidRPr="009C6966">
              <w:rPr>
                <w:rFonts w:ascii="Calibri" w:eastAsia="Times New Roman" w:hAnsi="Calibri" w:cs="Times New Roman"/>
                <w:color w:val="000000"/>
                <w:sz w:val="16"/>
                <w:szCs w:val="16"/>
                <w:lang w:val="de-DE" w:eastAsia="de-DE"/>
              </w:rPr>
              <w:t>± 0.4</w:t>
            </w:r>
          </w:p>
        </w:tc>
        <w:tc>
          <w:tcPr>
            <w:tcW w:w="1060" w:type="dxa"/>
            <w:tcBorders>
              <w:top w:val="nil"/>
              <w:left w:val="nil"/>
              <w:bottom w:val="single" w:sz="4" w:space="0" w:color="auto"/>
              <w:right w:val="single" w:sz="4" w:space="0" w:color="auto"/>
            </w:tcBorders>
            <w:shd w:val="clear" w:color="000000" w:fill="E6B8B7"/>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4.1</w:t>
            </w:r>
            <w:r w:rsidRPr="009C6966">
              <w:rPr>
                <w:rFonts w:ascii="Calibri" w:eastAsia="Times New Roman" w:hAnsi="Calibri" w:cs="Times New Roman"/>
                <w:color w:val="000000"/>
                <w:sz w:val="18"/>
                <w:szCs w:val="18"/>
                <w:lang w:val="de-DE" w:eastAsia="de-DE"/>
              </w:rPr>
              <w:t xml:space="preserve"> **</w:t>
            </w:r>
          </w:p>
        </w:tc>
        <w:tc>
          <w:tcPr>
            <w:tcW w:w="2340" w:type="dxa"/>
            <w:gridSpan w:val="2"/>
            <w:tcBorders>
              <w:top w:val="nil"/>
              <w:left w:val="nil"/>
              <w:bottom w:val="single" w:sz="4" w:space="0" w:color="auto"/>
              <w:right w:val="single" w:sz="4" w:space="0" w:color="000000"/>
            </w:tcBorders>
            <w:shd w:val="clear" w:color="auto" w:fill="auto"/>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not detected</w:t>
            </w:r>
          </w:p>
        </w:tc>
        <w:tc>
          <w:tcPr>
            <w:tcW w:w="1100" w:type="dxa"/>
            <w:tcBorders>
              <w:top w:val="nil"/>
              <w:left w:val="nil"/>
              <w:bottom w:val="single" w:sz="4" w:space="0" w:color="auto"/>
              <w:right w:val="single" w:sz="4" w:space="0" w:color="auto"/>
            </w:tcBorders>
            <w:shd w:val="clear" w:color="auto" w:fill="auto"/>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 </w:t>
            </w:r>
          </w:p>
        </w:tc>
      </w:tr>
      <w:tr w:rsidR="009C6966" w:rsidRPr="009C6966" w:rsidTr="009A36CA">
        <w:trPr>
          <w:trHeight w:val="315"/>
        </w:trPr>
        <w:tc>
          <w:tcPr>
            <w:tcW w:w="1012" w:type="dxa"/>
            <w:tcBorders>
              <w:top w:val="nil"/>
              <w:left w:val="nil"/>
              <w:bottom w:val="nil"/>
              <w:right w:val="nil"/>
            </w:tcBorders>
            <w:shd w:val="clear" w:color="auto" w:fill="auto"/>
            <w:noWrap/>
            <w:vAlign w:val="bottom"/>
            <w:hideMark/>
          </w:tcPr>
          <w:p w:rsidR="009C6966" w:rsidRPr="009C6966" w:rsidRDefault="009C6966" w:rsidP="009C6966">
            <w:pPr>
              <w:spacing w:after="0" w:line="240" w:lineRule="auto"/>
              <w:rPr>
                <w:rFonts w:ascii="Calibri" w:eastAsia="Times New Roman" w:hAnsi="Calibri" w:cs="Times New Roman"/>
                <w:color w:val="000000"/>
                <w:lang w:val="de-DE" w:eastAsia="de-DE"/>
              </w:rPr>
            </w:pPr>
          </w:p>
        </w:tc>
        <w:tc>
          <w:tcPr>
            <w:tcW w:w="1240" w:type="dxa"/>
            <w:tcBorders>
              <w:top w:val="nil"/>
              <w:left w:val="nil"/>
              <w:bottom w:val="nil"/>
              <w:right w:val="nil"/>
            </w:tcBorders>
            <w:shd w:val="clear" w:color="auto" w:fill="auto"/>
            <w:noWrap/>
            <w:vAlign w:val="bottom"/>
            <w:hideMark/>
          </w:tcPr>
          <w:p w:rsidR="009C6966" w:rsidRPr="009C6966" w:rsidRDefault="009C6966" w:rsidP="009C6966">
            <w:pPr>
              <w:spacing w:after="0" w:line="240" w:lineRule="auto"/>
              <w:rPr>
                <w:rFonts w:ascii="Calibri" w:eastAsia="Times New Roman" w:hAnsi="Calibri" w:cs="Times New Roman"/>
                <w:color w:val="000000"/>
                <w:lang w:val="de-DE" w:eastAsia="de-DE"/>
              </w:rPr>
            </w:pPr>
          </w:p>
        </w:tc>
        <w:tc>
          <w:tcPr>
            <w:tcW w:w="1320" w:type="dxa"/>
            <w:tcBorders>
              <w:top w:val="nil"/>
              <w:left w:val="nil"/>
              <w:bottom w:val="nil"/>
              <w:right w:val="nil"/>
            </w:tcBorders>
            <w:shd w:val="clear" w:color="auto" w:fill="auto"/>
            <w:noWrap/>
            <w:vAlign w:val="bottom"/>
            <w:hideMark/>
          </w:tcPr>
          <w:p w:rsidR="009C6966" w:rsidRPr="009C6966" w:rsidRDefault="009C6966" w:rsidP="009C6966">
            <w:pPr>
              <w:spacing w:after="0" w:line="240" w:lineRule="auto"/>
              <w:rPr>
                <w:rFonts w:ascii="Calibri" w:eastAsia="Times New Roman" w:hAnsi="Calibri" w:cs="Times New Roman"/>
                <w:color w:val="000000"/>
                <w:lang w:val="de-DE" w:eastAsia="de-DE"/>
              </w:rPr>
            </w:pPr>
          </w:p>
        </w:tc>
        <w:tc>
          <w:tcPr>
            <w:tcW w:w="979" w:type="dxa"/>
            <w:tcBorders>
              <w:top w:val="nil"/>
              <w:left w:val="nil"/>
              <w:bottom w:val="nil"/>
              <w:right w:val="nil"/>
            </w:tcBorders>
            <w:shd w:val="clear" w:color="auto" w:fill="auto"/>
            <w:noWrap/>
            <w:vAlign w:val="bottom"/>
            <w:hideMark/>
          </w:tcPr>
          <w:p w:rsidR="009C6966" w:rsidRPr="009C6966" w:rsidRDefault="009C6966" w:rsidP="009C6966">
            <w:pPr>
              <w:spacing w:after="0" w:line="240" w:lineRule="auto"/>
              <w:rPr>
                <w:rFonts w:ascii="Calibri" w:eastAsia="Times New Roman" w:hAnsi="Calibri" w:cs="Times New Roman"/>
                <w:color w:val="000000"/>
                <w:lang w:val="de-DE" w:eastAsia="de-DE"/>
              </w:rPr>
            </w:pPr>
          </w:p>
        </w:tc>
        <w:tc>
          <w:tcPr>
            <w:tcW w:w="1241" w:type="dxa"/>
            <w:tcBorders>
              <w:top w:val="nil"/>
              <w:left w:val="nil"/>
              <w:bottom w:val="nil"/>
              <w:right w:val="nil"/>
            </w:tcBorders>
            <w:shd w:val="clear" w:color="auto" w:fill="auto"/>
            <w:noWrap/>
            <w:vAlign w:val="bottom"/>
            <w:hideMark/>
          </w:tcPr>
          <w:p w:rsidR="009C6966" w:rsidRPr="009C6966" w:rsidRDefault="009C6966" w:rsidP="009C6966">
            <w:pPr>
              <w:spacing w:after="0" w:line="240" w:lineRule="auto"/>
              <w:rPr>
                <w:rFonts w:ascii="Calibri" w:eastAsia="Times New Roman" w:hAnsi="Calibri" w:cs="Times New Roman"/>
                <w:color w:val="000000"/>
                <w:lang w:val="de-DE" w:eastAsia="de-DE"/>
              </w:rPr>
            </w:pPr>
          </w:p>
        </w:tc>
        <w:tc>
          <w:tcPr>
            <w:tcW w:w="1120" w:type="dxa"/>
            <w:tcBorders>
              <w:top w:val="nil"/>
              <w:left w:val="nil"/>
              <w:bottom w:val="nil"/>
              <w:right w:val="nil"/>
            </w:tcBorders>
            <w:shd w:val="clear" w:color="auto" w:fill="auto"/>
            <w:noWrap/>
            <w:vAlign w:val="bottom"/>
            <w:hideMark/>
          </w:tcPr>
          <w:p w:rsidR="009C6966" w:rsidRPr="009C6966" w:rsidRDefault="009C6966" w:rsidP="009C6966">
            <w:pPr>
              <w:spacing w:after="0" w:line="240" w:lineRule="auto"/>
              <w:rPr>
                <w:rFonts w:ascii="Calibri" w:eastAsia="Times New Roman" w:hAnsi="Calibri" w:cs="Times New Roman"/>
                <w:color w:val="000000"/>
                <w:lang w:val="de-DE" w:eastAsia="de-DE"/>
              </w:rPr>
            </w:pPr>
          </w:p>
        </w:tc>
        <w:tc>
          <w:tcPr>
            <w:tcW w:w="1020" w:type="dxa"/>
            <w:tcBorders>
              <w:top w:val="nil"/>
              <w:left w:val="nil"/>
              <w:bottom w:val="nil"/>
              <w:right w:val="nil"/>
            </w:tcBorders>
            <w:shd w:val="clear" w:color="auto" w:fill="auto"/>
            <w:noWrap/>
            <w:vAlign w:val="bottom"/>
            <w:hideMark/>
          </w:tcPr>
          <w:p w:rsidR="009C6966" w:rsidRPr="009C6966" w:rsidRDefault="009C6966" w:rsidP="009C6966">
            <w:pPr>
              <w:spacing w:after="0" w:line="240" w:lineRule="auto"/>
              <w:rPr>
                <w:rFonts w:ascii="Calibri" w:eastAsia="Times New Roman" w:hAnsi="Calibri" w:cs="Times New Roman"/>
                <w:color w:val="000000"/>
                <w:lang w:val="de-DE" w:eastAsia="de-DE"/>
              </w:rPr>
            </w:pPr>
          </w:p>
        </w:tc>
        <w:tc>
          <w:tcPr>
            <w:tcW w:w="1260" w:type="dxa"/>
            <w:tcBorders>
              <w:top w:val="nil"/>
              <w:left w:val="nil"/>
              <w:bottom w:val="nil"/>
              <w:right w:val="nil"/>
            </w:tcBorders>
            <w:shd w:val="clear" w:color="auto" w:fill="auto"/>
            <w:noWrap/>
            <w:vAlign w:val="bottom"/>
            <w:hideMark/>
          </w:tcPr>
          <w:p w:rsidR="009C6966" w:rsidRPr="009C6966" w:rsidRDefault="009C6966" w:rsidP="009C6966">
            <w:pPr>
              <w:spacing w:after="0" w:line="240" w:lineRule="auto"/>
              <w:rPr>
                <w:rFonts w:ascii="Calibri" w:eastAsia="Times New Roman" w:hAnsi="Calibri" w:cs="Times New Roman"/>
                <w:color w:val="000000"/>
                <w:lang w:val="de-DE" w:eastAsia="de-DE"/>
              </w:rPr>
            </w:pPr>
          </w:p>
        </w:tc>
        <w:tc>
          <w:tcPr>
            <w:tcW w:w="1220" w:type="dxa"/>
            <w:tcBorders>
              <w:top w:val="nil"/>
              <w:left w:val="nil"/>
              <w:bottom w:val="nil"/>
              <w:right w:val="nil"/>
            </w:tcBorders>
            <w:shd w:val="clear" w:color="auto" w:fill="auto"/>
            <w:noWrap/>
            <w:vAlign w:val="bottom"/>
            <w:hideMark/>
          </w:tcPr>
          <w:p w:rsidR="009C6966" w:rsidRPr="009C6966" w:rsidRDefault="009C6966" w:rsidP="009C6966">
            <w:pPr>
              <w:spacing w:after="0" w:line="240" w:lineRule="auto"/>
              <w:rPr>
                <w:rFonts w:ascii="Calibri" w:eastAsia="Times New Roman" w:hAnsi="Calibri" w:cs="Times New Roman"/>
                <w:color w:val="000000"/>
                <w:lang w:val="de-DE" w:eastAsia="de-DE"/>
              </w:rPr>
            </w:pPr>
          </w:p>
        </w:tc>
        <w:tc>
          <w:tcPr>
            <w:tcW w:w="1060" w:type="dxa"/>
            <w:tcBorders>
              <w:top w:val="nil"/>
              <w:left w:val="nil"/>
              <w:bottom w:val="nil"/>
              <w:right w:val="nil"/>
            </w:tcBorders>
            <w:shd w:val="clear" w:color="auto" w:fill="auto"/>
            <w:noWrap/>
            <w:vAlign w:val="bottom"/>
            <w:hideMark/>
          </w:tcPr>
          <w:p w:rsidR="009C6966" w:rsidRPr="009C6966" w:rsidRDefault="009C6966" w:rsidP="009C6966">
            <w:pPr>
              <w:spacing w:after="0" w:line="240" w:lineRule="auto"/>
              <w:rPr>
                <w:rFonts w:ascii="Calibri" w:eastAsia="Times New Roman" w:hAnsi="Calibri" w:cs="Times New Roman"/>
                <w:color w:val="000000"/>
                <w:lang w:val="de-DE" w:eastAsia="de-DE"/>
              </w:rPr>
            </w:pPr>
          </w:p>
        </w:tc>
        <w:tc>
          <w:tcPr>
            <w:tcW w:w="1220" w:type="dxa"/>
            <w:tcBorders>
              <w:top w:val="nil"/>
              <w:left w:val="nil"/>
              <w:bottom w:val="nil"/>
              <w:right w:val="nil"/>
            </w:tcBorders>
            <w:shd w:val="clear" w:color="auto" w:fill="auto"/>
            <w:noWrap/>
            <w:vAlign w:val="bottom"/>
            <w:hideMark/>
          </w:tcPr>
          <w:p w:rsidR="009C6966" w:rsidRPr="009C6966" w:rsidRDefault="009C6966" w:rsidP="009C6966">
            <w:pPr>
              <w:spacing w:after="0" w:line="240" w:lineRule="auto"/>
              <w:rPr>
                <w:rFonts w:ascii="Calibri" w:eastAsia="Times New Roman" w:hAnsi="Calibri" w:cs="Times New Roman"/>
                <w:color w:val="000000"/>
                <w:lang w:val="de-DE" w:eastAsia="de-DE"/>
              </w:rPr>
            </w:pPr>
          </w:p>
        </w:tc>
        <w:tc>
          <w:tcPr>
            <w:tcW w:w="1120" w:type="dxa"/>
            <w:tcBorders>
              <w:top w:val="nil"/>
              <w:left w:val="nil"/>
              <w:bottom w:val="nil"/>
              <w:right w:val="nil"/>
            </w:tcBorders>
            <w:shd w:val="clear" w:color="auto" w:fill="auto"/>
            <w:noWrap/>
            <w:vAlign w:val="bottom"/>
            <w:hideMark/>
          </w:tcPr>
          <w:p w:rsidR="009C6966" w:rsidRPr="009C6966" w:rsidRDefault="009C6966" w:rsidP="009C6966">
            <w:pPr>
              <w:spacing w:after="0" w:line="240" w:lineRule="auto"/>
              <w:rPr>
                <w:rFonts w:ascii="Calibri" w:eastAsia="Times New Roman" w:hAnsi="Calibri" w:cs="Times New Roman"/>
                <w:color w:val="000000"/>
                <w:lang w:val="de-DE" w:eastAsia="de-DE"/>
              </w:rPr>
            </w:pPr>
          </w:p>
        </w:tc>
        <w:tc>
          <w:tcPr>
            <w:tcW w:w="1100" w:type="dxa"/>
            <w:tcBorders>
              <w:top w:val="nil"/>
              <w:left w:val="nil"/>
              <w:bottom w:val="nil"/>
              <w:right w:val="nil"/>
            </w:tcBorders>
            <w:shd w:val="clear" w:color="auto" w:fill="auto"/>
            <w:noWrap/>
            <w:vAlign w:val="bottom"/>
            <w:hideMark/>
          </w:tcPr>
          <w:p w:rsidR="009C6966" w:rsidRPr="009C6966" w:rsidRDefault="009C6966" w:rsidP="009C6966">
            <w:pPr>
              <w:spacing w:after="0" w:line="240" w:lineRule="auto"/>
              <w:rPr>
                <w:rFonts w:ascii="Calibri" w:eastAsia="Times New Roman" w:hAnsi="Calibri" w:cs="Times New Roman"/>
                <w:color w:val="000000"/>
                <w:lang w:val="de-DE" w:eastAsia="de-DE"/>
              </w:rPr>
            </w:pPr>
          </w:p>
        </w:tc>
      </w:tr>
      <w:tr w:rsidR="009C6966" w:rsidRPr="009C6966" w:rsidTr="009A36CA">
        <w:trPr>
          <w:trHeight w:val="315"/>
        </w:trPr>
        <w:tc>
          <w:tcPr>
            <w:tcW w:w="1012" w:type="dxa"/>
            <w:tcBorders>
              <w:top w:val="nil"/>
              <w:left w:val="nil"/>
              <w:bottom w:val="nil"/>
              <w:right w:val="nil"/>
            </w:tcBorders>
            <w:shd w:val="clear" w:color="auto" w:fill="auto"/>
            <w:noWrap/>
            <w:vAlign w:val="bottom"/>
            <w:hideMark/>
          </w:tcPr>
          <w:p w:rsidR="009C6966" w:rsidRPr="009C6966" w:rsidRDefault="009C6966" w:rsidP="009C6966">
            <w:pPr>
              <w:spacing w:after="0" w:line="240" w:lineRule="auto"/>
              <w:rPr>
                <w:rFonts w:ascii="Calibri" w:eastAsia="Times New Roman" w:hAnsi="Calibri" w:cs="Times New Roman"/>
                <w:color w:val="000000"/>
                <w:lang w:val="de-DE" w:eastAsia="de-DE"/>
              </w:rPr>
            </w:pPr>
          </w:p>
        </w:tc>
        <w:tc>
          <w:tcPr>
            <w:tcW w:w="1240" w:type="dxa"/>
            <w:tcBorders>
              <w:top w:val="nil"/>
              <w:left w:val="nil"/>
              <w:bottom w:val="nil"/>
              <w:right w:val="nil"/>
            </w:tcBorders>
            <w:shd w:val="clear" w:color="auto" w:fill="auto"/>
            <w:noWrap/>
            <w:vAlign w:val="bottom"/>
            <w:hideMark/>
          </w:tcPr>
          <w:p w:rsidR="009C6966" w:rsidRPr="009C6966" w:rsidRDefault="009C6966" w:rsidP="009C6966">
            <w:pPr>
              <w:spacing w:after="0" w:line="240" w:lineRule="auto"/>
              <w:rPr>
                <w:rFonts w:ascii="Calibri" w:eastAsia="Times New Roman" w:hAnsi="Calibri" w:cs="Times New Roman"/>
                <w:color w:val="000000"/>
                <w:lang w:val="de-DE" w:eastAsia="de-DE"/>
              </w:rPr>
            </w:pPr>
          </w:p>
        </w:tc>
        <w:tc>
          <w:tcPr>
            <w:tcW w:w="1320" w:type="dxa"/>
            <w:tcBorders>
              <w:top w:val="nil"/>
              <w:left w:val="nil"/>
              <w:bottom w:val="nil"/>
              <w:right w:val="nil"/>
            </w:tcBorders>
            <w:shd w:val="clear" w:color="auto" w:fill="auto"/>
            <w:noWrap/>
            <w:vAlign w:val="bottom"/>
            <w:hideMark/>
          </w:tcPr>
          <w:p w:rsidR="009C6966" w:rsidRPr="009C6966" w:rsidRDefault="009C6966" w:rsidP="009C6966">
            <w:pPr>
              <w:spacing w:after="0" w:line="240" w:lineRule="auto"/>
              <w:rPr>
                <w:rFonts w:ascii="Calibri" w:eastAsia="Times New Roman" w:hAnsi="Calibri" w:cs="Times New Roman"/>
                <w:color w:val="000000"/>
                <w:lang w:val="de-DE" w:eastAsia="de-DE"/>
              </w:rPr>
            </w:pPr>
          </w:p>
        </w:tc>
        <w:tc>
          <w:tcPr>
            <w:tcW w:w="979" w:type="dxa"/>
            <w:tcBorders>
              <w:top w:val="single" w:sz="8" w:space="0" w:color="auto"/>
              <w:left w:val="single" w:sz="8" w:space="0" w:color="auto"/>
              <w:bottom w:val="single" w:sz="8" w:space="0" w:color="auto"/>
              <w:right w:val="single" w:sz="8" w:space="0" w:color="auto"/>
            </w:tcBorders>
            <w:shd w:val="clear" w:color="000000" w:fill="632423"/>
            <w:vAlign w:val="center"/>
            <w:hideMark/>
          </w:tcPr>
          <w:p w:rsidR="009C6966" w:rsidRPr="009C6966" w:rsidRDefault="009C6966" w:rsidP="009C6966">
            <w:pPr>
              <w:spacing w:after="0" w:line="240" w:lineRule="auto"/>
              <w:jc w:val="center"/>
              <w:rPr>
                <w:rFonts w:ascii="Calibri" w:eastAsia="Times New Roman" w:hAnsi="Calibri" w:cs="Times New Roman"/>
                <w:color w:val="FFFFFF"/>
                <w:lang w:val="de-DE" w:eastAsia="de-DE"/>
              </w:rPr>
            </w:pPr>
            <w:r w:rsidRPr="009C6966">
              <w:rPr>
                <w:rFonts w:ascii="Calibri" w:eastAsia="Times New Roman" w:hAnsi="Calibri" w:cs="Times New Roman"/>
                <w:color w:val="FFFFFF"/>
                <w:lang w:val="de-DE" w:eastAsia="de-DE"/>
              </w:rPr>
              <w:t>&gt; 100</w:t>
            </w:r>
          </w:p>
        </w:tc>
        <w:tc>
          <w:tcPr>
            <w:tcW w:w="1241" w:type="dxa"/>
            <w:tcBorders>
              <w:top w:val="single" w:sz="8" w:space="0" w:color="auto"/>
              <w:left w:val="nil"/>
              <w:bottom w:val="single" w:sz="8" w:space="0" w:color="auto"/>
              <w:right w:val="single" w:sz="8" w:space="0" w:color="auto"/>
            </w:tcBorders>
            <w:shd w:val="clear" w:color="000000" w:fill="943634"/>
            <w:noWrap/>
            <w:vAlign w:val="center"/>
            <w:hideMark/>
          </w:tcPr>
          <w:p w:rsidR="009C6966" w:rsidRPr="009C6966" w:rsidRDefault="009C6966" w:rsidP="009C6966">
            <w:pPr>
              <w:spacing w:after="0" w:line="240" w:lineRule="auto"/>
              <w:jc w:val="center"/>
              <w:rPr>
                <w:rFonts w:ascii="Calibri" w:eastAsia="Times New Roman" w:hAnsi="Calibri" w:cs="Times New Roman"/>
                <w:color w:val="FFFFFF"/>
                <w:lang w:val="de-DE" w:eastAsia="de-DE"/>
              </w:rPr>
            </w:pPr>
            <w:r w:rsidRPr="009C6966">
              <w:rPr>
                <w:rFonts w:ascii="Calibri" w:eastAsia="Times New Roman" w:hAnsi="Calibri" w:cs="Times New Roman"/>
                <w:color w:val="FFFFFF"/>
                <w:lang w:val="de-DE" w:eastAsia="de-DE"/>
              </w:rPr>
              <w:t>&gt; 20</w:t>
            </w:r>
          </w:p>
        </w:tc>
        <w:tc>
          <w:tcPr>
            <w:tcW w:w="1120" w:type="dxa"/>
            <w:tcBorders>
              <w:top w:val="single" w:sz="8" w:space="0" w:color="auto"/>
              <w:left w:val="nil"/>
              <w:bottom w:val="single" w:sz="8" w:space="0" w:color="auto"/>
              <w:right w:val="single" w:sz="8" w:space="0" w:color="auto"/>
            </w:tcBorders>
            <w:shd w:val="clear" w:color="000000" w:fill="D99594"/>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5-20</w:t>
            </w:r>
          </w:p>
        </w:tc>
        <w:tc>
          <w:tcPr>
            <w:tcW w:w="1020" w:type="dxa"/>
            <w:tcBorders>
              <w:top w:val="single" w:sz="8" w:space="0" w:color="auto"/>
              <w:left w:val="nil"/>
              <w:bottom w:val="single" w:sz="8" w:space="0" w:color="auto"/>
              <w:right w:val="single" w:sz="8" w:space="0" w:color="auto"/>
            </w:tcBorders>
            <w:shd w:val="clear" w:color="000000" w:fill="E5B8B7"/>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3-5</w:t>
            </w:r>
          </w:p>
        </w:tc>
        <w:tc>
          <w:tcPr>
            <w:tcW w:w="1260" w:type="dxa"/>
            <w:tcBorders>
              <w:top w:val="single" w:sz="8" w:space="0" w:color="auto"/>
              <w:left w:val="nil"/>
              <w:bottom w:val="single" w:sz="8" w:space="0" w:color="auto"/>
              <w:right w:val="single" w:sz="8" w:space="0" w:color="auto"/>
            </w:tcBorders>
            <w:shd w:val="clear" w:color="000000" w:fill="F2DBDB"/>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1.6-3</w:t>
            </w:r>
          </w:p>
        </w:tc>
        <w:tc>
          <w:tcPr>
            <w:tcW w:w="1220" w:type="dxa"/>
            <w:tcBorders>
              <w:top w:val="single" w:sz="8" w:space="0" w:color="auto"/>
              <w:left w:val="nil"/>
              <w:bottom w:val="single" w:sz="8" w:space="0" w:color="auto"/>
              <w:right w:val="single" w:sz="8" w:space="0" w:color="auto"/>
            </w:tcBorders>
            <w:shd w:val="clear" w:color="000000" w:fill="D6E3BC"/>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0.5-0.8</w:t>
            </w:r>
          </w:p>
        </w:tc>
        <w:tc>
          <w:tcPr>
            <w:tcW w:w="1060" w:type="dxa"/>
            <w:tcBorders>
              <w:top w:val="single" w:sz="8" w:space="0" w:color="auto"/>
              <w:left w:val="nil"/>
              <w:bottom w:val="single" w:sz="8" w:space="0" w:color="auto"/>
              <w:right w:val="single" w:sz="8" w:space="0" w:color="auto"/>
            </w:tcBorders>
            <w:shd w:val="clear" w:color="000000" w:fill="76923C"/>
            <w:noWrap/>
            <w:vAlign w:val="center"/>
            <w:hideMark/>
          </w:tcPr>
          <w:p w:rsidR="009C6966" w:rsidRPr="009C6966" w:rsidRDefault="009C6966" w:rsidP="009C6966">
            <w:pPr>
              <w:spacing w:after="0" w:line="240" w:lineRule="auto"/>
              <w:jc w:val="center"/>
              <w:rPr>
                <w:rFonts w:ascii="Calibri" w:eastAsia="Times New Roman" w:hAnsi="Calibri" w:cs="Times New Roman"/>
                <w:color w:val="000000"/>
                <w:lang w:val="de-DE" w:eastAsia="de-DE"/>
              </w:rPr>
            </w:pPr>
            <w:r w:rsidRPr="009C6966">
              <w:rPr>
                <w:rFonts w:ascii="Calibri" w:eastAsia="Times New Roman" w:hAnsi="Calibri" w:cs="Times New Roman"/>
                <w:color w:val="000000"/>
                <w:lang w:val="de-DE" w:eastAsia="de-DE"/>
              </w:rPr>
              <w:t>≤ 0.5</w:t>
            </w:r>
            <w:r w:rsidRPr="009C6966">
              <w:rPr>
                <w:rFonts w:ascii="Arial" w:eastAsia="Times New Roman" w:hAnsi="Arial" w:cs="Arial"/>
                <w:color w:val="000000"/>
                <w:sz w:val="16"/>
                <w:szCs w:val="16"/>
                <w:lang w:val="de-DE" w:eastAsia="de-DE"/>
              </w:rPr>
              <w:t> </w:t>
            </w:r>
          </w:p>
        </w:tc>
        <w:tc>
          <w:tcPr>
            <w:tcW w:w="1220" w:type="dxa"/>
            <w:tcBorders>
              <w:top w:val="nil"/>
              <w:left w:val="nil"/>
              <w:bottom w:val="nil"/>
              <w:right w:val="nil"/>
            </w:tcBorders>
            <w:shd w:val="clear" w:color="auto" w:fill="auto"/>
            <w:noWrap/>
            <w:vAlign w:val="bottom"/>
            <w:hideMark/>
          </w:tcPr>
          <w:p w:rsidR="009C6966" w:rsidRPr="009C6966" w:rsidRDefault="009C6966" w:rsidP="009C6966">
            <w:pPr>
              <w:spacing w:after="0" w:line="240" w:lineRule="auto"/>
              <w:rPr>
                <w:rFonts w:ascii="Calibri" w:eastAsia="Times New Roman" w:hAnsi="Calibri" w:cs="Times New Roman"/>
                <w:color w:val="000000"/>
                <w:lang w:val="de-DE" w:eastAsia="de-DE"/>
              </w:rPr>
            </w:pPr>
          </w:p>
        </w:tc>
        <w:tc>
          <w:tcPr>
            <w:tcW w:w="1120" w:type="dxa"/>
            <w:tcBorders>
              <w:top w:val="nil"/>
              <w:left w:val="nil"/>
              <w:bottom w:val="nil"/>
              <w:right w:val="nil"/>
            </w:tcBorders>
            <w:shd w:val="clear" w:color="auto" w:fill="auto"/>
            <w:noWrap/>
            <w:vAlign w:val="bottom"/>
            <w:hideMark/>
          </w:tcPr>
          <w:p w:rsidR="009C6966" w:rsidRPr="009C6966" w:rsidRDefault="009C6966" w:rsidP="009C6966">
            <w:pPr>
              <w:spacing w:after="0" w:line="240" w:lineRule="auto"/>
              <w:rPr>
                <w:rFonts w:ascii="Calibri" w:eastAsia="Times New Roman" w:hAnsi="Calibri" w:cs="Times New Roman"/>
                <w:color w:val="000000"/>
                <w:lang w:val="de-DE" w:eastAsia="de-DE"/>
              </w:rPr>
            </w:pPr>
          </w:p>
        </w:tc>
        <w:tc>
          <w:tcPr>
            <w:tcW w:w="1100" w:type="dxa"/>
            <w:tcBorders>
              <w:top w:val="nil"/>
              <w:left w:val="nil"/>
              <w:bottom w:val="nil"/>
              <w:right w:val="nil"/>
            </w:tcBorders>
            <w:shd w:val="clear" w:color="auto" w:fill="auto"/>
            <w:noWrap/>
            <w:vAlign w:val="bottom"/>
            <w:hideMark/>
          </w:tcPr>
          <w:p w:rsidR="009C6966" w:rsidRPr="009C6966" w:rsidRDefault="009C6966" w:rsidP="009C6966">
            <w:pPr>
              <w:spacing w:after="0" w:line="240" w:lineRule="auto"/>
              <w:rPr>
                <w:rFonts w:ascii="Calibri" w:eastAsia="Times New Roman" w:hAnsi="Calibri" w:cs="Times New Roman"/>
                <w:color w:val="000000"/>
                <w:lang w:val="de-DE" w:eastAsia="de-DE"/>
              </w:rPr>
            </w:pPr>
          </w:p>
        </w:tc>
      </w:tr>
    </w:tbl>
    <w:p w:rsidR="008255C2" w:rsidRDefault="008255C2" w:rsidP="008255C2">
      <w:pPr>
        <w:spacing w:after="0" w:line="360" w:lineRule="auto"/>
        <w:jc w:val="both"/>
        <w:rPr>
          <w:b/>
          <w:sz w:val="16"/>
          <w:szCs w:val="16"/>
        </w:rPr>
      </w:pPr>
    </w:p>
    <w:p w:rsidR="00E03603" w:rsidRPr="006E436D" w:rsidRDefault="00E03603" w:rsidP="009A36CA">
      <w:pPr>
        <w:pStyle w:val="Beschriftung"/>
        <w:keepNext/>
        <w:spacing w:after="0" w:line="360" w:lineRule="auto"/>
        <w:jc w:val="both"/>
        <w:rPr>
          <w:color w:val="auto"/>
        </w:rPr>
      </w:pPr>
      <w:bookmarkStart w:id="108" w:name="_Toc419386449"/>
      <w:proofErr w:type="gramStart"/>
      <w:r w:rsidRPr="006E436D">
        <w:rPr>
          <w:color w:val="auto"/>
        </w:rPr>
        <w:t xml:space="preserve">Table </w:t>
      </w:r>
      <w:r w:rsidRPr="006E436D">
        <w:rPr>
          <w:color w:val="auto"/>
        </w:rPr>
        <w:fldChar w:fldCharType="begin"/>
      </w:r>
      <w:r w:rsidRPr="006E436D">
        <w:rPr>
          <w:color w:val="auto"/>
        </w:rPr>
        <w:instrText xml:space="preserve"> SEQ Table \* ARABIC </w:instrText>
      </w:r>
      <w:r w:rsidRPr="006E436D">
        <w:rPr>
          <w:color w:val="auto"/>
        </w:rPr>
        <w:fldChar w:fldCharType="separate"/>
      </w:r>
      <w:r w:rsidR="00CB17FE">
        <w:rPr>
          <w:noProof/>
          <w:color w:val="auto"/>
        </w:rPr>
        <w:t>5</w:t>
      </w:r>
      <w:r w:rsidRPr="006E436D">
        <w:rPr>
          <w:color w:val="auto"/>
        </w:rPr>
        <w:fldChar w:fldCharType="end"/>
      </w:r>
      <w:r w:rsidR="006C6340">
        <w:rPr>
          <w:color w:val="auto"/>
        </w:rPr>
        <w:t>.</w:t>
      </w:r>
      <w:proofErr w:type="gramEnd"/>
      <w:r w:rsidRPr="006E436D">
        <w:rPr>
          <w:color w:val="auto"/>
        </w:rPr>
        <w:t xml:space="preserve"> </w:t>
      </w:r>
      <w:proofErr w:type="gramStart"/>
      <w:r w:rsidRPr="006E436D">
        <w:rPr>
          <w:color w:val="auto"/>
        </w:rPr>
        <w:t xml:space="preserve">Accumulation of unknown metabolites in </w:t>
      </w:r>
      <w:r w:rsidRPr="006E436D">
        <w:rPr>
          <w:i/>
          <w:color w:val="auto"/>
        </w:rPr>
        <w:t>Arabidopsis</w:t>
      </w:r>
      <w:r w:rsidRPr="006E436D">
        <w:rPr>
          <w:color w:val="auto"/>
        </w:rPr>
        <w:t xml:space="preserve"> after infection with different pathogens.</w:t>
      </w:r>
      <w:bookmarkEnd w:id="108"/>
      <w:proofErr w:type="gramEnd"/>
      <w:r w:rsidRPr="006E436D">
        <w:rPr>
          <w:color w:val="auto"/>
        </w:rPr>
        <w:t xml:space="preserve"> </w:t>
      </w:r>
    </w:p>
    <w:p w:rsidR="0024359A" w:rsidRPr="006E436D" w:rsidRDefault="00E03603" w:rsidP="00501072">
      <w:pPr>
        <w:pStyle w:val="Beschriftung"/>
        <w:keepNext/>
        <w:jc w:val="both"/>
        <w:rPr>
          <w:b w:val="0"/>
          <w:color w:val="auto"/>
        </w:rPr>
      </w:pPr>
      <w:r w:rsidRPr="006E436D">
        <w:rPr>
          <w:b w:val="0"/>
          <w:color w:val="auto"/>
        </w:rPr>
        <w:t xml:space="preserve">Accumulation of unknown metabolites in </w:t>
      </w:r>
      <w:r w:rsidRPr="006E436D">
        <w:rPr>
          <w:b w:val="0"/>
          <w:i/>
          <w:color w:val="auto"/>
        </w:rPr>
        <w:t>A.</w:t>
      </w:r>
      <w:r w:rsidR="009A36CA">
        <w:rPr>
          <w:b w:val="0"/>
          <w:i/>
          <w:color w:val="auto"/>
        </w:rPr>
        <w:t xml:space="preserve"> </w:t>
      </w:r>
      <w:r w:rsidRPr="006E436D">
        <w:rPr>
          <w:b w:val="0"/>
          <w:i/>
          <w:color w:val="auto"/>
        </w:rPr>
        <w:t>thaliana</w:t>
      </w:r>
      <w:r w:rsidRPr="006E436D">
        <w:rPr>
          <w:b w:val="0"/>
          <w:color w:val="auto"/>
        </w:rPr>
        <w:t xml:space="preserve"> after infection with </w:t>
      </w:r>
      <w:r w:rsidR="00C62CAF" w:rsidRPr="006E436D">
        <w:rPr>
          <w:b w:val="0"/>
          <w:i/>
          <w:color w:val="auto"/>
        </w:rPr>
        <w:t>P.</w:t>
      </w:r>
      <w:r w:rsidR="009A36CA">
        <w:rPr>
          <w:b w:val="0"/>
          <w:i/>
          <w:color w:val="auto"/>
        </w:rPr>
        <w:t xml:space="preserve"> </w:t>
      </w:r>
      <w:r w:rsidR="00C62CAF" w:rsidRPr="006E436D">
        <w:rPr>
          <w:b w:val="0"/>
          <w:i/>
          <w:color w:val="auto"/>
        </w:rPr>
        <w:t>syringae</w:t>
      </w:r>
      <w:r w:rsidRPr="006E436D">
        <w:rPr>
          <w:b w:val="0"/>
          <w:i/>
          <w:color w:val="auto"/>
        </w:rPr>
        <w:t>, B.</w:t>
      </w:r>
      <w:r w:rsidR="009A36CA">
        <w:rPr>
          <w:b w:val="0"/>
          <w:i/>
          <w:color w:val="auto"/>
        </w:rPr>
        <w:t xml:space="preserve"> </w:t>
      </w:r>
      <w:r w:rsidRPr="006E436D">
        <w:rPr>
          <w:b w:val="0"/>
          <w:i/>
          <w:color w:val="auto"/>
        </w:rPr>
        <w:t>cinerea, H.</w:t>
      </w:r>
      <w:r w:rsidR="009A36CA">
        <w:rPr>
          <w:b w:val="0"/>
          <w:i/>
          <w:color w:val="auto"/>
        </w:rPr>
        <w:t xml:space="preserve"> </w:t>
      </w:r>
      <w:r w:rsidRPr="006E436D">
        <w:rPr>
          <w:b w:val="0"/>
          <w:i/>
          <w:color w:val="auto"/>
        </w:rPr>
        <w:t>arabidopsidis</w:t>
      </w:r>
      <w:r w:rsidRPr="006E436D">
        <w:rPr>
          <w:b w:val="0"/>
          <w:color w:val="auto"/>
        </w:rPr>
        <w:t xml:space="preserve">, and </w:t>
      </w:r>
      <w:r w:rsidRPr="006E436D">
        <w:rPr>
          <w:b w:val="0"/>
          <w:i/>
          <w:color w:val="auto"/>
        </w:rPr>
        <w:t>G.</w:t>
      </w:r>
      <w:r w:rsidR="009A36CA">
        <w:rPr>
          <w:b w:val="0"/>
          <w:i/>
          <w:color w:val="auto"/>
        </w:rPr>
        <w:t xml:space="preserve"> </w:t>
      </w:r>
      <w:r w:rsidRPr="006E436D">
        <w:rPr>
          <w:b w:val="0"/>
          <w:i/>
          <w:color w:val="auto"/>
        </w:rPr>
        <w:t>orontii</w:t>
      </w:r>
      <w:r w:rsidRPr="006E436D">
        <w:rPr>
          <w:b w:val="0"/>
          <w:color w:val="auto"/>
        </w:rPr>
        <w:t xml:space="preserve"> was analysed and fold-change ratio for each metabolite determined. As no correction factors for the unknown substances were identified yet, a correction factor of 1 was assumed and the relative amount per g FW calculated. Significant statistical differences between non-infected and infected plants are marked by asterisks (two-tailed t test; *, P&lt; 0.05; **, P&lt; 0.01; ***, P&lt; 0.001). SM, Sabour &amp; Maltose medium; </w:t>
      </w:r>
      <w:proofErr w:type="gramStart"/>
      <w:r w:rsidRPr="006E436D">
        <w:rPr>
          <w:b w:val="0"/>
          <w:color w:val="auto"/>
        </w:rPr>
        <w:t>nt</w:t>
      </w:r>
      <w:proofErr w:type="gramEnd"/>
      <w:r w:rsidRPr="006E436D">
        <w:rPr>
          <w:b w:val="0"/>
          <w:color w:val="auto"/>
        </w:rPr>
        <w:t>,</w:t>
      </w:r>
      <w:r w:rsidR="00501072" w:rsidRPr="006E436D">
        <w:rPr>
          <w:b w:val="0"/>
          <w:color w:val="auto"/>
        </w:rPr>
        <w:t xml:space="preserve"> not treated; FW, fresh weight.</w:t>
      </w:r>
    </w:p>
    <w:tbl>
      <w:tblPr>
        <w:tblW w:w="14820" w:type="dxa"/>
        <w:tblInd w:w="55" w:type="dxa"/>
        <w:tblCellMar>
          <w:left w:w="70" w:type="dxa"/>
          <w:right w:w="70" w:type="dxa"/>
        </w:tblCellMar>
        <w:tblLook w:val="04A0" w:firstRow="1" w:lastRow="0" w:firstColumn="1" w:lastColumn="0" w:noHBand="0" w:noVBand="1"/>
      </w:tblPr>
      <w:tblGrid>
        <w:gridCol w:w="1480"/>
        <w:gridCol w:w="1180"/>
        <w:gridCol w:w="1140"/>
        <w:gridCol w:w="820"/>
        <w:gridCol w:w="1460"/>
        <w:gridCol w:w="1300"/>
        <w:gridCol w:w="880"/>
        <w:gridCol w:w="1340"/>
        <w:gridCol w:w="1060"/>
        <w:gridCol w:w="720"/>
        <w:gridCol w:w="1360"/>
        <w:gridCol w:w="1240"/>
        <w:gridCol w:w="840"/>
      </w:tblGrid>
      <w:tr w:rsidR="00501072" w:rsidRPr="00501072" w:rsidTr="00501072">
        <w:trPr>
          <w:trHeight w:val="300"/>
        </w:trPr>
        <w:tc>
          <w:tcPr>
            <w:tcW w:w="1480"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501072" w:rsidRPr="00501072" w:rsidRDefault="00501072" w:rsidP="00501072">
            <w:pPr>
              <w:spacing w:after="0" w:line="240" w:lineRule="auto"/>
              <w:rPr>
                <w:rFonts w:ascii="Calibri" w:eastAsia="Times New Roman" w:hAnsi="Calibri" w:cs="Times New Roman"/>
                <w:b/>
                <w:bCs/>
                <w:color w:val="000000"/>
                <w:lang w:val="de-DE" w:eastAsia="de-DE"/>
              </w:rPr>
            </w:pPr>
            <w:r w:rsidRPr="00501072">
              <w:rPr>
                <w:rFonts w:ascii="Calibri" w:eastAsia="Times New Roman" w:hAnsi="Calibri" w:cs="Times New Roman"/>
                <w:b/>
                <w:bCs/>
                <w:color w:val="000000"/>
                <w:lang w:val="de-DE" w:eastAsia="de-DE"/>
              </w:rPr>
              <w:t>Pathogen</w:t>
            </w:r>
          </w:p>
        </w:tc>
        <w:tc>
          <w:tcPr>
            <w:tcW w:w="3140" w:type="dxa"/>
            <w:gridSpan w:val="3"/>
            <w:tcBorders>
              <w:top w:val="single" w:sz="4" w:space="0" w:color="auto"/>
              <w:left w:val="nil"/>
              <w:bottom w:val="single" w:sz="4" w:space="0" w:color="000000"/>
              <w:right w:val="single" w:sz="4" w:space="0" w:color="auto"/>
            </w:tcBorders>
            <w:shd w:val="clear" w:color="auto" w:fill="auto"/>
            <w:vAlign w:val="bottom"/>
            <w:hideMark/>
          </w:tcPr>
          <w:p w:rsidR="00501072" w:rsidRPr="00501072" w:rsidRDefault="00501072" w:rsidP="00501072">
            <w:pPr>
              <w:spacing w:after="0" w:line="240" w:lineRule="auto"/>
              <w:jc w:val="center"/>
              <w:rPr>
                <w:rFonts w:ascii="Calibri" w:eastAsia="Times New Roman" w:hAnsi="Calibri" w:cs="Times New Roman"/>
                <w:b/>
                <w:bCs/>
                <w:color w:val="000000"/>
                <w:lang w:val="de-DE" w:eastAsia="de-DE"/>
              </w:rPr>
            </w:pPr>
            <w:r w:rsidRPr="00501072">
              <w:rPr>
                <w:rFonts w:ascii="Calibri" w:eastAsia="Times New Roman" w:hAnsi="Calibri" w:cs="Times New Roman"/>
                <w:b/>
                <w:bCs/>
                <w:i/>
                <w:iCs/>
                <w:color w:val="000000"/>
                <w:lang w:val="de-DE" w:eastAsia="de-DE"/>
              </w:rPr>
              <w:t>Psm</w:t>
            </w:r>
            <w:r w:rsidR="00A60C41">
              <w:rPr>
                <w:rFonts w:ascii="Calibri" w:eastAsia="Times New Roman" w:hAnsi="Calibri" w:cs="Times New Roman"/>
                <w:b/>
                <w:bCs/>
                <w:color w:val="000000"/>
                <w:lang w:val="de-DE" w:eastAsia="de-DE"/>
              </w:rPr>
              <w:t>-</w:t>
            </w:r>
            <w:r w:rsidRPr="00501072">
              <w:rPr>
                <w:rFonts w:ascii="Calibri" w:eastAsia="Times New Roman" w:hAnsi="Calibri" w:cs="Times New Roman"/>
                <w:b/>
                <w:bCs/>
                <w:color w:val="000000"/>
                <w:lang w:val="de-DE" w:eastAsia="de-DE"/>
              </w:rPr>
              <w:t>inoculated leaves (2 dpi)</w:t>
            </w:r>
          </w:p>
        </w:tc>
        <w:tc>
          <w:tcPr>
            <w:tcW w:w="3640" w:type="dxa"/>
            <w:gridSpan w:val="3"/>
            <w:tcBorders>
              <w:top w:val="single" w:sz="4" w:space="0" w:color="auto"/>
              <w:left w:val="nil"/>
              <w:bottom w:val="single" w:sz="4" w:space="0" w:color="000000"/>
              <w:right w:val="single" w:sz="4" w:space="0" w:color="auto"/>
            </w:tcBorders>
            <w:shd w:val="clear" w:color="auto" w:fill="auto"/>
            <w:vAlign w:val="bottom"/>
            <w:hideMark/>
          </w:tcPr>
          <w:p w:rsidR="00501072" w:rsidRPr="00501072" w:rsidRDefault="00501072" w:rsidP="00501072">
            <w:pPr>
              <w:spacing w:after="0" w:line="240" w:lineRule="auto"/>
              <w:jc w:val="center"/>
              <w:rPr>
                <w:rFonts w:ascii="Calibri" w:eastAsia="Times New Roman" w:hAnsi="Calibri" w:cs="Times New Roman"/>
                <w:b/>
                <w:bCs/>
                <w:color w:val="000000"/>
                <w:lang w:val="en-US" w:eastAsia="de-DE"/>
              </w:rPr>
            </w:pPr>
            <w:r w:rsidRPr="00501072">
              <w:rPr>
                <w:rFonts w:ascii="Calibri" w:eastAsia="Times New Roman" w:hAnsi="Calibri" w:cs="Times New Roman"/>
                <w:b/>
                <w:bCs/>
                <w:i/>
                <w:iCs/>
                <w:color w:val="000000"/>
                <w:lang w:val="en-US" w:eastAsia="de-DE"/>
              </w:rPr>
              <w:t>B.cinerea</w:t>
            </w:r>
            <w:r w:rsidR="00A60C41">
              <w:rPr>
                <w:rFonts w:ascii="Calibri" w:eastAsia="Times New Roman" w:hAnsi="Calibri" w:cs="Times New Roman"/>
                <w:b/>
                <w:bCs/>
                <w:color w:val="000000"/>
                <w:lang w:val="en-US" w:eastAsia="de-DE"/>
              </w:rPr>
              <w:t>-</w:t>
            </w:r>
            <w:r w:rsidRPr="00501072">
              <w:rPr>
                <w:rFonts w:ascii="Calibri" w:eastAsia="Times New Roman" w:hAnsi="Calibri" w:cs="Times New Roman"/>
                <w:b/>
                <w:bCs/>
                <w:color w:val="000000"/>
                <w:lang w:val="en-US" w:eastAsia="de-DE"/>
              </w:rPr>
              <w:t>inoculated leaves (3 dpi)</w:t>
            </w:r>
          </w:p>
        </w:tc>
        <w:tc>
          <w:tcPr>
            <w:tcW w:w="3120" w:type="dxa"/>
            <w:gridSpan w:val="3"/>
            <w:tcBorders>
              <w:top w:val="single" w:sz="4" w:space="0" w:color="auto"/>
              <w:left w:val="nil"/>
              <w:bottom w:val="single" w:sz="4" w:space="0" w:color="000000"/>
              <w:right w:val="single" w:sz="4" w:space="0" w:color="auto"/>
            </w:tcBorders>
            <w:shd w:val="clear" w:color="auto" w:fill="auto"/>
            <w:vAlign w:val="bottom"/>
            <w:hideMark/>
          </w:tcPr>
          <w:p w:rsidR="00501072" w:rsidRPr="00501072" w:rsidRDefault="00501072" w:rsidP="00501072">
            <w:pPr>
              <w:spacing w:after="0" w:line="240" w:lineRule="auto"/>
              <w:jc w:val="center"/>
              <w:rPr>
                <w:rFonts w:ascii="Calibri" w:eastAsia="Times New Roman" w:hAnsi="Calibri" w:cs="Times New Roman"/>
                <w:b/>
                <w:bCs/>
                <w:color w:val="000000"/>
                <w:lang w:val="de-DE" w:eastAsia="de-DE"/>
              </w:rPr>
            </w:pPr>
            <w:r w:rsidRPr="00501072">
              <w:rPr>
                <w:rFonts w:ascii="Calibri" w:eastAsia="Times New Roman" w:hAnsi="Calibri" w:cs="Times New Roman"/>
                <w:b/>
                <w:bCs/>
                <w:i/>
                <w:iCs/>
                <w:color w:val="000000"/>
                <w:lang w:val="de-DE" w:eastAsia="de-DE"/>
              </w:rPr>
              <w:t>Hpa</w:t>
            </w:r>
            <w:r w:rsidR="00A60C41">
              <w:rPr>
                <w:rFonts w:ascii="Calibri" w:eastAsia="Times New Roman" w:hAnsi="Calibri" w:cs="Times New Roman"/>
                <w:b/>
                <w:bCs/>
                <w:color w:val="000000"/>
                <w:lang w:val="de-DE" w:eastAsia="de-DE"/>
              </w:rPr>
              <w:t>-</w:t>
            </w:r>
            <w:r w:rsidRPr="00501072">
              <w:rPr>
                <w:rFonts w:ascii="Calibri" w:eastAsia="Times New Roman" w:hAnsi="Calibri" w:cs="Times New Roman"/>
                <w:b/>
                <w:bCs/>
                <w:color w:val="000000"/>
                <w:lang w:val="de-DE" w:eastAsia="de-DE"/>
              </w:rPr>
              <w:t>sprayed leaves (7 dpi)</w:t>
            </w:r>
          </w:p>
        </w:tc>
        <w:tc>
          <w:tcPr>
            <w:tcW w:w="3440" w:type="dxa"/>
            <w:gridSpan w:val="3"/>
            <w:tcBorders>
              <w:top w:val="single" w:sz="4" w:space="0" w:color="auto"/>
              <w:left w:val="nil"/>
              <w:bottom w:val="single" w:sz="4" w:space="0" w:color="000000"/>
              <w:right w:val="single" w:sz="4" w:space="0" w:color="auto"/>
            </w:tcBorders>
            <w:shd w:val="clear" w:color="auto" w:fill="auto"/>
            <w:vAlign w:val="bottom"/>
            <w:hideMark/>
          </w:tcPr>
          <w:p w:rsidR="00501072" w:rsidRPr="00501072" w:rsidRDefault="00501072" w:rsidP="00501072">
            <w:pPr>
              <w:spacing w:after="0" w:line="240" w:lineRule="auto"/>
              <w:jc w:val="center"/>
              <w:rPr>
                <w:rFonts w:ascii="Calibri" w:eastAsia="Times New Roman" w:hAnsi="Calibri" w:cs="Times New Roman"/>
                <w:b/>
                <w:bCs/>
                <w:color w:val="000000"/>
                <w:lang w:val="en-US" w:eastAsia="de-DE"/>
              </w:rPr>
            </w:pPr>
            <w:r w:rsidRPr="00501072">
              <w:rPr>
                <w:rFonts w:ascii="Calibri" w:eastAsia="Times New Roman" w:hAnsi="Calibri" w:cs="Times New Roman"/>
                <w:b/>
                <w:bCs/>
                <w:i/>
                <w:iCs/>
                <w:color w:val="000000"/>
                <w:lang w:val="en-US" w:eastAsia="de-DE"/>
              </w:rPr>
              <w:t>G.orontii</w:t>
            </w:r>
            <w:r w:rsidR="00A60C41">
              <w:rPr>
                <w:rFonts w:ascii="Calibri" w:eastAsia="Times New Roman" w:hAnsi="Calibri" w:cs="Times New Roman"/>
                <w:b/>
                <w:bCs/>
                <w:color w:val="000000"/>
                <w:lang w:val="en-US" w:eastAsia="de-DE"/>
              </w:rPr>
              <w:t>-</w:t>
            </w:r>
            <w:r w:rsidRPr="00501072">
              <w:rPr>
                <w:rFonts w:ascii="Calibri" w:eastAsia="Times New Roman" w:hAnsi="Calibri" w:cs="Times New Roman"/>
                <w:b/>
                <w:bCs/>
                <w:color w:val="000000"/>
                <w:lang w:val="en-US" w:eastAsia="de-DE"/>
              </w:rPr>
              <w:t>infected leaves (3 dpi)</w:t>
            </w:r>
          </w:p>
        </w:tc>
      </w:tr>
      <w:tr w:rsidR="00501072" w:rsidRPr="00501072" w:rsidTr="00501072">
        <w:trPr>
          <w:trHeight w:val="300"/>
        </w:trPr>
        <w:tc>
          <w:tcPr>
            <w:tcW w:w="1480" w:type="dxa"/>
            <w:vMerge/>
            <w:tcBorders>
              <w:top w:val="single" w:sz="4" w:space="0" w:color="auto"/>
              <w:left w:val="single" w:sz="4" w:space="0" w:color="auto"/>
              <w:bottom w:val="single" w:sz="4" w:space="0" w:color="000000"/>
              <w:right w:val="single" w:sz="4" w:space="0" w:color="auto"/>
            </w:tcBorders>
            <w:vAlign w:val="center"/>
            <w:hideMark/>
          </w:tcPr>
          <w:p w:rsidR="00501072" w:rsidRPr="00501072" w:rsidRDefault="00501072" w:rsidP="00501072">
            <w:pPr>
              <w:spacing w:after="0" w:line="240" w:lineRule="auto"/>
              <w:rPr>
                <w:rFonts w:ascii="Calibri" w:eastAsia="Times New Roman" w:hAnsi="Calibri" w:cs="Times New Roman"/>
                <w:b/>
                <w:bCs/>
                <w:color w:val="000000"/>
                <w:lang w:val="en-US" w:eastAsia="de-DE"/>
              </w:rPr>
            </w:pPr>
          </w:p>
        </w:tc>
        <w:tc>
          <w:tcPr>
            <w:tcW w:w="2320" w:type="dxa"/>
            <w:gridSpan w:val="2"/>
            <w:tcBorders>
              <w:top w:val="single" w:sz="4" w:space="0" w:color="auto"/>
              <w:left w:val="nil"/>
              <w:bottom w:val="nil"/>
              <w:right w:val="single" w:sz="4" w:space="0" w:color="000000"/>
            </w:tcBorders>
            <w:shd w:val="clear" w:color="auto" w:fill="auto"/>
            <w:vAlign w:val="bottom"/>
            <w:hideMark/>
          </w:tcPr>
          <w:p w:rsidR="00501072" w:rsidRPr="00501072" w:rsidRDefault="00501072" w:rsidP="00501072">
            <w:pPr>
              <w:spacing w:after="0" w:line="240" w:lineRule="auto"/>
              <w:jc w:val="center"/>
              <w:rPr>
                <w:rFonts w:ascii="Calibri" w:eastAsia="Times New Roman" w:hAnsi="Calibri" w:cs="Times New Roman"/>
                <w:b/>
                <w:bCs/>
                <w:color w:val="000000"/>
                <w:lang w:val="de-DE" w:eastAsia="de-DE"/>
              </w:rPr>
            </w:pPr>
            <w:r w:rsidRPr="00501072">
              <w:rPr>
                <w:rFonts w:ascii="Calibri" w:eastAsia="Times New Roman" w:hAnsi="Calibri" w:cs="Times New Roman"/>
                <w:b/>
                <w:bCs/>
                <w:color w:val="000000"/>
                <w:lang w:val="de-DE" w:eastAsia="de-DE"/>
              </w:rPr>
              <w:t>µg g</w:t>
            </w:r>
            <w:r w:rsidRPr="00501072">
              <w:rPr>
                <w:rFonts w:ascii="Calibri" w:eastAsia="Times New Roman" w:hAnsi="Calibri" w:cs="Times New Roman"/>
                <w:b/>
                <w:bCs/>
                <w:color w:val="000000"/>
                <w:vertAlign w:val="superscript"/>
                <w:lang w:val="de-DE" w:eastAsia="de-DE"/>
              </w:rPr>
              <w:t>-1</w:t>
            </w:r>
            <w:r w:rsidRPr="00501072">
              <w:rPr>
                <w:rFonts w:ascii="Calibri" w:eastAsia="Times New Roman" w:hAnsi="Calibri" w:cs="Times New Roman"/>
                <w:b/>
                <w:bCs/>
                <w:color w:val="000000"/>
                <w:lang w:val="de-DE" w:eastAsia="de-DE"/>
              </w:rPr>
              <w:t xml:space="preserve"> FW</w:t>
            </w:r>
          </w:p>
        </w:tc>
        <w:tc>
          <w:tcPr>
            <w:tcW w:w="820" w:type="dxa"/>
            <w:vMerge w:val="restart"/>
            <w:tcBorders>
              <w:top w:val="nil"/>
              <w:left w:val="single" w:sz="4" w:space="0" w:color="auto"/>
              <w:bottom w:val="single" w:sz="4" w:space="0" w:color="000000"/>
              <w:right w:val="single" w:sz="4" w:space="0" w:color="auto"/>
            </w:tcBorders>
            <w:shd w:val="clear" w:color="auto" w:fill="auto"/>
            <w:vAlign w:val="center"/>
            <w:hideMark/>
          </w:tcPr>
          <w:p w:rsidR="00501072" w:rsidRPr="00501072" w:rsidRDefault="00501072" w:rsidP="00501072">
            <w:pPr>
              <w:spacing w:after="0" w:line="240" w:lineRule="auto"/>
              <w:jc w:val="center"/>
              <w:rPr>
                <w:rFonts w:ascii="Calibri" w:eastAsia="Times New Roman" w:hAnsi="Calibri" w:cs="Times New Roman"/>
                <w:b/>
                <w:bCs/>
                <w:color w:val="000000"/>
                <w:lang w:val="de-DE" w:eastAsia="de-DE"/>
              </w:rPr>
            </w:pPr>
            <w:r w:rsidRPr="00501072">
              <w:rPr>
                <w:rFonts w:ascii="Calibri" w:eastAsia="Times New Roman" w:hAnsi="Calibri" w:cs="Times New Roman"/>
                <w:b/>
                <w:bCs/>
                <w:color w:val="000000"/>
                <w:lang w:val="de-DE" w:eastAsia="de-DE"/>
              </w:rPr>
              <w:t>ratio        P/M</w:t>
            </w:r>
          </w:p>
        </w:tc>
        <w:tc>
          <w:tcPr>
            <w:tcW w:w="2760" w:type="dxa"/>
            <w:gridSpan w:val="2"/>
            <w:tcBorders>
              <w:top w:val="single" w:sz="4" w:space="0" w:color="auto"/>
              <w:left w:val="nil"/>
              <w:bottom w:val="nil"/>
              <w:right w:val="single" w:sz="4" w:space="0" w:color="000000"/>
            </w:tcBorders>
            <w:shd w:val="clear" w:color="auto" w:fill="auto"/>
            <w:vAlign w:val="bottom"/>
            <w:hideMark/>
          </w:tcPr>
          <w:p w:rsidR="00501072" w:rsidRPr="00501072" w:rsidRDefault="00501072" w:rsidP="00501072">
            <w:pPr>
              <w:spacing w:after="0" w:line="240" w:lineRule="auto"/>
              <w:jc w:val="center"/>
              <w:rPr>
                <w:rFonts w:ascii="Calibri" w:eastAsia="Times New Roman" w:hAnsi="Calibri" w:cs="Times New Roman"/>
                <w:b/>
                <w:bCs/>
                <w:color w:val="000000"/>
                <w:lang w:val="de-DE" w:eastAsia="de-DE"/>
              </w:rPr>
            </w:pPr>
            <w:r w:rsidRPr="00501072">
              <w:rPr>
                <w:rFonts w:ascii="Calibri" w:eastAsia="Times New Roman" w:hAnsi="Calibri" w:cs="Times New Roman"/>
                <w:b/>
                <w:bCs/>
                <w:color w:val="000000"/>
                <w:lang w:val="de-DE" w:eastAsia="de-DE"/>
              </w:rPr>
              <w:t>µg g</w:t>
            </w:r>
            <w:r w:rsidRPr="00501072">
              <w:rPr>
                <w:rFonts w:ascii="Calibri" w:eastAsia="Times New Roman" w:hAnsi="Calibri" w:cs="Times New Roman"/>
                <w:b/>
                <w:bCs/>
                <w:color w:val="000000"/>
                <w:vertAlign w:val="superscript"/>
                <w:lang w:val="de-DE" w:eastAsia="de-DE"/>
              </w:rPr>
              <w:t>-1</w:t>
            </w:r>
            <w:r w:rsidRPr="00501072">
              <w:rPr>
                <w:rFonts w:ascii="Calibri" w:eastAsia="Times New Roman" w:hAnsi="Calibri" w:cs="Times New Roman"/>
                <w:b/>
                <w:bCs/>
                <w:color w:val="000000"/>
                <w:lang w:val="de-DE" w:eastAsia="de-DE"/>
              </w:rPr>
              <w:t xml:space="preserve"> FW</w:t>
            </w:r>
          </w:p>
        </w:tc>
        <w:tc>
          <w:tcPr>
            <w:tcW w:w="880" w:type="dxa"/>
            <w:vMerge w:val="restart"/>
            <w:tcBorders>
              <w:top w:val="nil"/>
              <w:left w:val="single" w:sz="4" w:space="0" w:color="auto"/>
              <w:bottom w:val="single" w:sz="4" w:space="0" w:color="000000"/>
              <w:right w:val="single" w:sz="4" w:space="0" w:color="auto"/>
            </w:tcBorders>
            <w:shd w:val="clear" w:color="auto" w:fill="auto"/>
            <w:vAlign w:val="center"/>
            <w:hideMark/>
          </w:tcPr>
          <w:p w:rsidR="00501072" w:rsidRPr="00501072" w:rsidRDefault="00501072" w:rsidP="00501072">
            <w:pPr>
              <w:spacing w:after="0" w:line="240" w:lineRule="auto"/>
              <w:jc w:val="center"/>
              <w:rPr>
                <w:rFonts w:ascii="Calibri" w:eastAsia="Times New Roman" w:hAnsi="Calibri" w:cs="Times New Roman"/>
                <w:b/>
                <w:bCs/>
                <w:color w:val="000000"/>
                <w:lang w:val="de-DE" w:eastAsia="de-DE"/>
              </w:rPr>
            </w:pPr>
            <w:r w:rsidRPr="00501072">
              <w:rPr>
                <w:rFonts w:ascii="Calibri" w:eastAsia="Times New Roman" w:hAnsi="Calibri" w:cs="Times New Roman"/>
                <w:b/>
                <w:bCs/>
                <w:color w:val="000000"/>
                <w:lang w:val="de-DE" w:eastAsia="de-DE"/>
              </w:rPr>
              <w:t>ratio            P/M</w:t>
            </w:r>
          </w:p>
        </w:tc>
        <w:tc>
          <w:tcPr>
            <w:tcW w:w="2400" w:type="dxa"/>
            <w:gridSpan w:val="2"/>
            <w:tcBorders>
              <w:top w:val="single" w:sz="4" w:space="0" w:color="auto"/>
              <w:left w:val="nil"/>
              <w:bottom w:val="nil"/>
              <w:right w:val="single" w:sz="4" w:space="0" w:color="000000"/>
            </w:tcBorders>
            <w:shd w:val="clear" w:color="auto" w:fill="auto"/>
            <w:vAlign w:val="bottom"/>
            <w:hideMark/>
          </w:tcPr>
          <w:p w:rsidR="00501072" w:rsidRPr="00501072" w:rsidRDefault="00501072" w:rsidP="00501072">
            <w:pPr>
              <w:spacing w:after="0" w:line="240" w:lineRule="auto"/>
              <w:jc w:val="center"/>
              <w:rPr>
                <w:rFonts w:ascii="Calibri" w:eastAsia="Times New Roman" w:hAnsi="Calibri" w:cs="Times New Roman"/>
                <w:b/>
                <w:bCs/>
                <w:color w:val="000000"/>
                <w:lang w:val="de-DE" w:eastAsia="de-DE"/>
              </w:rPr>
            </w:pPr>
            <w:r w:rsidRPr="00501072">
              <w:rPr>
                <w:rFonts w:ascii="Calibri" w:eastAsia="Times New Roman" w:hAnsi="Calibri" w:cs="Times New Roman"/>
                <w:b/>
                <w:bCs/>
                <w:color w:val="000000"/>
                <w:lang w:val="de-DE" w:eastAsia="de-DE"/>
              </w:rPr>
              <w:t>µg g</w:t>
            </w:r>
            <w:r w:rsidRPr="00501072">
              <w:rPr>
                <w:rFonts w:ascii="Calibri" w:eastAsia="Times New Roman" w:hAnsi="Calibri" w:cs="Times New Roman"/>
                <w:b/>
                <w:bCs/>
                <w:color w:val="000000"/>
                <w:vertAlign w:val="superscript"/>
                <w:lang w:val="de-DE" w:eastAsia="de-DE"/>
              </w:rPr>
              <w:t>-1</w:t>
            </w:r>
            <w:r w:rsidRPr="00501072">
              <w:rPr>
                <w:rFonts w:ascii="Calibri" w:eastAsia="Times New Roman" w:hAnsi="Calibri" w:cs="Times New Roman"/>
                <w:b/>
                <w:bCs/>
                <w:color w:val="000000"/>
                <w:lang w:val="de-DE" w:eastAsia="de-DE"/>
              </w:rPr>
              <w:t xml:space="preserve"> FW</w:t>
            </w:r>
          </w:p>
        </w:tc>
        <w:tc>
          <w:tcPr>
            <w:tcW w:w="720" w:type="dxa"/>
            <w:vMerge w:val="restart"/>
            <w:tcBorders>
              <w:top w:val="nil"/>
              <w:left w:val="single" w:sz="4" w:space="0" w:color="auto"/>
              <w:bottom w:val="single" w:sz="4" w:space="0" w:color="000000"/>
              <w:right w:val="single" w:sz="4" w:space="0" w:color="auto"/>
            </w:tcBorders>
            <w:shd w:val="clear" w:color="auto" w:fill="auto"/>
            <w:vAlign w:val="center"/>
            <w:hideMark/>
          </w:tcPr>
          <w:p w:rsidR="00501072" w:rsidRPr="00501072" w:rsidRDefault="00501072" w:rsidP="00501072">
            <w:pPr>
              <w:spacing w:after="0" w:line="240" w:lineRule="auto"/>
              <w:jc w:val="center"/>
              <w:rPr>
                <w:rFonts w:ascii="Calibri" w:eastAsia="Times New Roman" w:hAnsi="Calibri" w:cs="Times New Roman"/>
                <w:b/>
                <w:bCs/>
                <w:color w:val="000000"/>
                <w:lang w:val="de-DE" w:eastAsia="de-DE"/>
              </w:rPr>
            </w:pPr>
            <w:r w:rsidRPr="00501072">
              <w:rPr>
                <w:rFonts w:ascii="Calibri" w:eastAsia="Times New Roman" w:hAnsi="Calibri" w:cs="Times New Roman"/>
                <w:b/>
                <w:bCs/>
                <w:color w:val="000000"/>
                <w:lang w:val="de-DE" w:eastAsia="de-DE"/>
              </w:rPr>
              <w:t>ratio         P/M</w:t>
            </w:r>
          </w:p>
        </w:tc>
        <w:tc>
          <w:tcPr>
            <w:tcW w:w="2600" w:type="dxa"/>
            <w:gridSpan w:val="2"/>
            <w:tcBorders>
              <w:top w:val="single" w:sz="4" w:space="0" w:color="auto"/>
              <w:left w:val="nil"/>
              <w:bottom w:val="nil"/>
              <w:right w:val="single" w:sz="4" w:space="0" w:color="000000"/>
            </w:tcBorders>
            <w:shd w:val="clear" w:color="auto" w:fill="auto"/>
            <w:vAlign w:val="bottom"/>
            <w:hideMark/>
          </w:tcPr>
          <w:p w:rsidR="00501072" w:rsidRPr="00501072" w:rsidRDefault="00501072" w:rsidP="00501072">
            <w:pPr>
              <w:spacing w:after="0" w:line="240" w:lineRule="auto"/>
              <w:jc w:val="center"/>
              <w:rPr>
                <w:rFonts w:ascii="Calibri" w:eastAsia="Times New Roman" w:hAnsi="Calibri" w:cs="Times New Roman"/>
                <w:b/>
                <w:bCs/>
                <w:color w:val="000000"/>
                <w:lang w:val="de-DE" w:eastAsia="de-DE"/>
              </w:rPr>
            </w:pPr>
            <w:r w:rsidRPr="00501072">
              <w:rPr>
                <w:rFonts w:ascii="Calibri" w:eastAsia="Times New Roman" w:hAnsi="Calibri" w:cs="Times New Roman"/>
                <w:b/>
                <w:bCs/>
                <w:color w:val="000000"/>
                <w:lang w:val="de-DE" w:eastAsia="de-DE"/>
              </w:rPr>
              <w:t>µg g</w:t>
            </w:r>
            <w:r w:rsidRPr="00501072">
              <w:rPr>
                <w:rFonts w:ascii="Calibri" w:eastAsia="Times New Roman" w:hAnsi="Calibri" w:cs="Times New Roman"/>
                <w:b/>
                <w:bCs/>
                <w:color w:val="000000"/>
                <w:vertAlign w:val="superscript"/>
                <w:lang w:val="de-DE" w:eastAsia="de-DE"/>
              </w:rPr>
              <w:t>-1</w:t>
            </w:r>
            <w:r w:rsidRPr="00501072">
              <w:rPr>
                <w:rFonts w:ascii="Calibri" w:eastAsia="Times New Roman" w:hAnsi="Calibri" w:cs="Times New Roman"/>
                <w:b/>
                <w:bCs/>
                <w:color w:val="000000"/>
                <w:lang w:val="de-DE" w:eastAsia="de-DE"/>
              </w:rPr>
              <w:t xml:space="preserve"> FW</w:t>
            </w:r>
          </w:p>
        </w:tc>
        <w:tc>
          <w:tcPr>
            <w:tcW w:w="840" w:type="dxa"/>
            <w:vMerge w:val="restart"/>
            <w:tcBorders>
              <w:top w:val="nil"/>
              <w:left w:val="single" w:sz="4" w:space="0" w:color="auto"/>
              <w:bottom w:val="single" w:sz="4" w:space="0" w:color="000000"/>
              <w:right w:val="single" w:sz="4" w:space="0" w:color="auto"/>
            </w:tcBorders>
            <w:shd w:val="clear" w:color="auto" w:fill="auto"/>
            <w:vAlign w:val="center"/>
            <w:hideMark/>
          </w:tcPr>
          <w:p w:rsidR="00501072" w:rsidRPr="00501072" w:rsidRDefault="00501072" w:rsidP="00501072">
            <w:pPr>
              <w:spacing w:after="0" w:line="240" w:lineRule="auto"/>
              <w:jc w:val="center"/>
              <w:rPr>
                <w:rFonts w:ascii="Calibri" w:eastAsia="Times New Roman" w:hAnsi="Calibri" w:cs="Times New Roman"/>
                <w:b/>
                <w:bCs/>
                <w:color w:val="000000"/>
                <w:lang w:val="de-DE" w:eastAsia="de-DE"/>
              </w:rPr>
            </w:pPr>
            <w:r w:rsidRPr="00501072">
              <w:rPr>
                <w:rFonts w:ascii="Calibri" w:eastAsia="Times New Roman" w:hAnsi="Calibri" w:cs="Times New Roman"/>
                <w:b/>
                <w:bCs/>
                <w:color w:val="000000"/>
                <w:lang w:val="de-DE" w:eastAsia="de-DE"/>
              </w:rPr>
              <w:t>ratio P/M</w:t>
            </w:r>
          </w:p>
        </w:tc>
      </w:tr>
      <w:tr w:rsidR="00501072" w:rsidRPr="00501072" w:rsidTr="00501072">
        <w:trPr>
          <w:trHeight w:val="360"/>
        </w:trPr>
        <w:tc>
          <w:tcPr>
            <w:tcW w:w="1480" w:type="dxa"/>
            <w:tcBorders>
              <w:top w:val="nil"/>
              <w:left w:val="single" w:sz="4" w:space="0" w:color="auto"/>
              <w:bottom w:val="single" w:sz="4" w:space="0" w:color="auto"/>
              <w:right w:val="single" w:sz="4" w:space="0" w:color="auto"/>
            </w:tcBorders>
            <w:shd w:val="clear" w:color="auto" w:fill="auto"/>
            <w:vAlign w:val="bottom"/>
            <w:hideMark/>
          </w:tcPr>
          <w:p w:rsidR="00501072" w:rsidRPr="00501072" w:rsidRDefault="00501072" w:rsidP="00501072">
            <w:pPr>
              <w:spacing w:after="0" w:line="240" w:lineRule="auto"/>
              <w:rPr>
                <w:rFonts w:ascii="Calibri" w:eastAsia="Times New Roman" w:hAnsi="Calibri" w:cs="Times New Roman"/>
                <w:b/>
                <w:bCs/>
                <w:color w:val="000000"/>
                <w:lang w:val="de-DE" w:eastAsia="de-DE"/>
              </w:rPr>
            </w:pPr>
            <w:r w:rsidRPr="00501072">
              <w:rPr>
                <w:rFonts w:ascii="Calibri" w:eastAsia="Times New Roman" w:hAnsi="Calibri" w:cs="Times New Roman"/>
                <w:b/>
                <w:bCs/>
                <w:color w:val="000000"/>
                <w:lang w:val="de-DE" w:eastAsia="de-DE"/>
              </w:rPr>
              <w:t>Metabolite</w:t>
            </w:r>
          </w:p>
        </w:tc>
        <w:tc>
          <w:tcPr>
            <w:tcW w:w="1180" w:type="dxa"/>
            <w:tcBorders>
              <w:top w:val="nil"/>
              <w:left w:val="nil"/>
              <w:bottom w:val="single" w:sz="4" w:space="0" w:color="auto"/>
              <w:right w:val="nil"/>
            </w:tcBorders>
            <w:shd w:val="clear" w:color="auto" w:fill="auto"/>
            <w:vAlign w:val="bottom"/>
            <w:hideMark/>
          </w:tcPr>
          <w:p w:rsidR="00501072" w:rsidRPr="00501072" w:rsidRDefault="00501072" w:rsidP="00501072">
            <w:pPr>
              <w:spacing w:after="0" w:line="240" w:lineRule="auto"/>
              <w:jc w:val="center"/>
              <w:rPr>
                <w:rFonts w:ascii="Calibri" w:eastAsia="Times New Roman" w:hAnsi="Calibri" w:cs="Times New Roman"/>
                <w:b/>
                <w:bCs/>
                <w:color w:val="000000"/>
                <w:lang w:val="de-DE" w:eastAsia="de-DE"/>
              </w:rPr>
            </w:pPr>
            <w:r w:rsidRPr="00501072">
              <w:rPr>
                <w:rFonts w:ascii="Calibri" w:eastAsia="Times New Roman" w:hAnsi="Calibri" w:cs="Times New Roman"/>
                <w:b/>
                <w:bCs/>
                <w:color w:val="000000"/>
                <w:lang w:val="de-DE" w:eastAsia="de-DE"/>
              </w:rPr>
              <w:t>MgCl</w:t>
            </w:r>
            <w:r w:rsidRPr="00501072">
              <w:rPr>
                <w:rFonts w:ascii="Calibri" w:eastAsia="Times New Roman" w:hAnsi="Calibri" w:cs="Times New Roman"/>
                <w:b/>
                <w:bCs/>
                <w:color w:val="000000"/>
                <w:vertAlign w:val="subscript"/>
                <w:lang w:val="de-DE" w:eastAsia="de-DE"/>
              </w:rPr>
              <w:t>2</w:t>
            </w:r>
          </w:p>
        </w:tc>
        <w:tc>
          <w:tcPr>
            <w:tcW w:w="1140" w:type="dxa"/>
            <w:tcBorders>
              <w:top w:val="nil"/>
              <w:left w:val="nil"/>
              <w:bottom w:val="single" w:sz="4" w:space="0" w:color="auto"/>
              <w:right w:val="single" w:sz="4" w:space="0" w:color="auto"/>
            </w:tcBorders>
            <w:shd w:val="clear" w:color="auto" w:fill="auto"/>
            <w:vAlign w:val="bottom"/>
            <w:hideMark/>
          </w:tcPr>
          <w:p w:rsidR="00501072" w:rsidRPr="00501072" w:rsidRDefault="00501072" w:rsidP="00501072">
            <w:pPr>
              <w:spacing w:after="0" w:line="240" w:lineRule="auto"/>
              <w:jc w:val="center"/>
              <w:rPr>
                <w:rFonts w:ascii="Calibri" w:eastAsia="Times New Roman" w:hAnsi="Calibri" w:cs="Times New Roman"/>
                <w:b/>
                <w:bCs/>
                <w:color w:val="000000"/>
                <w:lang w:val="de-DE" w:eastAsia="de-DE"/>
              </w:rPr>
            </w:pPr>
            <w:r w:rsidRPr="00501072">
              <w:rPr>
                <w:rFonts w:ascii="Calibri" w:eastAsia="Times New Roman" w:hAnsi="Calibri" w:cs="Times New Roman"/>
                <w:b/>
                <w:bCs/>
                <w:i/>
                <w:iCs/>
                <w:color w:val="000000"/>
                <w:lang w:val="de-DE" w:eastAsia="de-DE"/>
              </w:rPr>
              <w:t>Psm</w:t>
            </w:r>
            <w:r w:rsidRPr="00501072">
              <w:rPr>
                <w:rFonts w:ascii="Calibri" w:eastAsia="Times New Roman" w:hAnsi="Calibri" w:cs="Times New Roman"/>
                <w:b/>
                <w:bCs/>
                <w:color w:val="000000"/>
                <w:lang w:val="de-DE" w:eastAsia="de-DE"/>
              </w:rPr>
              <w:t xml:space="preserve"> </w:t>
            </w:r>
          </w:p>
        </w:tc>
        <w:tc>
          <w:tcPr>
            <w:tcW w:w="820" w:type="dxa"/>
            <w:vMerge/>
            <w:tcBorders>
              <w:top w:val="nil"/>
              <w:left w:val="single" w:sz="4" w:space="0" w:color="auto"/>
              <w:bottom w:val="single" w:sz="4" w:space="0" w:color="000000"/>
              <w:right w:val="single" w:sz="4" w:space="0" w:color="auto"/>
            </w:tcBorders>
            <w:vAlign w:val="center"/>
            <w:hideMark/>
          </w:tcPr>
          <w:p w:rsidR="00501072" w:rsidRPr="00501072" w:rsidRDefault="00501072" w:rsidP="00501072">
            <w:pPr>
              <w:spacing w:after="0" w:line="240" w:lineRule="auto"/>
              <w:rPr>
                <w:rFonts w:ascii="Calibri" w:eastAsia="Times New Roman" w:hAnsi="Calibri" w:cs="Times New Roman"/>
                <w:b/>
                <w:bCs/>
                <w:color w:val="000000"/>
                <w:lang w:val="de-DE" w:eastAsia="de-DE"/>
              </w:rPr>
            </w:pPr>
          </w:p>
        </w:tc>
        <w:tc>
          <w:tcPr>
            <w:tcW w:w="1460" w:type="dxa"/>
            <w:tcBorders>
              <w:top w:val="nil"/>
              <w:left w:val="nil"/>
              <w:bottom w:val="single" w:sz="4" w:space="0" w:color="auto"/>
              <w:right w:val="nil"/>
            </w:tcBorders>
            <w:shd w:val="clear" w:color="auto" w:fill="auto"/>
            <w:vAlign w:val="center"/>
            <w:hideMark/>
          </w:tcPr>
          <w:p w:rsidR="00501072" w:rsidRPr="00501072" w:rsidRDefault="00501072" w:rsidP="00501072">
            <w:pPr>
              <w:spacing w:after="0" w:line="240" w:lineRule="auto"/>
              <w:jc w:val="center"/>
              <w:rPr>
                <w:rFonts w:ascii="Calibri" w:eastAsia="Times New Roman" w:hAnsi="Calibri" w:cs="Times New Roman"/>
                <w:b/>
                <w:bCs/>
                <w:color w:val="000000"/>
                <w:lang w:val="de-DE" w:eastAsia="de-DE"/>
              </w:rPr>
            </w:pPr>
            <w:r w:rsidRPr="00501072">
              <w:rPr>
                <w:rFonts w:ascii="Calibri" w:eastAsia="Times New Roman" w:hAnsi="Calibri" w:cs="Times New Roman"/>
                <w:b/>
                <w:bCs/>
                <w:color w:val="000000"/>
                <w:lang w:val="de-DE" w:eastAsia="de-DE"/>
              </w:rPr>
              <w:t>SM</w:t>
            </w:r>
          </w:p>
        </w:tc>
        <w:tc>
          <w:tcPr>
            <w:tcW w:w="1300" w:type="dxa"/>
            <w:tcBorders>
              <w:top w:val="nil"/>
              <w:left w:val="nil"/>
              <w:bottom w:val="single" w:sz="4" w:space="0" w:color="auto"/>
              <w:right w:val="single" w:sz="4" w:space="0" w:color="auto"/>
            </w:tcBorders>
            <w:shd w:val="clear" w:color="auto" w:fill="auto"/>
            <w:vAlign w:val="center"/>
            <w:hideMark/>
          </w:tcPr>
          <w:p w:rsidR="00501072" w:rsidRPr="00501072" w:rsidRDefault="00501072" w:rsidP="00501072">
            <w:pPr>
              <w:spacing w:after="0" w:line="240" w:lineRule="auto"/>
              <w:jc w:val="center"/>
              <w:rPr>
                <w:rFonts w:ascii="Calibri" w:eastAsia="Times New Roman" w:hAnsi="Calibri" w:cs="Times New Roman"/>
                <w:b/>
                <w:bCs/>
                <w:i/>
                <w:iCs/>
                <w:color w:val="000000"/>
                <w:lang w:val="de-DE" w:eastAsia="de-DE"/>
              </w:rPr>
            </w:pPr>
            <w:r w:rsidRPr="00501072">
              <w:rPr>
                <w:rFonts w:ascii="Calibri" w:eastAsia="Times New Roman" w:hAnsi="Calibri" w:cs="Times New Roman"/>
                <w:b/>
                <w:bCs/>
                <w:i/>
                <w:iCs/>
                <w:color w:val="000000"/>
                <w:lang w:val="de-DE" w:eastAsia="de-DE"/>
              </w:rPr>
              <w:t>Bc</w:t>
            </w:r>
          </w:p>
        </w:tc>
        <w:tc>
          <w:tcPr>
            <w:tcW w:w="880" w:type="dxa"/>
            <w:vMerge/>
            <w:tcBorders>
              <w:top w:val="nil"/>
              <w:left w:val="single" w:sz="4" w:space="0" w:color="auto"/>
              <w:bottom w:val="single" w:sz="4" w:space="0" w:color="000000"/>
              <w:right w:val="single" w:sz="4" w:space="0" w:color="auto"/>
            </w:tcBorders>
            <w:vAlign w:val="center"/>
            <w:hideMark/>
          </w:tcPr>
          <w:p w:rsidR="00501072" w:rsidRPr="00501072" w:rsidRDefault="00501072" w:rsidP="00501072">
            <w:pPr>
              <w:spacing w:after="0" w:line="240" w:lineRule="auto"/>
              <w:rPr>
                <w:rFonts w:ascii="Calibri" w:eastAsia="Times New Roman" w:hAnsi="Calibri" w:cs="Times New Roman"/>
                <w:b/>
                <w:bCs/>
                <w:color w:val="000000"/>
                <w:lang w:val="de-DE" w:eastAsia="de-DE"/>
              </w:rPr>
            </w:pPr>
          </w:p>
        </w:tc>
        <w:tc>
          <w:tcPr>
            <w:tcW w:w="1340" w:type="dxa"/>
            <w:tcBorders>
              <w:top w:val="nil"/>
              <w:left w:val="nil"/>
              <w:bottom w:val="single" w:sz="4" w:space="0" w:color="auto"/>
              <w:right w:val="nil"/>
            </w:tcBorders>
            <w:shd w:val="clear" w:color="auto" w:fill="auto"/>
            <w:vAlign w:val="bottom"/>
            <w:hideMark/>
          </w:tcPr>
          <w:p w:rsidR="00501072" w:rsidRPr="00501072" w:rsidRDefault="00501072" w:rsidP="00501072">
            <w:pPr>
              <w:spacing w:after="0" w:line="240" w:lineRule="auto"/>
              <w:jc w:val="center"/>
              <w:rPr>
                <w:rFonts w:ascii="Calibri" w:eastAsia="Times New Roman" w:hAnsi="Calibri" w:cs="Times New Roman"/>
                <w:b/>
                <w:bCs/>
                <w:color w:val="000000"/>
                <w:lang w:val="de-DE" w:eastAsia="de-DE"/>
              </w:rPr>
            </w:pPr>
            <w:r w:rsidRPr="00501072">
              <w:rPr>
                <w:rFonts w:ascii="Calibri" w:eastAsia="Times New Roman" w:hAnsi="Calibri" w:cs="Times New Roman"/>
                <w:b/>
                <w:bCs/>
                <w:color w:val="000000"/>
                <w:lang w:val="de-DE" w:eastAsia="de-DE"/>
              </w:rPr>
              <w:t>H</w:t>
            </w:r>
            <w:r w:rsidRPr="00501072">
              <w:rPr>
                <w:rFonts w:ascii="Calibri" w:eastAsia="Times New Roman" w:hAnsi="Calibri" w:cs="Times New Roman"/>
                <w:b/>
                <w:bCs/>
                <w:color w:val="000000"/>
                <w:vertAlign w:val="subscript"/>
                <w:lang w:val="de-DE" w:eastAsia="de-DE"/>
              </w:rPr>
              <w:t>2</w:t>
            </w:r>
            <w:r w:rsidRPr="00501072">
              <w:rPr>
                <w:rFonts w:ascii="Calibri" w:eastAsia="Times New Roman" w:hAnsi="Calibri" w:cs="Times New Roman"/>
                <w:b/>
                <w:bCs/>
                <w:color w:val="000000"/>
                <w:lang w:val="de-DE" w:eastAsia="de-DE"/>
              </w:rPr>
              <w:t>O</w:t>
            </w:r>
          </w:p>
        </w:tc>
        <w:tc>
          <w:tcPr>
            <w:tcW w:w="1060" w:type="dxa"/>
            <w:tcBorders>
              <w:top w:val="nil"/>
              <w:left w:val="nil"/>
              <w:bottom w:val="single" w:sz="4" w:space="0" w:color="auto"/>
              <w:right w:val="single" w:sz="4" w:space="0" w:color="auto"/>
            </w:tcBorders>
            <w:shd w:val="clear" w:color="auto" w:fill="auto"/>
            <w:vAlign w:val="bottom"/>
            <w:hideMark/>
          </w:tcPr>
          <w:p w:rsidR="00501072" w:rsidRPr="00501072" w:rsidRDefault="00501072" w:rsidP="00501072">
            <w:pPr>
              <w:spacing w:after="0" w:line="240" w:lineRule="auto"/>
              <w:jc w:val="center"/>
              <w:rPr>
                <w:rFonts w:ascii="Calibri" w:eastAsia="Times New Roman" w:hAnsi="Calibri" w:cs="Times New Roman"/>
                <w:b/>
                <w:bCs/>
                <w:i/>
                <w:iCs/>
                <w:color w:val="000000"/>
                <w:lang w:val="de-DE" w:eastAsia="de-DE"/>
              </w:rPr>
            </w:pPr>
            <w:r w:rsidRPr="00501072">
              <w:rPr>
                <w:rFonts w:ascii="Calibri" w:eastAsia="Times New Roman" w:hAnsi="Calibri" w:cs="Times New Roman"/>
                <w:b/>
                <w:bCs/>
                <w:i/>
                <w:iCs/>
                <w:color w:val="000000"/>
                <w:lang w:val="de-DE" w:eastAsia="de-DE"/>
              </w:rPr>
              <w:t>Hpa</w:t>
            </w:r>
          </w:p>
        </w:tc>
        <w:tc>
          <w:tcPr>
            <w:tcW w:w="720" w:type="dxa"/>
            <w:vMerge/>
            <w:tcBorders>
              <w:top w:val="nil"/>
              <w:left w:val="single" w:sz="4" w:space="0" w:color="auto"/>
              <w:bottom w:val="single" w:sz="4" w:space="0" w:color="000000"/>
              <w:right w:val="single" w:sz="4" w:space="0" w:color="auto"/>
            </w:tcBorders>
            <w:vAlign w:val="center"/>
            <w:hideMark/>
          </w:tcPr>
          <w:p w:rsidR="00501072" w:rsidRPr="00501072" w:rsidRDefault="00501072" w:rsidP="00501072">
            <w:pPr>
              <w:spacing w:after="0" w:line="240" w:lineRule="auto"/>
              <w:rPr>
                <w:rFonts w:ascii="Calibri" w:eastAsia="Times New Roman" w:hAnsi="Calibri" w:cs="Times New Roman"/>
                <w:b/>
                <w:bCs/>
                <w:color w:val="000000"/>
                <w:lang w:val="de-DE" w:eastAsia="de-DE"/>
              </w:rPr>
            </w:pPr>
          </w:p>
        </w:tc>
        <w:tc>
          <w:tcPr>
            <w:tcW w:w="1360" w:type="dxa"/>
            <w:tcBorders>
              <w:top w:val="nil"/>
              <w:left w:val="nil"/>
              <w:bottom w:val="single" w:sz="4" w:space="0" w:color="auto"/>
              <w:right w:val="nil"/>
            </w:tcBorders>
            <w:shd w:val="clear" w:color="auto" w:fill="auto"/>
            <w:vAlign w:val="bottom"/>
            <w:hideMark/>
          </w:tcPr>
          <w:p w:rsidR="00501072" w:rsidRPr="00501072" w:rsidRDefault="00501072" w:rsidP="00501072">
            <w:pPr>
              <w:spacing w:after="0" w:line="240" w:lineRule="auto"/>
              <w:jc w:val="center"/>
              <w:rPr>
                <w:rFonts w:ascii="Calibri" w:eastAsia="Times New Roman" w:hAnsi="Calibri" w:cs="Times New Roman"/>
                <w:b/>
                <w:bCs/>
                <w:color w:val="000000"/>
                <w:lang w:val="de-DE" w:eastAsia="de-DE"/>
              </w:rPr>
            </w:pPr>
            <w:r w:rsidRPr="00501072">
              <w:rPr>
                <w:rFonts w:ascii="Calibri" w:eastAsia="Times New Roman" w:hAnsi="Calibri" w:cs="Times New Roman"/>
                <w:b/>
                <w:bCs/>
                <w:color w:val="000000"/>
                <w:lang w:val="de-DE" w:eastAsia="de-DE"/>
              </w:rPr>
              <w:t>nt</w:t>
            </w:r>
          </w:p>
        </w:tc>
        <w:tc>
          <w:tcPr>
            <w:tcW w:w="1240" w:type="dxa"/>
            <w:tcBorders>
              <w:top w:val="nil"/>
              <w:left w:val="nil"/>
              <w:bottom w:val="single" w:sz="4" w:space="0" w:color="auto"/>
              <w:right w:val="single" w:sz="4" w:space="0" w:color="auto"/>
            </w:tcBorders>
            <w:shd w:val="clear" w:color="auto" w:fill="auto"/>
            <w:vAlign w:val="bottom"/>
            <w:hideMark/>
          </w:tcPr>
          <w:p w:rsidR="00501072" w:rsidRPr="00501072" w:rsidRDefault="00501072" w:rsidP="00501072">
            <w:pPr>
              <w:spacing w:after="0" w:line="240" w:lineRule="auto"/>
              <w:jc w:val="center"/>
              <w:rPr>
                <w:rFonts w:ascii="Calibri" w:eastAsia="Times New Roman" w:hAnsi="Calibri" w:cs="Times New Roman"/>
                <w:b/>
                <w:bCs/>
                <w:i/>
                <w:iCs/>
                <w:color w:val="000000"/>
                <w:lang w:val="de-DE" w:eastAsia="de-DE"/>
              </w:rPr>
            </w:pPr>
            <w:r w:rsidRPr="00501072">
              <w:rPr>
                <w:rFonts w:ascii="Calibri" w:eastAsia="Times New Roman" w:hAnsi="Calibri" w:cs="Times New Roman"/>
                <w:b/>
                <w:bCs/>
                <w:i/>
                <w:iCs/>
                <w:color w:val="000000"/>
                <w:lang w:val="de-DE" w:eastAsia="de-DE"/>
              </w:rPr>
              <w:t>Go</w:t>
            </w:r>
          </w:p>
        </w:tc>
        <w:tc>
          <w:tcPr>
            <w:tcW w:w="840" w:type="dxa"/>
            <w:vMerge/>
            <w:tcBorders>
              <w:top w:val="nil"/>
              <w:left w:val="single" w:sz="4" w:space="0" w:color="auto"/>
              <w:bottom w:val="single" w:sz="4" w:space="0" w:color="000000"/>
              <w:right w:val="single" w:sz="4" w:space="0" w:color="auto"/>
            </w:tcBorders>
            <w:vAlign w:val="center"/>
            <w:hideMark/>
          </w:tcPr>
          <w:p w:rsidR="00501072" w:rsidRPr="00501072" w:rsidRDefault="00501072" w:rsidP="00501072">
            <w:pPr>
              <w:spacing w:after="0" w:line="240" w:lineRule="auto"/>
              <w:rPr>
                <w:rFonts w:ascii="Calibri" w:eastAsia="Times New Roman" w:hAnsi="Calibri" w:cs="Times New Roman"/>
                <w:b/>
                <w:bCs/>
                <w:color w:val="000000"/>
                <w:lang w:val="de-DE" w:eastAsia="de-DE"/>
              </w:rPr>
            </w:pPr>
          </w:p>
        </w:tc>
      </w:tr>
      <w:tr w:rsidR="00501072" w:rsidRPr="00501072" w:rsidTr="00501072">
        <w:trPr>
          <w:trHeight w:val="300"/>
        </w:trPr>
        <w:tc>
          <w:tcPr>
            <w:tcW w:w="1480" w:type="dxa"/>
            <w:tcBorders>
              <w:top w:val="nil"/>
              <w:left w:val="single" w:sz="4" w:space="0" w:color="auto"/>
              <w:bottom w:val="nil"/>
              <w:right w:val="single" w:sz="4" w:space="0" w:color="auto"/>
            </w:tcBorders>
            <w:shd w:val="clear" w:color="auto" w:fill="auto"/>
            <w:vAlign w:val="bottom"/>
            <w:hideMark/>
          </w:tcPr>
          <w:p w:rsidR="00501072" w:rsidRPr="00501072" w:rsidRDefault="00501072" w:rsidP="00501072">
            <w:pPr>
              <w:spacing w:after="0" w:line="240" w:lineRule="auto"/>
              <w:rPr>
                <w:rFonts w:ascii="Calibri" w:eastAsia="Times New Roman" w:hAnsi="Calibri" w:cs="Times New Roman"/>
                <w:color w:val="000000"/>
                <w:lang w:val="de-DE" w:eastAsia="de-DE"/>
              </w:rPr>
            </w:pPr>
            <w:r w:rsidRPr="00501072">
              <w:rPr>
                <w:rFonts w:ascii="Calibri" w:eastAsia="Times New Roman" w:hAnsi="Calibri" w:cs="Times New Roman"/>
                <w:color w:val="000000"/>
                <w:lang w:val="de-DE" w:eastAsia="de-DE"/>
              </w:rPr>
              <w:t>Unknown 1</w:t>
            </w:r>
          </w:p>
        </w:tc>
        <w:tc>
          <w:tcPr>
            <w:tcW w:w="1180" w:type="dxa"/>
            <w:tcBorders>
              <w:top w:val="nil"/>
              <w:left w:val="nil"/>
              <w:bottom w:val="nil"/>
              <w:right w:val="nil"/>
            </w:tcBorders>
            <w:shd w:val="clear" w:color="auto" w:fill="auto"/>
            <w:noWrap/>
            <w:vAlign w:val="center"/>
            <w:hideMark/>
          </w:tcPr>
          <w:p w:rsidR="00501072" w:rsidRPr="00501072" w:rsidRDefault="00501072" w:rsidP="00501072">
            <w:pPr>
              <w:spacing w:after="0" w:line="240" w:lineRule="auto"/>
              <w:jc w:val="center"/>
              <w:rPr>
                <w:rFonts w:ascii="Calibri" w:eastAsia="Times New Roman" w:hAnsi="Calibri" w:cs="Times New Roman"/>
                <w:color w:val="000000"/>
                <w:lang w:val="de-DE" w:eastAsia="de-DE"/>
              </w:rPr>
            </w:pPr>
            <w:r w:rsidRPr="00501072">
              <w:rPr>
                <w:rFonts w:ascii="Calibri" w:eastAsia="Times New Roman" w:hAnsi="Calibri" w:cs="Times New Roman"/>
                <w:color w:val="000000"/>
                <w:lang w:val="de-DE" w:eastAsia="de-DE"/>
              </w:rPr>
              <w:t xml:space="preserve">0.3 </w:t>
            </w:r>
            <w:r w:rsidRPr="00501072">
              <w:rPr>
                <w:rFonts w:ascii="Calibri" w:eastAsia="Times New Roman" w:hAnsi="Calibri" w:cs="Times New Roman"/>
                <w:color w:val="000000"/>
                <w:sz w:val="16"/>
                <w:szCs w:val="16"/>
                <w:lang w:val="de-DE" w:eastAsia="de-DE"/>
              </w:rPr>
              <w:t>± 0.05</w:t>
            </w:r>
          </w:p>
        </w:tc>
        <w:tc>
          <w:tcPr>
            <w:tcW w:w="1140" w:type="dxa"/>
            <w:tcBorders>
              <w:top w:val="nil"/>
              <w:left w:val="nil"/>
              <w:bottom w:val="nil"/>
              <w:right w:val="single" w:sz="4" w:space="0" w:color="auto"/>
            </w:tcBorders>
            <w:shd w:val="clear" w:color="auto" w:fill="auto"/>
            <w:noWrap/>
            <w:vAlign w:val="center"/>
            <w:hideMark/>
          </w:tcPr>
          <w:p w:rsidR="00501072" w:rsidRPr="00501072" w:rsidRDefault="00501072" w:rsidP="00501072">
            <w:pPr>
              <w:spacing w:after="0" w:line="240" w:lineRule="auto"/>
              <w:jc w:val="center"/>
              <w:rPr>
                <w:rFonts w:ascii="Calibri" w:eastAsia="Times New Roman" w:hAnsi="Calibri" w:cs="Times New Roman"/>
                <w:color w:val="000000"/>
                <w:lang w:val="de-DE" w:eastAsia="de-DE"/>
              </w:rPr>
            </w:pPr>
            <w:r w:rsidRPr="00501072">
              <w:rPr>
                <w:rFonts w:ascii="Calibri" w:eastAsia="Times New Roman" w:hAnsi="Calibri" w:cs="Times New Roman"/>
                <w:color w:val="000000"/>
                <w:lang w:val="de-DE" w:eastAsia="de-DE"/>
              </w:rPr>
              <w:t xml:space="preserve">1.0 </w:t>
            </w:r>
            <w:r w:rsidRPr="00501072">
              <w:rPr>
                <w:rFonts w:ascii="Calibri" w:eastAsia="Times New Roman" w:hAnsi="Calibri" w:cs="Times New Roman"/>
                <w:color w:val="000000"/>
                <w:sz w:val="16"/>
                <w:szCs w:val="16"/>
                <w:lang w:val="de-DE" w:eastAsia="de-DE"/>
              </w:rPr>
              <w:t>± 0.2</w:t>
            </w:r>
          </w:p>
        </w:tc>
        <w:tc>
          <w:tcPr>
            <w:tcW w:w="820" w:type="dxa"/>
            <w:tcBorders>
              <w:top w:val="nil"/>
              <w:left w:val="nil"/>
              <w:bottom w:val="nil"/>
              <w:right w:val="single" w:sz="4" w:space="0" w:color="auto"/>
            </w:tcBorders>
            <w:shd w:val="clear" w:color="000000" w:fill="E6B8B7"/>
            <w:noWrap/>
            <w:vAlign w:val="center"/>
            <w:hideMark/>
          </w:tcPr>
          <w:p w:rsidR="00501072" w:rsidRPr="00501072" w:rsidRDefault="00501072" w:rsidP="00501072">
            <w:pPr>
              <w:spacing w:after="0" w:line="240" w:lineRule="auto"/>
              <w:jc w:val="center"/>
              <w:rPr>
                <w:rFonts w:ascii="Calibri" w:eastAsia="Times New Roman" w:hAnsi="Calibri" w:cs="Times New Roman"/>
                <w:color w:val="000000"/>
                <w:lang w:val="de-DE" w:eastAsia="de-DE"/>
              </w:rPr>
            </w:pPr>
            <w:r w:rsidRPr="00501072">
              <w:rPr>
                <w:rFonts w:ascii="Calibri" w:eastAsia="Times New Roman" w:hAnsi="Calibri" w:cs="Times New Roman"/>
                <w:color w:val="000000"/>
                <w:lang w:val="de-DE" w:eastAsia="de-DE"/>
              </w:rPr>
              <w:t xml:space="preserve">3.7 </w:t>
            </w:r>
            <w:r w:rsidRPr="00501072">
              <w:rPr>
                <w:rFonts w:ascii="Calibri" w:eastAsia="Times New Roman" w:hAnsi="Calibri" w:cs="Times New Roman"/>
                <w:color w:val="000000"/>
                <w:sz w:val="18"/>
                <w:szCs w:val="18"/>
                <w:lang w:val="de-DE" w:eastAsia="de-DE"/>
              </w:rPr>
              <w:t>**</w:t>
            </w:r>
          </w:p>
        </w:tc>
        <w:tc>
          <w:tcPr>
            <w:tcW w:w="1460" w:type="dxa"/>
            <w:tcBorders>
              <w:top w:val="nil"/>
              <w:left w:val="nil"/>
              <w:bottom w:val="nil"/>
              <w:right w:val="nil"/>
            </w:tcBorders>
            <w:shd w:val="clear" w:color="auto" w:fill="auto"/>
            <w:noWrap/>
            <w:vAlign w:val="center"/>
            <w:hideMark/>
          </w:tcPr>
          <w:p w:rsidR="00501072" w:rsidRPr="00501072" w:rsidRDefault="00501072" w:rsidP="00501072">
            <w:pPr>
              <w:spacing w:after="0" w:line="240" w:lineRule="auto"/>
              <w:jc w:val="center"/>
              <w:rPr>
                <w:rFonts w:ascii="Calibri" w:eastAsia="Times New Roman" w:hAnsi="Calibri" w:cs="Times New Roman"/>
                <w:color w:val="000000"/>
                <w:lang w:val="de-DE" w:eastAsia="de-DE"/>
              </w:rPr>
            </w:pPr>
            <w:r w:rsidRPr="00501072">
              <w:rPr>
                <w:rFonts w:ascii="Calibri" w:eastAsia="Times New Roman" w:hAnsi="Calibri" w:cs="Times New Roman"/>
                <w:color w:val="000000"/>
                <w:lang w:val="de-DE" w:eastAsia="de-DE"/>
              </w:rPr>
              <w:t>0.3</w:t>
            </w:r>
            <w:r w:rsidRPr="00501072">
              <w:rPr>
                <w:rFonts w:ascii="Calibri" w:eastAsia="Times New Roman" w:hAnsi="Calibri" w:cs="Times New Roman"/>
                <w:color w:val="000000"/>
                <w:sz w:val="16"/>
                <w:szCs w:val="16"/>
                <w:lang w:val="de-DE" w:eastAsia="de-DE"/>
              </w:rPr>
              <w:t xml:space="preserve"> ± 0.07</w:t>
            </w:r>
          </w:p>
        </w:tc>
        <w:tc>
          <w:tcPr>
            <w:tcW w:w="1300" w:type="dxa"/>
            <w:tcBorders>
              <w:top w:val="nil"/>
              <w:left w:val="nil"/>
              <w:bottom w:val="nil"/>
              <w:right w:val="single" w:sz="4" w:space="0" w:color="auto"/>
            </w:tcBorders>
            <w:shd w:val="clear" w:color="auto" w:fill="auto"/>
            <w:noWrap/>
            <w:vAlign w:val="center"/>
            <w:hideMark/>
          </w:tcPr>
          <w:p w:rsidR="00501072" w:rsidRPr="00501072" w:rsidRDefault="00501072" w:rsidP="00501072">
            <w:pPr>
              <w:spacing w:after="0" w:line="240" w:lineRule="auto"/>
              <w:jc w:val="center"/>
              <w:rPr>
                <w:rFonts w:ascii="Calibri" w:eastAsia="Times New Roman" w:hAnsi="Calibri" w:cs="Times New Roman"/>
                <w:color w:val="000000"/>
                <w:lang w:val="de-DE" w:eastAsia="de-DE"/>
              </w:rPr>
            </w:pPr>
            <w:r w:rsidRPr="00501072">
              <w:rPr>
                <w:rFonts w:ascii="Calibri" w:eastAsia="Times New Roman" w:hAnsi="Calibri" w:cs="Times New Roman"/>
                <w:color w:val="000000"/>
                <w:lang w:val="de-DE" w:eastAsia="de-DE"/>
              </w:rPr>
              <w:t xml:space="preserve">0.7 </w:t>
            </w:r>
            <w:r w:rsidRPr="00501072">
              <w:rPr>
                <w:rFonts w:ascii="Calibri" w:eastAsia="Times New Roman" w:hAnsi="Calibri" w:cs="Times New Roman"/>
                <w:color w:val="000000"/>
                <w:sz w:val="16"/>
                <w:szCs w:val="16"/>
                <w:lang w:val="de-DE" w:eastAsia="de-DE"/>
              </w:rPr>
              <w:t>± 0.2</w:t>
            </w:r>
          </w:p>
        </w:tc>
        <w:tc>
          <w:tcPr>
            <w:tcW w:w="880" w:type="dxa"/>
            <w:tcBorders>
              <w:top w:val="nil"/>
              <w:left w:val="nil"/>
              <w:bottom w:val="nil"/>
              <w:right w:val="single" w:sz="4" w:space="0" w:color="auto"/>
            </w:tcBorders>
            <w:shd w:val="clear" w:color="000000" w:fill="F2DCDB"/>
            <w:noWrap/>
            <w:vAlign w:val="center"/>
            <w:hideMark/>
          </w:tcPr>
          <w:p w:rsidR="00501072" w:rsidRPr="00501072" w:rsidRDefault="00501072" w:rsidP="00501072">
            <w:pPr>
              <w:spacing w:after="0" w:line="240" w:lineRule="auto"/>
              <w:jc w:val="center"/>
              <w:rPr>
                <w:rFonts w:ascii="Calibri" w:eastAsia="Times New Roman" w:hAnsi="Calibri" w:cs="Times New Roman"/>
                <w:color w:val="000000"/>
                <w:lang w:val="de-DE" w:eastAsia="de-DE"/>
              </w:rPr>
            </w:pPr>
            <w:r w:rsidRPr="00501072">
              <w:rPr>
                <w:rFonts w:ascii="Calibri" w:eastAsia="Times New Roman" w:hAnsi="Calibri" w:cs="Times New Roman"/>
                <w:color w:val="000000"/>
                <w:lang w:val="de-DE" w:eastAsia="de-DE"/>
              </w:rPr>
              <w:t>2.5</w:t>
            </w:r>
          </w:p>
        </w:tc>
        <w:tc>
          <w:tcPr>
            <w:tcW w:w="1340" w:type="dxa"/>
            <w:tcBorders>
              <w:top w:val="nil"/>
              <w:left w:val="nil"/>
              <w:bottom w:val="nil"/>
              <w:right w:val="nil"/>
            </w:tcBorders>
            <w:shd w:val="clear" w:color="auto" w:fill="auto"/>
            <w:noWrap/>
            <w:vAlign w:val="center"/>
            <w:hideMark/>
          </w:tcPr>
          <w:p w:rsidR="00501072" w:rsidRPr="00501072" w:rsidRDefault="00501072" w:rsidP="00501072">
            <w:pPr>
              <w:spacing w:after="0" w:line="240" w:lineRule="auto"/>
              <w:jc w:val="center"/>
              <w:rPr>
                <w:rFonts w:ascii="Calibri" w:eastAsia="Times New Roman" w:hAnsi="Calibri" w:cs="Times New Roman"/>
                <w:color w:val="000000"/>
                <w:lang w:val="de-DE" w:eastAsia="de-DE"/>
              </w:rPr>
            </w:pPr>
            <w:r w:rsidRPr="00501072">
              <w:rPr>
                <w:rFonts w:ascii="Calibri" w:eastAsia="Times New Roman" w:hAnsi="Calibri" w:cs="Times New Roman"/>
                <w:color w:val="000000"/>
                <w:lang w:val="de-DE" w:eastAsia="de-DE"/>
              </w:rPr>
              <w:t xml:space="preserve">0.4 </w:t>
            </w:r>
            <w:r w:rsidRPr="00501072">
              <w:rPr>
                <w:rFonts w:ascii="Calibri" w:eastAsia="Times New Roman" w:hAnsi="Calibri" w:cs="Times New Roman"/>
                <w:color w:val="000000"/>
                <w:sz w:val="16"/>
                <w:szCs w:val="16"/>
                <w:lang w:val="de-DE" w:eastAsia="de-DE"/>
              </w:rPr>
              <w:t>± 0.02</w:t>
            </w:r>
          </w:p>
        </w:tc>
        <w:tc>
          <w:tcPr>
            <w:tcW w:w="1060" w:type="dxa"/>
            <w:tcBorders>
              <w:top w:val="nil"/>
              <w:left w:val="nil"/>
              <w:bottom w:val="nil"/>
              <w:right w:val="single" w:sz="4" w:space="0" w:color="auto"/>
            </w:tcBorders>
            <w:shd w:val="clear" w:color="auto" w:fill="auto"/>
            <w:noWrap/>
            <w:vAlign w:val="center"/>
            <w:hideMark/>
          </w:tcPr>
          <w:p w:rsidR="00501072" w:rsidRPr="00501072" w:rsidRDefault="00501072" w:rsidP="00501072">
            <w:pPr>
              <w:spacing w:after="0" w:line="240" w:lineRule="auto"/>
              <w:jc w:val="center"/>
              <w:rPr>
                <w:rFonts w:ascii="Calibri" w:eastAsia="Times New Roman" w:hAnsi="Calibri" w:cs="Times New Roman"/>
                <w:color w:val="000000"/>
                <w:lang w:val="de-DE" w:eastAsia="de-DE"/>
              </w:rPr>
            </w:pPr>
            <w:r w:rsidRPr="00501072">
              <w:rPr>
                <w:rFonts w:ascii="Calibri" w:eastAsia="Times New Roman" w:hAnsi="Calibri" w:cs="Times New Roman"/>
                <w:color w:val="000000"/>
                <w:lang w:val="de-DE" w:eastAsia="de-DE"/>
              </w:rPr>
              <w:t xml:space="preserve">0.8 </w:t>
            </w:r>
            <w:r w:rsidRPr="00501072">
              <w:rPr>
                <w:rFonts w:ascii="Calibri" w:eastAsia="Times New Roman" w:hAnsi="Calibri" w:cs="Times New Roman"/>
                <w:color w:val="000000"/>
                <w:sz w:val="16"/>
                <w:szCs w:val="16"/>
                <w:lang w:val="de-DE" w:eastAsia="de-DE"/>
              </w:rPr>
              <w:t>± 0.2</w:t>
            </w:r>
          </w:p>
        </w:tc>
        <w:tc>
          <w:tcPr>
            <w:tcW w:w="720" w:type="dxa"/>
            <w:tcBorders>
              <w:top w:val="nil"/>
              <w:left w:val="nil"/>
              <w:bottom w:val="nil"/>
              <w:right w:val="single" w:sz="4" w:space="0" w:color="auto"/>
            </w:tcBorders>
            <w:shd w:val="clear" w:color="000000" w:fill="F2DCDB"/>
            <w:noWrap/>
            <w:vAlign w:val="center"/>
            <w:hideMark/>
          </w:tcPr>
          <w:p w:rsidR="00501072" w:rsidRPr="00501072" w:rsidRDefault="00501072" w:rsidP="00501072">
            <w:pPr>
              <w:spacing w:after="0" w:line="240" w:lineRule="auto"/>
              <w:jc w:val="center"/>
              <w:rPr>
                <w:rFonts w:ascii="Calibri" w:eastAsia="Times New Roman" w:hAnsi="Calibri" w:cs="Times New Roman"/>
                <w:color w:val="000000"/>
                <w:lang w:val="de-DE" w:eastAsia="de-DE"/>
              </w:rPr>
            </w:pPr>
            <w:r w:rsidRPr="00501072">
              <w:rPr>
                <w:rFonts w:ascii="Calibri" w:eastAsia="Times New Roman" w:hAnsi="Calibri" w:cs="Times New Roman"/>
                <w:color w:val="000000"/>
                <w:lang w:val="de-DE" w:eastAsia="de-DE"/>
              </w:rPr>
              <w:t xml:space="preserve">2.2 </w:t>
            </w:r>
            <w:r w:rsidRPr="00501072">
              <w:rPr>
                <w:rFonts w:ascii="Calibri" w:eastAsia="Times New Roman" w:hAnsi="Calibri" w:cs="Times New Roman"/>
                <w:color w:val="000000"/>
                <w:sz w:val="18"/>
                <w:szCs w:val="18"/>
                <w:lang w:val="de-DE" w:eastAsia="de-DE"/>
              </w:rPr>
              <w:t>*</w:t>
            </w:r>
          </w:p>
        </w:tc>
        <w:tc>
          <w:tcPr>
            <w:tcW w:w="2600" w:type="dxa"/>
            <w:gridSpan w:val="2"/>
            <w:tcBorders>
              <w:top w:val="single" w:sz="4" w:space="0" w:color="auto"/>
              <w:left w:val="nil"/>
              <w:bottom w:val="nil"/>
              <w:right w:val="single" w:sz="4" w:space="0" w:color="000000"/>
            </w:tcBorders>
            <w:shd w:val="clear" w:color="auto" w:fill="auto"/>
            <w:noWrap/>
            <w:vAlign w:val="center"/>
            <w:hideMark/>
          </w:tcPr>
          <w:p w:rsidR="00501072" w:rsidRPr="00501072" w:rsidRDefault="00501072" w:rsidP="00501072">
            <w:pPr>
              <w:spacing w:after="0" w:line="240" w:lineRule="auto"/>
              <w:jc w:val="center"/>
              <w:rPr>
                <w:rFonts w:ascii="Calibri" w:eastAsia="Times New Roman" w:hAnsi="Calibri" w:cs="Times New Roman"/>
                <w:color w:val="000000"/>
                <w:lang w:val="de-DE" w:eastAsia="de-DE"/>
              </w:rPr>
            </w:pPr>
            <w:r w:rsidRPr="00501072">
              <w:rPr>
                <w:rFonts w:ascii="Calibri" w:eastAsia="Times New Roman" w:hAnsi="Calibri" w:cs="Times New Roman"/>
                <w:color w:val="000000"/>
                <w:lang w:val="de-DE" w:eastAsia="de-DE"/>
              </w:rPr>
              <w:t>not detected</w:t>
            </w:r>
          </w:p>
        </w:tc>
        <w:tc>
          <w:tcPr>
            <w:tcW w:w="840" w:type="dxa"/>
            <w:tcBorders>
              <w:top w:val="nil"/>
              <w:left w:val="nil"/>
              <w:bottom w:val="nil"/>
              <w:right w:val="single" w:sz="4" w:space="0" w:color="auto"/>
            </w:tcBorders>
            <w:shd w:val="clear" w:color="auto" w:fill="auto"/>
            <w:noWrap/>
            <w:vAlign w:val="center"/>
            <w:hideMark/>
          </w:tcPr>
          <w:p w:rsidR="00501072" w:rsidRPr="00501072" w:rsidRDefault="00501072" w:rsidP="00501072">
            <w:pPr>
              <w:spacing w:after="0" w:line="240" w:lineRule="auto"/>
              <w:jc w:val="center"/>
              <w:rPr>
                <w:rFonts w:ascii="Calibri" w:eastAsia="Times New Roman" w:hAnsi="Calibri" w:cs="Times New Roman"/>
                <w:color w:val="000000"/>
                <w:lang w:val="de-DE" w:eastAsia="de-DE"/>
              </w:rPr>
            </w:pPr>
            <w:r w:rsidRPr="00501072">
              <w:rPr>
                <w:rFonts w:ascii="Calibri" w:eastAsia="Times New Roman" w:hAnsi="Calibri" w:cs="Times New Roman"/>
                <w:color w:val="000000"/>
                <w:lang w:val="de-DE" w:eastAsia="de-DE"/>
              </w:rPr>
              <w:t> </w:t>
            </w:r>
          </w:p>
        </w:tc>
      </w:tr>
      <w:tr w:rsidR="00501072" w:rsidRPr="00501072" w:rsidTr="00501072">
        <w:trPr>
          <w:trHeight w:val="300"/>
        </w:trPr>
        <w:tc>
          <w:tcPr>
            <w:tcW w:w="1480" w:type="dxa"/>
            <w:tcBorders>
              <w:top w:val="nil"/>
              <w:left w:val="single" w:sz="4" w:space="0" w:color="auto"/>
              <w:bottom w:val="nil"/>
              <w:right w:val="single" w:sz="4" w:space="0" w:color="auto"/>
            </w:tcBorders>
            <w:shd w:val="clear" w:color="auto" w:fill="auto"/>
            <w:vAlign w:val="bottom"/>
            <w:hideMark/>
          </w:tcPr>
          <w:p w:rsidR="00501072" w:rsidRPr="00501072" w:rsidRDefault="00501072" w:rsidP="00501072">
            <w:pPr>
              <w:spacing w:after="0" w:line="240" w:lineRule="auto"/>
              <w:rPr>
                <w:rFonts w:ascii="Calibri" w:eastAsia="Times New Roman" w:hAnsi="Calibri" w:cs="Times New Roman"/>
                <w:color w:val="000000"/>
                <w:lang w:val="de-DE" w:eastAsia="de-DE"/>
              </w:rPr>
            </w:pPr>
            <w:r w:rsidRPr="00501072">
              <w:rPr>
                <w:rFonts w:ascii="Calibri" w:eastAsia="Times New Roman" w:hAnsi="Calibri" w:cs="Times New Roman"/>
                <w:color w:val="000000"/>
                <w:lang w:val="de-DE" w:eastAsia="de-DE"/>
              </w:rPr>
              <w:t>Unknown 2</w:t>
            </w:r>
          </w:p>
        </w:tc>
        <w:tc>
          <w:tcPr>
            <w:tcW w:w="1180" w:type="dxa"/>
            <w:tcBorders>
              <w:top w:val="nil"/>
              <w:left w:val="nil"/>
              <w:bottom w:val="nil"/>
              <w:right w:val="nil"/>
            </w:tcBorders>
            <w:shd w:val="clear" w:color="auto" w:fill="auto"/>
            <w:noWrap/>
            <w:vAlign w:val="center"/>
            <w:hideMark/>
          </w:tcPr>
          <w:p w:rsidR="00501072" w:rsidRPr="00501072" w:rsidRDefault="00501072" w:rsidP="00501072">
            <w:pPr>
              <w:spacing w:after="0" w:line="240" w:lineRule="auto"/>
              <w:jc w:val="center"/>
              <w:rPr>
                <w:rFonts w:ascii="Calibri" w:eastAsia="Times New Roman" w:hAnsi="Calibri" w:cs="Times New Roman"/>
                <w:color w:val="000000"/>
                <w:lang w:val="de-DE" w:eastAsia="de-DE"/>
              </w:rPr>
            </w:pPr>
            <w:r w:rsidRPr="00501072">
              <w:rPr>
                <w:rFonts w:ascii="Calibri" w:eastAsia="Times New Roman" w:hAnsi="Calibri" w:cs="Times New Roman"/>
                <w:color w:val="000000"/>
                <w:lang w:val="de-DE" w:eastAsia="de-DE"/>
              </w:rPr>
              <w:t>0.1</w:t>
            </w:r>
            <w:r w:rsidRPr="00501072">
              <w:rPr>
                <w:rFonts w:ascii="Calibri" w:eastAsia="Times New Roman" w:hAnsi="Calibri" w:cs="Times New Roman"/>
                <w:color w:val="000000"/>
                <w:sz w:val="16"/>
                <w:szCs w:val="16"/>
                <w:lang w:val="de-DE" w:eastAsia="de-DE"/>
              </w:rPr>
              <w:t xml:space="preserve"> ± 0.007</w:t>
            </w:r>
          </w:p>
        </w:tc>
        <w:tc>
          <w:tcPr>
            <w:tcW w:w="1140" w:type="dxa"/>
            <w:tcBorders>
              <w:top w:val="nil"/>
              <w:left w:val="nil"/>
              <w:bottom w:val="nil"/>
              <w:right w:val="single" w:sz="4" w:space="0" w:color="auto"/>
            </w:tcBorders>
            <w:shd w:val="clear" w:color="auto" w:fill="auto"/>
            <w:noWrap/>
            <w:vAlign w:val="center"/>
            <w:hideMark/>
          </w:tcPr>
          <w:p w:rsidR="00501072" w:rsidRPr="00501072" w:rsidRDefault="00501072" w:rsidP="00501072">
            <w:pPr>
              <w:spacing w:after="0" w:line="240" w:lineRule="auto"/>
              <w:jc w:val="center"/>
              <w:rPr>
                <w:rFonts w:ascii="Calibri" w:eastAsia="Times New Roman" w:hAnsi="Calibri" w:cs="Times New Roman"/>
                <w:color w:val="000000"/>
                <w:lang w:val="de-DE" w:eastAsia="de-DE"/>
              </w:rPr>
            </w:pPr>
            <w:r w:rsidRPr="00501072">
              <w:rPr>
                <w:rFonts w:ascii="Calibri" w:eastAsia="Times New Roman" w:hAnsi="Calibri" w:cs="Times New Roman"/>
                <w:color w:val="000000"/>
                <w:lang w:val="de-DE" w:eastAsia="de-DE"/>
              </w:rPr>
              <w:t xml:space="preserve">0.5 </w:t>
            </w:r>
            <w:r w:rsidRPr="00501072">
              <w:rPr>
                <w:rFonts w:ascii="Calibri" w:eastAsia="Times New Roman" w:hAnsi="Calibri" w:cs="Times New Roman"/>
                <w:color w:val="000000"/>
                <w:sz w:val="16"/>
                <w:szCs w:val="16"/>
                <w:lang w:val="de-DE" w:eastAsia="de-DE"/>
              </w:rPr>
              <w:t>± 0.08</w:t>
            </w:r>
          </w:p>
        </w:tc>
        <w:tc>
          <w:tcPr>
            <w:tcW w:w="820" w:type="dxa"/>
            <w:tcBorders>
              <w:top w:val="nil"/>
              <w:left w:val="nil"/>
              <w:bottom w:val="nil"/>
              <w:right w:val="single" w:sz="4" w:space="0" w:color="auto"/>
            </w:tcBorders>
            <w:shd w:val="clear" w:color="000000" w:fill="E6B8B7"/>
            <w:noWrap/>
            <w:vAlign w:val="center"/>
            <w:hideMark/>
          </w:tcPr>
          <w:p w:rsidR="00501072" w:rsidRPr="00501072" w:rsidRDefault="00501072" w:rsidP="00501072">
            <w:pPr>
              <w:spacing w:after="0" w:line="240" w:lineRule="auto"/>
              <w:jc w:val="center"/>
              <w:rPr>
                <w:rFonts w:ascii="Calibri" w:eastAsia="Times New Roman" w:hAnsi="Calibri" w:cs="Times New Roman"/>
                <w:color w:val="000000"/>
                <w:lang w:val="de-DE" w:eastAsia="de-DE"/>
              </w:rPr>
            </w:pPr>
            <w:r w:rsidRPr="00501072">
              <w:rPr>
                <w:rFonts w:ascii="Calibri" w:eastAsia="Times New Roman" w:hAnsi="Calibri" w:cs="Times New Roman"/>
                <w:color w:val="000000"/>
                <w:lang w:val="de-DE" w:eastAsia="de-DE"/>
              </w:rPr>
              <w:t xml:space="preserve">3.8 </w:t>
            </w:r>
            <w:r w:rsidRPr="00501072">
              <w:rPr>
                <w:rFonts w:ascii="Calibri" w:eastAsia="Times New Roman" w:hAnsi="Calibri" w:cs="Times New Roman"/>
                <w:color w:val="000000"/>
                <w:sz w:val="18"/>
                <w:szCs w:val="18"/>
                <w:lang w:val="de-DE" w:eastAsia="de-DE"/>
              </w:rPr>
              <w:t>**</w:t>
            </w:r>
          </w:p>
        </w:tc>
        <w:tc>
          <w:tcPr>
            <w:tcW w:w="1460" w:type="dxa"/>
            <w:tcBorders>
              <w:top w:val="nil"/>
              <w:left w:val="nil"/>
              <w:bottom w:val="nil"/>
              <w:right w:val="nil"/>
            </w:tcBorders>
            <w:shd w:val="clear" w:color="auto" w:fill="auto"/>
            <w:noWrap/>
            <w:vAlign w:val="center"/>
            <w:hideMark/>
          </w:tcPr>
          <w:p w:rsidR="00501072" w:rsidRPr="00501072" w:rsidRDefault="00501072" w:rsidP="00501072">
            <w:pPr>
              <w:spacing w:after="0" w:line="240" w:lineRule="auto"/>
              <w:jc w:val="center"/>
              <w:rPr>
                <w:rFonts w:ascii="Calibri" w:eastAsia="Times New Roman" w:hAnsi="Calibri" w:cs="Times New Roman"/>
                <w:color w:val="000000"/>
                <w:lang w:val="de-DE" w:eastAsia="de-DE"/>
              </w:rPr>
            </w:pPr>
            <w:r w:rsidRPr="00501072">
              <w:rPr>
                <w:rFonts w:ascii="Calibri" w:eastAsia="Times New Roman" w:hAnsi="Calibri" w:cs="Times New Roman"/>
                <w:color w:val="000000"/>
                <w:lang w:val="de-DE" w:eastAsia="de-DE"/>
              </w:rPr>
              <w:t xml:space="preserve">0.09 </w:t>
            </w:r>
            <w:r w:rsidRPr="00501072">
              <w:rPr>
                <w:rFonts w:ascii="Calibri" w:eastAsia="Times New Roman" w:hAnsi="Calibri" w:cs="Times New Roman"/>
                <w:color w:val="000000"/>
                <w:sz w:val="16"/>
                <w:szCs w:val="16"/>
                <w:lang w:val="de-DE" w:eastAsia="de-DE"/>
              </w:rPr>
              <w:t>± 0.01</w:t>
            </w:r>
          </w:p>
        </w:tc>
        <w:tc>
          <w:tcPr>
            <w:tcW w:w="1300" w:type="dxa"/>
            <w:tcBorders>
              <w:top w:val="nil"/>
              <w:left w:val="nil"/>
              <w:bottom w:val="nil"/>
              <w:right w:val="single" w:sz="4" w:space="0" w:color="auto"/>
            </w:tcBorders>
            <w:shd w:val="clear" w:color="auto" w:fill="auto"/>
            <w:noWrap/>
            <w:vAlign w:val="center"/>
            <w:hideMark/>
          </w:tcPr>
          <w:p w:rsidR="00501072" w:rsidRPr="00501072" w:rsidRDefault="00501072" w:rsidP="00501072">
            <w:pPr>
              <w:spacing w:after="0" w:line="240" w:lineRule="auto"/>
              <w:jc w:val="center"/>
              <w:rPr>
                <w:rFonts w:ascii="Calibri" w:eastAsia="Times New Roman" w:hAnsi="Calibri" w:cs="Times New Roman"/>
                <w:color w:val="000000"/>
                <w:lang w:val="de-DE" w:eastAsia="de-DE"/>
              </w:rPr>
            </w:pPr>
            <w:r w:rsidRPr="00501072">
              <w:rPr>
                <w:rFonts w:ascii="Calibri" w:eastAsia="Times New Roman" w:hAnsi="Calibri" w:cs="Times New Roman"/>
                <w:color w:val="000000"/>
                <w:lang w:val="de-DE" w:eastAsia="de-DE"/>
              </w:rPr>
              <w:t xml:space="preserve">0.5 </w:t>
            </w:r>
            <w:r w:rsidRPr="00501072">
              <w:rPr>
                <w:rFonts w:ascii="Calibri" w:eastAsia="Times New Roman" w:hAnsi="Calibri" w:cs="Times New Roman"/>
                <w:color w:val="000000"/>
                <w:sz w:val="16"/>
                <w:szCs w:val="16"/>
                <w:lang w:val="de-DE" w:eastAsia="de-DE"/>
              </w:rPr>
              <w:t>± 0.2</w:t>
            </w:r>
          </w:p>
        </w:tc>
        <w:tc>
          <w:tcPr>
            <w:tcW w:w="880" w:type="dxa"/>
            <w:tcBorders>
              <w:top w:val="nil"/>
              <w:left w:val="nil"/>
              <w:bottom w:val="nil"/>
              <w:right w:val="single" w:sz="4" w:space="0" w:color="auto"/>
            </w:tcBorders>
            <w:shd w:val="clear" w:color="000000" w:fill="DA9694"/>
            <w:noWrap/>
            <w:vAlign w:val="center"/>
            <w:hideMark/>
          </w:tcPr>
          <w:p w:rsidR="00501072" w:rsidRPr="00501072" w:rsidRDefault="00501072" w:rsidP="00501072">
            <w:pPr>
              <w:spacing w:after="0" w:line="240" w:lineRule="auto"/>
              <w:jc w:val="center"/>
              <w:rPr>
                <w:rFonts w:ascii="Calibri" w:eastAsia="Times New Roman" w:hAnsi="Calibri" w:cs="Times New Roman"/>
                <w:color w:val="000000"/>
                <w:lang w:val="de-DE" w:eastAsia="de-DE"/>
              </w:rPr>
            </w:pPr>
            <w:r w:rsidRPr="00501072">
              <w:rPr>
                <w:rFonts w:ascii="Calibri" w:eastAsia="Times New Roman" w:hAnsi="Calibri" w:cs="Times New Roman"/>
                <w:color w:val="000000"/>
                <w:lang w:val="de-DE" w:eastAsia="de-DE"/>
              </w:rPr>
              <w:t xml:space="preserve">6.0 </w:t>
            </w:r>
            <w:r w:rsidRPr="00501072">
              <w:rPr>
                <w:rFonts w:ascii="Calibri" w:eastAsia="Times New Roman" w:hAnsi="Calibri" w:cs="Times New Roman"/>
                <w:color w:val="000000"/>
                <w:sz w:val="18"/>
                <w:szCs w:val="18"/>
                <w:lang w:val="de-DE" w:eastAsia="de-DE"/>
              </w:rPr>
              <w:t>*</w:t>
            </w:r>
          </w:p>
        </w:tc>
        <w:tc>
          <w:tcPr>
            <w:tcW w:w="1340" w:type="dxa"/>
            <w:tcBorders>
              <w:top w:val="nil"/>
              <w:left w:val="nil"/>
              <w:bottom w:val="nil"/>
              <w:right w:val="nil"/>
            </w:tcBorders>
            <w:shd w:val="clear" w:color="auto" w:fill="auto"/>
            <w:noWrap/>
            <w:vAlign w:val="center"/>
            <w:hideMark/>
          </w:tcPr>
          <w:p w:rsidR="00501072" w:rsidRPr="00501072" w:rsidRDefault="00501072" w:rsidP="00501072">
            <w:pPr>
              <w:spacing w:after="0" w:line="240" w:lineRule="auto"/>
              <w:jc w:val="center"/>
              <w:rPr>
                <w:rFonts w:ascii="Calibri" w:eastAsia="Times New Roman" w:hAnsi="Calibri" w:cs="Times New Roman"/>
                <w:color w:val="000000"/>
                <w:lang w:val="de-DE" w:eastAsia="de-DE"/>
              </w:rPr>
            </w:pPr>
            <w:r w:rsidRPr="00501072">
              <w:rPr>
                <w:rFonts w:ascii="Calibri" w:eastAsia="Times New Roman" w:hAnsi="Calibri" w:cs="Times New Roman"/>
                <w:color w:val="000000"/>
                <w:lang w:val="de-DE" w:eastAsia="de-DE"/>
              </w:rPr>
              <w:t xml:space="preserve">0.2 </w:t>
            </w:r>
            <w:r w:rsidRPr="00501072">
              <w:rPr>
                <w:rFonts w:ascii="Calibri" w:eastAsia="Times New Roman" w:hAnsi="Calibri" w:cs="Times New Roman"/>
                <w:color w:val="000000"/>
                <w:sz w:val="16"/>
                <w:szCs w:val="16"/>
                <w:lang w:val="de-DE" w:eastAsia="de-DE"/>
              </w:rPr>
              <w:t>± 0.04</w:t>
            </w:r>
          </w:p>
        </w:tc>
        <w:tc>
          <w:tcPr>
            <w:tcW w:w="1060" w:type="dxa"/>
            <w:tcBorders>
              <w:top w:val="nil"/>
              <w:left w:val="nil"/>
              <w:bottom w:val="nil"/>
              <w:right w:val="single" w:sz="4" w:space="0" w:color="auto"/>
            </w:tcBorders>
            <w:shd w:val="clear" w:color="auto" w:fill="auto"/>
            <w:noWrap/>
            <w:vAlign w:val="center"/>
            <w:hideMark/>
          </w:tcPr>
          <w:p w:rsidR="00501072" w:rsidRPr="00501072" w:rsidRDefault="00501072" w:rsidP="00501072">
            <w:pPr>
              <w:spacing w:after="0" w:line="240" w:lineRule="auto"/>
              <w:jc w:val="center"/>
              <w:rPr>
                <w:rFonts w:ascii="Calibri" w:eastAsia="Times New Roman" w:hAnsi="Calibri" w:cs="Times New Roman"/>
                <w:color w:val="000000"/>
                <w:lang w:val="de-DE" w:eastAsia="de-DE"/>
              </w:rPr>
            </w:pPr>
            <w:r w:rsidRPr="00501072">
              <w:rPr>
                <w:rFonts w:ascii="Calibri" w:eastAsia="Times New Roman" w:hAnsi="Calibri" w:cs="Times New Roman"/>
                <w:color w:val="000000"/>
                <w:lang w:val="de-DE" w:eastAsia="de-DE"/>
              </w:rPr>
              <w:t xml:space="preserve">0.34 </w:t>
            </w:r>
            <w:r w:rsidRPr="00501072">
              <w:rPr>
                <w:rFonts w:ascii="Calibri" w:eastAsia="Times New Roman" w:hAnsi="Calibri" w:cs="Times New Roman"/>
                <w:color w:val="000000"/>
                <w:sz w:val="16"/>
                <w:szCs w:val="16"/>
                <w:lang w:val="de-DE" w:eastAsia="de-DE"/>
              </w:rPr>
              <w:t>± 0.08</w:t>
            </w:r>
          </w:p>
        </w:tc>
        <w:tc>
          <w:tcPr>
            <w:tcW w:w="720" w:type="dxa"/>
            <w:tcBorders>
              <w:top w:val="nil"/>
              <w:left w:val="nil"/>
              <w:bottom w:val="nil"/>
              <w:right w:val="single" w:sz="4" w:space="0" w:color="auto"/>
            </w:tcBorders>
            <w:shd w:val="clear" w:color="000000" w:fill="F2DCDB"/>
            <w:noWrap/>
            <w:vAlign w:val="center"/>
            <w:hideMark/>
          </w:tcPr>
          <w:p w:rsidR="00501072" w:rsidRPr="00501072" w:rsidRDefault="00501072" w:rsidP="00501072">
            <w:pPr>
              <w:spacing w:after="0" w:line="240" w:lineRule="auto"/>
              <w:jc w:val="center"/>
              <w:rPr>
                <w:rFonts w:ascii="Calibri" w:eastAsia="Times New Roman" w:hAnsi="Calibri" w:cs="Times New Roman"/>
                <w:color w:val="000000"/>
                <w:lang w:val="de-DE" w:eastAsia="de-DE"/>
              </w:rPr>
            </w:pPr>
            <w:r w:rsidRPr="00501072">
              <w:rPr>
                <w:rFonts w:ascii="Calibri" w:eastAsia="Times New Roman" w:hAnsi="Calibri" w:cs="Times New Roman"/>
                <w:color w:val="000000"/>
                <w:lang w:val="de-DE" w:eastAsia="de-DE"/>
              </w:rPr>
              <w:t>1.6</w:t>
            </w:r>
          </w:p>
        </w:tc>
        <w:tc>
          <w:tcPr>
            <w:tcW w:w="2600" w:type="dxa"/>
            <w:gridSpan w:val="2"/>
            <w:tcBorders>
              <w:top w:val="nil"/>
              <w:left w:val="nil"/>
              <w:bottom w:val="nil"/>
              <w:right w:val="single" w:sz="4" w:space="0" w:color="000000"/>
            </w:tcBorders>
            <w:shd w:val="clear" w:color="auto" w:fill="auto"/>
            <w:noWrap/>
            <w:vAlign w:val="center"/>
            <w:hideMark/>
          </w:tcPr>
          <w:p w:rsidR="00501072" w:rsidRPr="00501072" w:rsidRDefault="00501072" w:rsidP="00501072">
            <w:pPr>
              <w:spacing w:after="0" w:line="240" w:lineRule="auto"/>
              <w:jc w:val="center"/>
              <w:rPr>
                <w:rFonts w:ascii="Calibri" w:eastAsia="Times New Roman" w:hAnsi="Calibri" w:cs="Times New Roman"/>
                <w:color w:val="000000"/>
                <w:lang w:val="de-DE" w:eastAsia="de-DE"/>
              </w:rPr>
            </w:pPr>
            <w:r w:rsidRPr="00501072">
              <w:rPr>
                <w:rFonts w:ascii="Calibri" w:eastAsia="Times New Roman" w:hAnsi="Calibri" w:cs="Times New Roman"/>
                <w:color w:val="000000"/>
                <w:lang w:val="de-DE" w:eastAsia="de-DE"/>
              </w:rPr>
              <w:t>not detected</w:t>
            </w:r>
          </w:p>
        </w:tc>
        <w:tc>
          <w:tcPr>
            <w:tcW w:w="840" w:type="dxa"/>
            <w:tcBorders>
              <w:top w:val="nil"/>
              <w:left w:val="nil"/>
              <w:bottom w:val="nil"/>
              <w:right w:val="single" w:sz="4" w:space="0" w:color="auto"/>
            </w:tcBorders>
            <w:shd w:val="clear" w:color="auto" w:fill="auto"/>
            <w:noWrap/>
            <w:vAlign w:val="center"/>
            <w:hideMark/>
          </w:tcPr>
          <w:p w:rsidR="00501072" w:rsidRPr="00501072" w:rsidRDefault="00501072" w:rsidP="00501072">
            <w:pPr>
              <w:spacing w:after="0" w:line="240" w:lineRule="auto"/>
              <w:jc w:val="center"/>
              <w:rPr>
                <w:rFonts w:ascii="Calibri" w:eastAsia="Times New Roman" w:hAnsi="Calibri" w:cs="Times New Roman"/>
                <w:color w:val="000000"/>
                <w:lang w:val="de-DE" w:eastAsia="de-DE"/>
              </w:rPr>
            </w:pPr>
            <w:r w:rsidRPr="00501072">
              <w:rPr>
                <w:rFonts w:ascii="Calibri" w:eastAsia="Times New Roman" w:hAnsi="Calibri" w:cs="Times New Roman"/>
                <w:color w:val="000000"/>
                <w:lang w:val="de-DE" w:eastAsia="de-DE"/>
              </w:rPr>
              <w:t> </w:t>
            </w:r>
          </w:p>
        </w:tc>
      </w:tr>
      <w:tr w:rsidR="00501072" w:rsidRPr="00501072" w:rsidTr="00501072">
        <w:trPr>
          <w:trHeight w:val="300"/>
        </w:trPr>
        <w:tc>
          <w:tcPr>
            <w:tcW w:w="1480" w:type="dxa"/>
            <w:tcBorders>
              <w:top w:val="nil"/>
              <w:left w:val="single" w:sz="4" w:space="0" w:color="auto"/>
              <w:bottom w:val="nil"/>
              <w:right w:val="single" w:sz="4" w:space="0" w:color="auto"/>
            </w:tcBorders>
            <w:shd w:val="clear" w:color="auto" w:fill="auto"/>
            <w:vAlign w:val="bottom"/>
            <w:hideMark/>
          </w:tcPr>
          <w:p w:rsidR="00501072" w:rsidRPr="00501072" w:rsidRDefault="00501072" w:rsidP="00501072">
            <w:pPr>
              <w:spacing w:after="0" w:line="240" w:lineRule="auto"/>
              <w:rPr>
                <w:rFonts w:ascii="Calibri" w:eastAsia="Times New Roman" w:hAnsi="Calibri" w:cs="Times New Roman"/>
                <w:color w:val="000000"/>
                <w:lang w:val="de-DE" w:eastAsia="de-DE"/>
              </w:rPr>
            </w:pPr>
            <w:r w:rsidRPr="00501072">
              <w:rPr>
                <w:rFonts w:ascii="Calibri" w:eastAsia="Times New Roman" w:hAnsi="Calibri" w:cs="Times New Roman"/>
                <w:color w:val="000000"/>
                <w:lang w:val="de-DE" w:eastAsia="de-DE"/>
              </w:rPr>
              <w:t>Unknown 3</w:t>
            </w:r>
          </w:p>
        </w:tc>
        <w:tc>
          <w:tcPr>
            <w:tcW w:w="2320" w:type="dxa"/>
            <w:gridSpan w:val="2"/>
            <w:tcBorders>
              <w:top w:val="nil"/>
              <w:left w:val="nil"/>
              <w:bottom w:val="nil"/>
              <w:right w:val="single" w:sz="4" w:space="0" w:color="000000"/>
            </w:tcBorders>
            <w:shd w:val="clear" w:color="auto" w:fill="auto"/>
            <w:noWrap/>
            <w:vAlign w:val="center"/>
            <w:hideMark/>
          </w:tcPr>
          <w:p w:rsidR="00501072" w:rsidRPr="00501072" w:rsidRDefault="00501072" w:rsidP="00501072">
            <w:pPr>
              <w:spacing w:after="0" w:line="240" w:lineRule="auto"/>
              <w:jc w:val="center"/>
              <w:rPr>
                <w:rFonts w:ascii="Calibri" w:eastAsia="Times New Roman" w:hAnsi="Calibri" w:cs="Times New Roman"/>
                <w:color w:val="000000"/>
                <w:lang w:val="de-DE" w:eastAsia="de-DE"/>
              </w:rPr>
            </w:pPr>
            <w:r w:rsidRPr="00501072">
              <w:rPr>
                <w:rFonts w:ascii="Calibri" w:eastAsia="Times New Roman" w:hAnsi="Calibri" w:cs="Times New Roman"/>
                <w:color w:val="000000"/>
                <w:lang w:val="de-DE" w:eastAsia="de-DE"/>
              </w:rPr>
              <w:t>not detected</w:t>
            </w:r>
          </w:p>
        </w:tc>
        <w:tc>
          <w:tcPr>
            <w:tcW w:w="820" w:type="dxa"/>
            <w:tcBorders>
              <w:top w:val="nil"/>
              <w:left w:val="nil"/>
              <w:bottom w:val="nil"/>
              <w:right w:val="single" w:sz="4" w:space="0" w:color="auto"/>
            </w:tcBorders>
            <w:shd w:val="clear" w:color="auto" w:fill="auto"/>
            <w:noWrap/>
            <w:vAlign w:val="center"/>
            <w:hideMark/>
          </w:tcPr>
          <w:p w:rsidR="00501072" w:rsidRPr="00501072" w:rsidRDefault="00501072" w:rsidP="00501072">
            <w:pPr>
              <w:spacing w:after="0" w:line="240" w:lineRule="auto"/>
              <w:jc w:val="center"/>
              <w:rPr>
                <w:rFonts w:ascii="Calibri" w:eastAsia="Times New Roman" w:hAnsi="Calibri" w:cs="Times New Roman"/>
                <w:color w:val="000000"/>
                <w:lang w:val="de-DE" w:eastAsia="de-DE"/>
              </w:rPr>
            </w:pPr>
            <w:r w:rsidRPr="00501072">
              <w:rPr>
                <w:rFonts w:ascii="Calibri" w:eastAsia="Times New Roman" w:hAnsi="Calibri" w:cs="Times New Roman"/>
                <w:color w:val="000000"/>
                <w:lang w:val="de-DE" w:eastAsia="de-DE"/>
              </w:rPr>
              <w:t> </w:t>
            </w:r>
          </w:p>
        </w:tc>
        <w:tc>
          <w:tcPr>
            <w:tcW w:w="1460" w:type="dxa"/>
            <w:tcBorders>
              <w:top w:val="nil"/>
              <w:left w:val="nil"/>
              <w:bottom w:val="nil"/>
              <w:right w:val="nil"/>
            </w:tcBorders>
            <w:shd w:val="clear" w:color="auto" w:fill="auto"/>
            <w:noWrap/>
            <w:vAlign w:val="center"/>
            <w:hideMark/>
          </w:tcPr>
          <w:p w:rsidR="00501072" w:rsidRPr="00501072" w:rsidRDefault="00501072" w:rsidP="00501072">
            <w:pPr>
              <w:spacing w:after="0" w:line="240" w:lineRule="auto"/>
              <w:jc w:val="center"/>
              <w:rPr>
                <w:rFonts w:ascii="Calibri" w:eastAsia="Times New Roman" w:hAnsi="Calibri" w:cs="Times New Roman"/>
                <w:color w:val="000000"/>
                <w:lang w:val="de-DE" w:eastAsia="de-DE"/>
              </w:rPr>
            </w:pPr>
            <w:r w:rsidRPr="00501072">
              <w:rPr>
                <w:rFonts w:ascii="Calibri" w:eastAsia="Times New Roman" w:hAnsi="Calibri" w:cs="Times New Roman"/>
                <w:color w:val="000000"/>
                <w:lang w:val="de-DE" w:eastAsia="de-DE"/>
              </w:rPr>
              <w:t xml:space="preserve">0.001 </w:t>
            </w:r>
            <w:r w:rsidRPr="00501072">
              <w:rPr>
                <w:rFonts w:ascii="Calibri" w:eastAsia="Times New Roman" w:hAnsi="Calibri" w:cs="Times New Roman"/>
                <w:color w:val="000000"/>
                <w:sz w:val="16"/>
                <w:szCs w:val="16"/>
                <w:lang w:val="de-DE" w:eastAsia="de-DE"/>
              </w:rPr>
              <w:t>± 0.0004</w:t>
            </w:r>
          </w:p>
        </w:tc>
        <w:tc>
          <w:tcPr>
            <w:tcW w:w="1300" w:type="dxa"/>
            <w:tcBorders>
              <w:top w:val="nil"/>
              <w:left w:val="nil"/>
              <w:bottom w:val="nil"/>
              <w:right w:val="single" w:sz="4" w:space="0" w:color="auto"/>
            </w:tcBorders>
            <w:shd w:val="clear" w:color="auto" w:fill="auto"/>
            <w:noWrap/>
            <w:vAlign w:val="center"/>
            <w:hideMark/>
          </w:tcPr>
          <w:p w:rsidR="00501072" w:rsidRPr="00501072" w:rsidRDefault="00501072" w:rsidP="00501072">
            <w:pPr>
              <w:spacing w:after="0" w:line="240" w:lineRule="auto"/>
              <w:jc w:val="center"/>
              <w:rPr>
                <w:rFonts w:ascii="Calibri" w:eastAsia="Times New Roman" w:hAnsi="Calibri" w:cs="Times New Roman"/>
                <w:color w:val="000000"/>
                <w:lang w:val="de-DE" w:eastAsia="de-DE"/>
              </w:rPr>
            </w:pPr>
            <w:r w:rsidRPr="00501072">
              <w:rPr>
                <w:rFonts w:ascii="Calibri" w:eastAsia="Times New Roman" w:hAnsi="Calibri" w:cs="Times New Roman"/>
                <w:color w:val="000000"/>
                <w:lang w:val="de-DE" w:eastAsia="de-DE"/>
              </w:rPr>
              <w:t xml:space="preserve">0.1 </w:t>
            </w:r>
            <w:r w:rsidRPr="00501072">
              <w:rPr>
                <w:rFonts w:ascii="Calibri" w:eastAsia="Times New Roman" w:hAnsi="Calibri" w:cs="Times New Roman"/>
                <w:color w:val="000000"/>
                <w:sz w:val="16"/>
                <w:szCs w:val="16"/>
                <w:lang w:val="de-DE" w:eastAsia="de-DE"/>
              </w:rPr>
              <w:t>± 0.01</w:t>
            </w:r>
          </w:p>
        </w:tc>
        <w:tc>
          <w:tcPr>
            <w:tcW w:w="880" w:type="dxa"/>
            <w:tcBorders>
              <w:top w:val="nil"/>
              <w:left w:val="nil"/>
              <w:bottom w:val="nil"/>
              <w:right w:val="single" w:sz="4" w:space="0" w:color="auto"/>
            </w:tcBorders>
            <w:shd w:val="clear" w:color="000000" w:fill="963634"/>
            <w:noWrap/>
            <w:vAlign w:val="center"/>
            <w:hideMark/>
          </w:tcPr>
          <w:p w:rsidR="00501072" w:rsidRPr="00501072" w:rsidRDefault="00501072" w:rsidP="00501072">
            <w:pPr>
              <w:spacing w:after="0" w:line="240" w:lineRule="auto"/>
              <w:jc w:val="center"/>
              <w:rPr>
                <w:rFonts w:ascii="Calibri" w:eastAsia="Times New Roman" w:hAnsi="Calibri" w:cs="Times New Roman"/>
                <w:color w:val="FFFFFF"/>
                <w:lang w:val="de-DE" w:eastAsia="de-DE"/>
              </w:rPr>
            </w:pPr>
            <w:r w:rsidRPr="00501072">
              <w:rPr>
                <w:rFonts w:ascii="Calibri" w:eastAsia="Times New Roman" w:hAnsi="Calibri" w:cs="Times New Roman"/>
                <w:color w:val="FFFFFF"/>
                <w:lang w:val="de-DE" w:eastAsia="de-DE"/>
              </w:rPr>
              <w:t xml:space="preserve">94.5 </w:t>
            </w:r>
            <w:r w:rsidRPr="00501072">
              <w:rPr>
                <w:rFonts w:ascii="Calibri" w:eastAsia="Times New Roman" w:hAnsi="Calibri" w:cs="Times New Roman"/>
                <w:color w:val="FFFFFF"/>
                <w:sz w:val="18"/>
                <w:szCs w:val="18"/>
                <w:lang w:val="de-DE" w:eastAsia="de-DE"/>
              </w:rPr>
              <w:t>***</w:t>
            </w:r>
          </w:p>
        </w:tc>
        <w:tc>
          <w:tcPr>
            <w:tcW w:w="2400" w:type="dxa"/>
            <w:gridSpan w:val="2"/>
            <w:tcBorders>
              <w:top w:val="nil"/>
              <w:left w:val="nil"/>
              <w:bottom w:val="nil"/>
              <w:right w:val="single" w:sz="4" w:space="0" w:color="000000"/>
            </w:tcBorders>
            <w:shd w:val="clear" w:color="auto" w:fill="auto"/>
            <w:noWrap/>
            <w:vAlign w:val="center"/>
            <w:hideMark/>
          </w:tcPr>
          <w:p w:rsidR="00501072" w:rsidRPr="00501072" w:rsidRDefault="00501072" w:rsidP="00501072">
            <w:pPr>
              <w:spacing w:after="0" w:line="240" w:lineRule="auto"/>
              <w:jc w:val="center"/>
              <w:rPr>
                <w:rFonts w:ascii="Calibri" w:eastAsia="Times New Roman" w:hAnsi="Calibri" w:cs="Times New Roman"/>
                <w:color w:val="000000"/>
                <w:lang w:val="de-DE" w:eastAsia="de-DE"/>
              </w:rPr>
            </w:pPr>
            <w:r w:rsidRPr="00501072">
              <w:rPr>
                <w:rFonts w:ascii="Calibri" w:eastAsia="Times New Roman" w:hAnsi="Calibri" w:cs="Times New Roman"/>
                <w:color w:val="000000"/>
                <w:lang w:val="de-DE" w:eastAsia="de-DE"/>
              </w:rPr>
              <w:t>not detected</w:t>
            </w:r>
          </w:p>
        </w:tc>
        <w:tc>
          <w:tcPr>
            <w:tcW w:w="720" w:type="dxa"/>
            <w:tcBorders>
              <w:top w:val="nil"/>
              <w:left w:val="nil"/>
              <w:bottom w:val="nil"/>
              <w:right w:val="single" w:sz="4" w:space="0" w:color="auto"/>
            </w:tcBorders>
            <w:shd w:val="clear" w:color="auto" w:fill="auto"/>
            <w:noWrap/>
            <w:vAlign w:val="center"/>
            <w:hideMark/>
          </w:tcPr>
          <w:p w:rsidR="00501072" w:rsidRPr="00501072" w:rsidRDefault="00501072" w:rsidP="00501072">
            <w:pPr>
              <w:spacing w:after="0" w:line="240" w:lineRule="auto"/>
              <w:jc w:val="center"/>
              <w:rPr>
                <w:rFonts w:ascii="Calibri" w:eastAsia="Times New Roman" w:hAnsi="Calibri" w:cs="Times New Roman"/>
                <w:color w:val="000000"/>
                <w:lang w:val="de-DE" w:eastAsia="de-DE"/>
              </w:rPr>
            </w:pPr>
            <w:r w:rsidRPr="00501072">
              <w:rPr>
                <w:rFonts w:ascii="Calibri" w:eastAsia="Times New Roman" w:hAnsi="Calibri" w:cs="Times New Roman"/>
                <w:color w:val="000000"/>
                <w:lang w:val="de-DE" w:eastAsia="de-DE"/>
              </w:rPr>
              <w:t> </w:t>
            </w:r>
          </w:p>
        </w:tc>
        <w:tc>
          <w:tcPr>
            <w:tcW w:w="2600" w:type="dxa"/>
            <w:gridSpan w:val="2"/>
            <w:tcBorders>
              <w:top w:val="nil"/>
              <w:left w:val="nil"/>
              <w:bottom w:val="nil"/>
              <w:right w:val="single" w:sz="4" w:space="0" w:color="000000"/>
            </w:tcBorders>
            <w:shd w:val="clear" w:color="auto" w:fill="auto"/>
            <w:noWrap/>
            <w:vAlign w:val="center"/>
            <w:hideMark/>
          </w:tcPr>
          <w:p w:rsidR="00501072" w:rsidRPr="00501072" w:rsidRDefault="00501072" w:rsidP="00501072">
            <w:pPr>
              <w:spacing w:after="0" w:line="240" w:lineRule="auto"/>
              <w:jc w:val="center"/>
              <w:rPr>
                <w:rFonts w:ascii="Calibri" w:eastAsia="Times New Roman" w:hAnsi="Calibri" w:cs="Times New Roman"/>
                <w:color w:val="000000"/>
                <w:lang w:val="de-DE" w:eastAsia="de-DE"/>
              </w:rPr>
            </w:pPr>
            <w:r w:rsidRPr="00501072">
              <w:rPr>
                <w:rFonts w:ascii="Calibri" w:eastAsia="Times New Roman" w:hAnsi="Calibri" w:cs="Times New Roman"/>
                <w:color w:val="000000"/>
                <w:lang w:val="de-DE" w:eastAsia="de-DE"/>
              </w:rPr>
              <w:t>not detected</w:t>
            </w:r>
          </w:p>
        </w:tc>
        <w:tc>
          <w:tcPr>
            <w:tcW w:w="840" w:type="dxa"/>
            <w:tcBorders>
              <w:top w:val="nil"/>
              <w:left w:val="nil"/>
              <w:bottom w:val="nil"/>
              <w:right w:val="single" w:sz="4" w:space="0" w:color="auto"/>
            </w:tcBorders>
            <w:shd w:val="clear" w:color="auto" w:fill="auto"/>
            <w:noWrap/>
            <w:vAlign w:val="center"/>
            <w:hideMark/>
          </w:tcPr>
          <w:p w:rsidR="00501072" w:rsidRPr="00501072" w:rsidRDefault="00501072" w:rsidP="00501072">
            <w:pPr>
              <w:spacing w:after="0" w:line="240" w:lineRule="auto"/>
              <w:jc w:val="center"/>
              <w:rPr>
                <w:rFonts w:ascii="Calibri" w:eastAsia="Times New Roman" w:hAnsi="Calibri" w:cs="Times New Roman"/>
                <w:color w:val="000000"/>
                <w:lang w:val="de-DE" w:eastAsia="de-DE"/>
              </w:rPr>
            </w:pPr>
            <w:r w:rsidRPr="00501072">
              <w:rPr>
                <w:rFonts w:ascii="Calibri" w:eastAsia="Times New Roman" w:hAnsi="Calibri" w:cs="Times New Roman"/>
                <w:color w:val="000000"/>
                <w:lang w:val="de-DE" w:eastAsia="de-DE"/>
              </w:rPr>
              <w:t> </w:t>
            </w:r>
          </w:p>
        </w:tc>
      </w:tr>
      <w:tr w:rsidR="00501072" w:rsidRPr="00501072" w:rsidTr="00501072">
        <w:trPr>
          <w:trHeight w:val="300"/>
        </w:trPr>
        <w:tc>
          <w:tcPr>
            <w:tcW w:w="1480" w:type="dxa"/>
            <w:tcBorders>
              <w:top w:val="nil"/>
              <w:left w:val="single" w:sz="4" w:space="0" w:color="auto"/>
              <w:bottom w:val="nil"/>
              <w:right w:val="single" w:sz="4" w:space="0" w:color="auto"/>
            </w:tcBorders>
            <w:shd w:val="clear" w:color="auto" w:fill="auto"/>
            <w:noWrap/>
            <w:vAlign w:val="bottom"/>
            <w:hideMark/>
          </w:tcPr>
          <w:p w:rsidR="00501072" w:rsidRPr="00501072" w:rsidRDefault="00501072" w:rsidP="00501072">
            <w:pPr>
              <w:spacing w:after="0" w:line="240" w:lineRule="auto"/>
              <w:rPr>
                <w:rFonts w:ascii="Calibri" w:eastAsia="Times New Roman" w:hAnsi="Calibri" w:cs="Times New Roman"/>
                <w:color w:val="000000"/>
                <w:lang w:val="de-DE" w:eastAsia="de-DE"/>
              </w:rPr>
            </w:pPr>
            <w:r w:rsidRPr="00501072">
              <w:rPr>
                <w:rFonts w:ascii="Calibri" w:eastAsia="Times New Roman" w:hAnsi="Calibri" w:cs="Times New Roman"/>
                <w:color w:val="000000"/>
                <w:lang w:val="de-DE" w:eastAsia="de-DE"/>
              </w:rPr>
              <w:t>Neophytadien</w:t>
            </w:r>
          </w:p>
        </w:tc>
        <w:tc>
          <w:tcPr>
            <w:tcW w:w="1180" w:type="dxa"/>
            <w:tcBorders>
              <w:top w:val="nil"/>
              <w:left w:val="nil"/>
              <w:bottom w:val="nil"/>
              <w:right w:val="nil"/>
            </w:tcBorders>
            <w:shd w:val="clear" w:color="auto" w:fill="auto"/>
            <w:noWrap/>
            <w:vAlign w:val="center"/>
            <w:hideMark/>
          </w:tcPr>
          <w:p w:rsidR="00501072" w:rsidRPr="00501072" w:rsidRDefault="00501072" w:rsidP="00501072">
            <w:pPr>
              <w:spacing w:after="0" w:line="240" w:lineRule="auto"/>
              <w:jc w:val="center"/>
              <w:rPr>
                <w:rFonts w:ascii="Calibri" w:eastAsia="Times New Roman" w:hAnsi="Calibri" w:cs="Times New Roman"/>
                <w:color w:val="000000"/>
                <w:lang w:val="de-DE" w:eastAsia="de-DE"/>
              </w:rPr>
            </w:pPr>
            <w:r w:rsidRPr="00501072">
              <w:rPr>
                <w:rFonts w:ascii="Calibri" w:eastAsia="Times New Roman" w:hAnsi="Calibri" w:cs="Times New Roman"/>
                <w:color w:val="000000"/>
                <w:lang w:val="de-DE" w:eastAsia="de-DE"/>
              </w:rPr>
              <w:t xml:space="preserve">0.6 </w:t>
            </w:r>
            <w:r w:rsidRPr="00501072">
              <w:rPr>
                <w:rFonts w:ascii="Calibri" w:eastAsia="Times New Roman" w:hAnsi="Calibri" w:cs="Times New Roman"/>
                <w:color w:val="000000"/>
                <w:sz w:val="16"/>
                <w:szCs w:val="16"/>
                <w:lang w:val="de-DE" w:eastAsia="de-DE"/>
              </w:rPr>
              <w:t>± 0.1</w:t>
            </w:r>
          </w:p>
        </w:tc>
        <w:tc>
          <w:tcPr>
            <w:tcW w:w="1140" w:type="dxa"/>
            <w:tcBorders>
              <w:top w:val="nil"/>
              <w:left w:val="nil"/>
              <w:bottom w:val="nil"/>
              <w:right w:val="single" w:sz="4" w:space="0" w:color="auto"/>
            </w:tcBorders>
            <w:shd w:val="clear" w:color="auto" w:fill="auto"/>
            <w:noWrap/>
            <w:vAlign w:val="center"/>
            <w:hideMark/>
          </w:tcPr>
          <w:p w:rsidR="00501072" w:rsidRPr="00501072" w:rsidRDefault="00501072" w:rsidP="00501072">
            <w:pPr>
              <w:spacing w:after="0" w:line="240" w:lineRule="auto"/>
              <w:jc w:val="center"/>
              <w:rPr>
                <w:rFonts w:ascii="Calibri" w:eastAsia="Times New Roman" w:hAnsi="Calibri" w:cs="Times New Roman"/>
                <w:color w:val="000000"/>
                <w:lang w:val="de-DE" w:eastAsia="de-DE"/>
              </w:rPr>
            </w:pPr>
            <w:r w:rsidRPr="00501072">
              <w:rPr>
                <w:rFonts w:ascii="Calibri" w:eastAsia="Times New Roman" w:hAnsi="Calibri" w:cs="Times New Roman"/>
                <w:color w:val="000000"/>
                <w:lang w:val="de-DE" w:eastAsia="de-DE"/>
              </w:rPr>
              <w:t>11.5</w:t>
            </w:r>
            <w:r w:rsidRPr="00501072">
              <w:rPr>
                <w:rFonts w:ascii="Calibri" w:eastAsia="Times New Roman" w:hAnsi="Calibri" w:cs="Times New Roman"/>
                <w:color w:val="000000"/>
                <w:sz w:val="16"/>
                <w:szCs w:val="16"/>
                <w:lang w:val="de-DE" w:eastAsia="de-DE"/>
              </w:rPr>
              <w:t xml:space="preserve"> ± 1.4</w:t>
            </w:r>
          </w:p>
        </w:tc>
        <w:tc>
          <w:tcPr>
            <w:tcW w:w="820" w:type="dxa"/>
            <w:tcBorders>
              <w:top w:val="nil"/>
              <w:left w:val="nil"/>
              <w:bottom w:val="nil"/>
              <w:right w:val="single" w:sz="4" w:space="0" w:color="auto"/>
            </w:tcBorders>
            <w:shd w:val="clear" w:color="000000" w:fill="DA9694"/>
            <w:noWrap/>
            <w:vAlign w:val="center"/>
            <w:hideMark/>
          </w:tcPr>
          <w:p w:rsidR="00501072" w:rsidRPr="00501072" w:rsidRDefault="00501072" w:rsidP="00501072">
            <w:pPr>
              <w:spacing w:after="0" w:line="240" w:lineRule="auto"/>
              <w:jc w:val="center"/>
              <w:rPr>
                <w:rFonts w:ascii="Calibri" w:eastAsia="Times New Roman" w:hAnsi="Calibri" w:cs="Times New Roman"/>
                <w:color w:val="000000"/>
                <w:lang w:val="de-DE" w:eastAsia="de-DE"/>
              </w:rPr>
            </w:pPr>
            <w:r w:rsidRPr="00501072">
              <w:rPr>
                <w:rFonts w:ascii="Calibri" w:eastAsia="Times New Roman" w:hAnsi="Calibri" w:cs="Times New Roman"/>
                <w:color w:val="000000"/>
                <w:lang w:val="de-DE" w:eastAsia="de-DE"/>
              </w:rPr>
              <w:t>17.7</w:t>
            </w:r>
            <w:r w:rsidRPr="00501072">
              <w:rPr>
                <w:rFonts w:ascii="Calibri" w:eastAsia="Times New Roman" w:hAnsi="Calibri" w:cs="Times New Roman"/>
                <w:color w:val="000000"/>
                <w:sz w:val="18"/>
                <w:szCs w:val="18"/>
                <w:lang w:val="de-DE" w:eastAsia="de-DE"/>
              </w:rPr>
              <w:t xml:space="preserve"> ***</w:t>
            </w:r>
          </w:p>
        </w:tc>
        <w:tc>
          <w:tcPr>
            <w:tcW w:w="1460" w:type="dxa"/>
            <w:tcBorders>
              <w:top w:val="nil"/>
              <w:left w:val="nil"/>
              <w:bottom w:val="nil"/>
              <w:right w:val="nil"/>
            </w:tcBorders>
            <w:shd w:val="clear" w:color="auto" w:fill="auto"/>
            <w:noWrap/>
            <w:vAlign w:val="center"/>
            <w:hideMark/>
          </w:tcPr>
          <w:p w:rsidR="00501072" w:rsidRPr="00501072" w:rsidRDefault="00501072" w:rsidP="00501072">
            <w:pPr>
              <w:spacing w:after="0" w:line="240" w:lineRule="auto"/>
              <w:jc w:val="center"/>
              <w:rPr>
                <w:rFonts w:ascii="Calibri" w:eastAsia="Times New Roman" w:hAnsi="Calibri" w:cs="Times New Roman"/>
                <w:color w:val="000000"/>
                <w:lang w:val="de-DE" w:eastAsia="de-DE"/>
              </w:rPr>
            </w:pPr>
            <w:r w:rsidRPr="00501072">
              <w:rPr>
                <w:rFonts w:ascii="Calibri" w:eastAsia="Times New Roman" w:hAnsi="Calibri" w:cs="Times New Roman"/>
                <w:color w:val="000000"/>
                <w:lang w:val="de-DE" w:eastAsia="de-DE"/>
              </w:rPr>
              <w:t xml:space="preserve">0.3 </w:t>
            </w:r>
            <w:r w:rsidRPr="00501072">
              <w:rPr>
                <w:rFonts w:ascii="Calibri" w:eastAsia="Times New Roman" w:hAnsi="Calibri" w:cs="Times New Roman"/>
                <w:color w:val="000000"/>
                <w:sz w:val="16"/>
                <w:szCs w:val="16"/>
                <w:lang w:val="de-DE" w:eastAsia="de-DE"/>
              </w:rPr>
              <w:t>± 0.04</w:t>
            </w:r>
          </w:p>
        </w:tc>
        <w:tc>
          <w:tcPr>
            <w:tcW w:w="1300" w:type="dxa"/>
            <w:tcBorders>
              <w:top w:val="nil"/>
              <w:left w:val="nil"/>
              <w:bottom w:val="nil"/>
              <w:right w:val="single" w:sz="4" w:space="0" w:color="auto"/>
            </w:tcBorders>
            <w:shd w:val="clear" w:color="auto" w:fill="auto"/>
            <w:noWrap/>
            <w:vAlign w:val="center"/>
            <w:hideMark/>
          </w:tcPr>
          <w:p w:rsidR="00501072" w:rsidRPr="00501072" w:rsidRDefault="00501072" w:rsidP="00501072">
            <w:pPr>
              <w:spacing w:after="0" w:line="240" w:lineRule="auto"/>
              <w:jc w:val="center"/>
              <w:rPr>
                <w:rFonts w:ascii="Calibri" w:eastAsia="Times New Roman" w:hAnsi="Calibri" w:cs="Times New Roman"/>
                <w:color w:val="000000"/>
                <w:lang w:val="de-DE" w:eastAsia="de-DE"/>
              </w:rPr>
            </w:pPr>
            <w:r w:rsidRPr="00501072">
              <w:rPr>
                <w:rFonts w:ascii="Calibri" w:eastAsia="Times New Roman" w:hAnsi="Calibri" w:cs="Times New Roman"/>
                <w:color w:val="000000"/>
                <w:lang w:val="de-DE" w:eastAsia="de-DE"/>
              </w:rPr>
              <w:t xml:space="preserve">0.5 </w:t>
            </w:r>
            <w:r w:rsidRPr="00501072">
              <w:rPr>
                <w:rFonts w:ascii="Calibri" w:eastAsia="Times New Roman" w:hAnsi="Calibri" w:cs="Times New Roman"/>
                <w:color w:val="000000"/>
                <w:sz w:val="16"/>
                <w:szCs w:val="16"/>
                <w:lang w:val="de-DE" w:eastAsia="de-DE"/>
              </w:rPr>
              <w:t>± 0.1</w:t>
            </w:r>
          </w:p>
        </w:tc>
        <w:tc>
          <w:tcPr>
            <w:tcW w:w="880" w:type="dxa"/>
            <w:tcBorders>
              <w:top w:val="nil"/>
              <w:left w:val="nil"/>
              <w:bottom w:val="nil"/>
              <w:right w:val="single" w:sz="4" w:space="0" w:color="auto"/>
            </w:tcBorders>
            <w:shd w:val="clear" w:color="000000" w:fill="F2DCDB"/>
            <w:noWrap/>
            <w:vAlign w:val="center"/>
            <w:hideMark/>
          </w:tcPr>
          <w:p w:rsidR="00501072" w:rsidRPr="00501072" w:rsidRDefault="00501072" w:rsidP="00501072">
            <w:pPr>
              <w:spacing w:after="0" w:line="240" w:lineRule="auto"/>
              <w:jc w:val="center"/>
              <w:rPr>
                <w:rFonts w:ascii="Calibri" w:eastAsia="Times New Roman" w:hAnsi="Calibri" w:cs="Times New Roman"/>
                <w:color w:val="000000"/>
                <w:lang w:val="de-DE" w:eastAsia="de-DE"/>
              </w:rPr>
            </w:pPr>
            <w:r w:rsidRPr="00501072">
              <w:rPr>
                <w:rFonts w:ascii="Calibri" w:eastAsia="Times New Roman" w:hAnsi="Calibri" w:cs="Times New Roman"/>
                <w:color w:val="000000"/>
                <w:lang w:val="de-DE" w:eastAsia="de-DE"/>
              </w:rPr>
              <w:t>1.7</w:t>
            </w:r>
          </w:p>
        </w:tc>
        <w:tc>
          <w:tcPr>
            <w:tcW w:w="1340" w:type="dxa"/>
            <w:tcBorders>
              <w:top w:val="nil"/>
              <w:left w:val="nil"/>
              <w:bottom w:val="nil"/>
              <w:right w:val="nil"/>
            </w:tcBorders>
            <w:shd w:val="clear" w:color="auto" w:fill="auto"/>
            <w:noWrap/>
            <w:vAlign w:val="center"/>
            <w:hideMark/>
          </w:tcPr>
          <w:p w:rsidR="00501072" w:rsidRPr="00501072" w:rsidRDefault="00501072" w:rsidP="00501072">
            <w:pPr>
              <w:spacing w:after="0" w:line="240" w:lineRule="auto"/>
              <w:jc w:val="center"/>
              <w:rPr>
                <w:rFonts w:ascii="Calibri" w:eastAsia="Times New Roman" w:hAnsi="Calibri" w:cs="Times New Roman"/>
                <w:color w:val="000000"/>
                <w:lang w:val="de-DE" w:eastAsia="de-DE"/>
              </w:rPr>
            </w:pPr>
            <w:r w:rsidRPr="00501072">
              <w:rPr>
                <w:rFonts w:ascii="Calibri" w:eastAsia="Times New Roman" w:hAnsi="Calibri" w:cs="Times New Roman"/>
                <w:color w:val="000000"/>
                <w:lang w:val="de-DE" w:eastAsia="de-DE"/>
              </w:rPr>
              <w:t xml:space="preserve">1.2 </w:t>
            </w:r>
            <w:r w:rsidRPr="00501072">
              <w:rPr>
                <w:rFonts w:ascii="Calibri" w:eastAsia="Times New Roman" w:hAnsi="Calibri" w:cs="Times New Roman"/>
                <w:color w:val="000000"/>
                <w:sz w:val="16"/>
                <w:szCs w:val="16"/>
                <w:lang w:val="de-DE" w:eastAsia="de-DE"/>
              </w:rPr>
              <w:t>± 0.5</w:t>
            </w:r>
          </w:p>
        </w:tc>
        <w:tc>
          <w:tcPr>
            <w:tcW w:w="1060" w:type="dxa"/>
            <w:tcBorders>
              <w:top w:val="nil"/>
              <w:left w:val="nil"/>
              <w:bottom w:val="nil"/>
              <w:right w:val="single" w:sz="4" w:space="0" w:color="auto"/>
            </w:tcBorders>
            <w:shd w:val="clear" w:color="auto" w:fill="auto"/>
            <w:noWrap/>
            <w:vAlign w:val="center"/>
            <w:hideMark/>
          </w:tcPr>
          <w:p w:rsidR="00501072" w:rsidRPr="00501072" w:rsidRDefault="00501072" w:rsidP="00501072">
            <w:pPr>
              <w:spacing w:after="0" w:line="240" w:lineRule="auto"/>
              <w:jc w:val="center"/>
              <w:rPr>
                <w:rFonts w:ascii="Calibri" w:eastAsia="Times New Roman" w:hAnsi="Calibri" w:cs="Times New Roman"/>
                <w:color w:val="000000"/>
                <w:lang w:val="de-DE" w:eastAsia="de-DE"/>
              </w:rPr>
            </w:pPr>
            <w:r w:rsidRPr="00501072">
              <w:rPr>
                <w:rFonts w:ascii="Calibri" w:eastAsia="Times New Roman" w:hAnsi="Calibri" w:cs="Times New Roman"/>
                <w:color w:val="000000"/>
                <w:lang w:val="de-DE" w:eastAsia="de-DE"/>
              </w:rPr>
              <w:t xml:space="preserve">2.5 </w:t>
            </w:r>
            <w:r w:rsidRPr="00501072">
              <w:rPr>
                <w:rFonts w:ascii="Calibri" w:eastAsia="Times New Roman" w:hAnsi="Calibri" w:cs="Times New Roman"/>
                <w:color w:val="000000"/>
                <w:sz w:val="16"/>
                <w:szCs w:val="16"/>
                <w:lang w:val="de-DE" w:eastAsia="de-DE"/>
              </w:rPr>
              <w:t>± 0.4</w:t>
            </w:r>
          </w:p>
        </w:tc>
        <w:tc>
          <w:tcPr>
            <w:tcW w:w="720" w:type="dxa"/>
            <w:tcBorders>
              <w:top w:val="nil"/>
              <w:left w:val="nil"/>
              <w:bottom w:val="nil"/>
              <w:right w:val="single" w:sz="4" w:space="0" w:color="auto"/>
            </w:tcBorders>
            <w:shd w:val="clear" w:color="000000" w:fill="F2DCDB"/>
            <w:noWrap/>
            <w:vAlign w:val="center"/>
            <w:hideMark/>
          </w:tcPr>
          <w:p w:rsidR="00501072" w:rsidRPr="00501072" w:rsidRDefault="00501072" w:rsidP="00501072">
            <w:pPr>
              <w:spacing w:after="0" w:line="240" w:lineRule="auto"/>
              <w:jc w:val="center"/>
              <w:rPr>
                <w:rFonts w:ascii="Calibri" w:eastAsia="Times New Roman" w:hAnsi="Calibri" w:cs="Times New Roman"/>
                <w:color w:val="000000"/>
                <w:lang w:val="de-DE" w:eastAsia="de-DE"/>
              </w:rPr>
            </w:pPr>
            <w:r w:rsidRPr="00501072">
              <w:rPr>
                <w:rFonts w:ascii="Calibri" w:eastAsia="Times New Roman" w:hAnsi="Calibri" w:cs="Times New Roman"/>
                <w:color w:val="000000"/>
                <w:lang w:val="de-DE" w:eastAsia="de-DE"/>
              </w:rPr>
              <w:t>2.1</w:t>
            </w:r>
          </w:p>
        </w:tc>
        <w:tc>
          <w:tcPr>
            <w:tcW w:w="1360" w:type="dxa"/>
            <w:tcBorders>
              <w:top w:val="nil"/>
              <w:left w:val="nil"/>
              <w:bottom w:val="nil"/>
              <w:right w:val="nil"/>
            </w:tcBorders>
            <w:shd w:val="clear" w:color="auto" w:fill="auto"/>
            <w:noWrap/>
            <w:vAlign w:val="center"/>
            <w:hideMark/>
          </w:tcPr>
          <w:p w:rsidR="00501072" w:rsidRPr="00501072" w:rsidRDefault="00501072" w:rsidP="00501072">
            <w:pPr>
              <w:spacing w:after="0" w:line="240" w:lineRule="auto"/>
              <w:jc w:val="center"/>
              <w:rPr>
                <w:rFonts w:ascii="Calibri" w:eastAsia="Times New Roman" w:hAnsi="Calibri" w:cs="Times New Roman"/>
                <w:color w:val="000000"/>
                <w:lang w:val="de-DE" w:eastAsia="de-DE"/>
              </w:rPr>
            </w:pPr>
            <w:r w:rsidRPr="00501072">
              <w:rPr>
                <w:rFonts w:ascii="Calibri" w:eastAsia="Times New Roman" w:hAnsi="Calibri" w:cs="Times New Roman"/>
                <w:color w:val="000000"/>
                <w:lang w:val="de-DE" w:eastAsia="de-DE"/>
              </w:rPr>
              <w:t xml:space="preserve">3.5 </w:t>
            </w:r>
            <w:r w:rsidRPr="00501072">
              <w:rPr>
                <w:rFonts w:ascii="Calibri" w:eastAsia="Times New Roman" w:hAnsi="Calibri" w:cs="Times New Roman"/>
                <w:color w:val="000000"/>
                <w:sz w:val="16"/>
                <w:szCs w:val="16"/>
                <w:lang w:val="de-DE" w:eastAsia="de-DE"/>
              </w:rPr>
              <w:t>± 0.3</w:t>
            </w:r>
          </w:p>
        </w:tc>
        <w:tc>
          <w:tcPr>
            <w:tcW w:w="1240" w:type="dxa"/>
            <w:tcBorders>
              <w:top w:val="nil"/>
              <w:left w:val="nil"/>
              <w:bottom w:val="nil"/>
              <w:right w:val="single" w:sz="4" w:space="0" w:color="auto"/>
            </w:tcBorders>
            <w:shd w:val="clear" w:color="auto" w:fill="auto"/>
            <w:noWrap/>
            <w:vAlign w:val="center"/>
            <w:hideMark/>
          </w:tcPr>
          <w:p w:rsidR="00501072" w:rsidRPr="00501072" w:rsidRDefault="00501072" w:rsidP="00501072">
            <w:pPr>
              <w:spacing w:after="0" w:line="240" w:lineRule="auto"/>
              <w:jc w:val="center"/>
              <w:rPr>
                <w:rFonts w:ascii="Calibri" w:eastAsia="Times New Roman" w:hAnsi="Calibri" w:cs="Times New Roman"/>
                <w:color w:val="000000"/>
                <w:lang w:val="de-DE" w:eastAsia="de-DE"/>
              </w:rPr>
            </w:pPr>
            <w:r w:rsidRPr="00501072">
              <w:rPr>
                <w:rFonts w:ascii="Calibri" w:eastAsia="Times New Roman" w:hAnsi="Calibri" w:cs="Times New Roman"/>
                <w:color w:val="000000"/>
                <w:lang w:val="de-DE" w:eastAsia="de-DE"/>
              </w:rPr>
              <w:t xml:space="preserve">3.6 </w:t>
            </w:r>
            <w:r w:rsidRPr="00501072">
              <w:rPr>
                <w:rFonts w:ascii="Calibri" w:eastAsia="Times New Roman" w:hAnsi="Calibri" w:cs="Times New Roman"/>
                <w:color w:val="000000"/>
                <w:sz w:val="16"/>
                <w:szCs w:val="16"/>
                <w:lang w:val="de-DE" w:eastAsia="de-DE"/>
              </w:rPr>
              <w:t>± 0.5</w:t>
            </w:r>
          </w:p>
        </w:tc>
        <w:tc>
          <w:tcPr>
            <w:tcW w:w="840" w:type="dxa"/>
            <w:tcBorders>
              <w:top w:val="nil"/>
              <w:left w:val="nil"/>
              <w:bottom w:val="nil"/>
              <w:right w:val="single" w:sz="4" w:space="0" w:color="auto"/>
            </w:tcBorders>
            <w:shd w:val="clear" w:color="auto" w:fill="auto"/>
            <w:noWrap/>
            <w:vAlign w:val="center"/>
            <w:hideMark/>
          </w:tcPr>
          <w:p w:rsidR="00501072" w:rsidRPr="00501072" w:rsidRDefault="00501072" w:rsidP="00501072">
            <w:pPr>
              <w:spacing w:after="0" w:line="240" w:lineRule="auto"/>
              <w:jc w:val="center"/>
              <w:rPr>
                <w:rFonts w:ascii="Calibri" w:eastAsia="Times New Roman" w:hAnsi="Calibri" w:cs="Times New Roman"/>
                <w:color w:val="000000"/>
                <w:lang w:val="de-DE" w:eastAsia="de-DE"/>
              </w:rPr>
            </w:pPr>
            <w:r w:rsidRPr="00501072">
              <w:rPr>
                <w:rFonts w:ascii="Calibri" w:eastAsia="Times New Roman" w:hAnsi="Calibri" w:cs="Times New Roman"/>
                <w:color w:val="000000"/>
                <w:lang w:val="de-DE" w:eastAsia="de-DE"/>
              </w:rPr>
              <w:t>1.0</w:t>
            </w:r>
          </w:p>
        </w:tc>
      </w:tr>
      <w:tr w:rsidR="00501072" w:rsidRPr="00501072" w:rsidTr="00501072">
        <w:trPr>
          <w:trHeight w:val="900"/>
        </w:trPr>
        <w:tc>
          <w:tcPr>
            <w:tcW w:w="1480" w:type="dxa"/>
            <w:tcBorders>
              <w:top w:val="nil"/>
              <w:left w:val="single" w:sz="4" w:space="0" w:color="auto"/>
              <w:bottom w:val="nil"/>
              <w:right w:val="single" w:sz="4" w:space="0" w:color="auto"/>
            </w:tcBorders>
            <w:shd w:val="clear" w:color="auto" w:fill="auto"/>
            <w:vAlign w:val="bottom"/>
            <w:hideMark/>
          </w:tcPr>
          <w:p w:rsidR="00501072" w:rsidRPr="00501072" w:rsidRDefault="00501072" w:rsidP="00501072">
            <w:pPr>
              <w:spacing w:after="0" w:line="240" w:lineRule="auto"/>
              <w:rPr>
                <w:rFonts w:ascii="Calibri" w:eastAsia="Times New Roman" w:hAnsi="Calibri" w:cs="Times New Roman"/>
                <w:color w:val="000000"/>
                <w:lang w:val="de-DE" w:eastAsia="de-DE"/>
              </w:rPr>
            </w:pPr>
            <w:r w:rsidRPr="00501072">
              <w:rPr>
                <w:rFonts w:ascii="Calibri" w:eastAsia="Times New Roman" w:hAnsi="Calibri" w:cs="Times New Roman"/>
                <w:color w:val="000000"/>
                <w:lang w:val="de-DE" w:eastAsia="de-DE"/>
              </w:rPr>
              <w:t>Hydroxy-terephthalic acid</w:t>
            </w:r>
          </w:p>
        </w:tc>
        <w:tc>
          <w:tcPr>
            <w:tcW w:w="1180" w:type="dxa"/>
            <w:tcBorders>
              <w:top w:val="nil"/>
              <w:left w:val="nil"/>
              <w:bottom w:val="nil"/>
              <w:right w:val="nil"/>
            </w:tcBorders>
            <w:shd w:val="clear" w:color="auto" w:fill="auto"/>
            <w:noWrap/>
            <w:vAlign w:val="center"/>
            <w:hideMark/>
          </w:tcPr>
          <w:p w:rsidR="00501072" w:rsidRPr="00501072" w:rsidRDefault="00501072" w:rsidP="00501072">
            <w:pPr>
              <w:spacing w:after="0" w:line="240" w:lineRule="auto"/>
              <w:jc w:val="center"/>
              <w:rPr>
                <w:rFonts w:ascii="Calibri" w:eastAsia="Times New Roman" w:hAnsi="Calibri" w:cs="Times New Roman"/>
                <w:color w:val="000000"/>
                <w:lang w:val="de-DE" w:eastAsia="de-DE"/>
              </w:rPr>
            </w:pPr>
            <w:r w:rsidRPr="00501072">
              <w:rPr>
                <w:rFonts w:ascii="Calibri" w:eastAsia="Times New Roman" w:hAnsi="Calibri" w:cs="Times New Roman"/>
                <w:color w:val="000000"/>
                <w:lang w:val="de-DE" w:eastAsia="de-DE"/>
              </w:rPr>
              <w:t xml:space="preserve">1.4 </w:t>
            </w:r>
            <w:r w:rsidRPr="00501072">
              <w:rPr>
                <w:rFonts w:ascii="Calibri" w:eastAsia="Times New Roman" w:hAnsi="Calibri" w:cs="Times New Roman"/>
                <w:color w:val="000000"/>
                <w:sz w:val="16"/>
                <w:szCs w:val="16"/>
                <w:lang w:val="de-DE" w:eastAsia="de-DE"/>
              </w:rPr>
              <w:t>± 0.3</w:t>
            </w:r>
          </w:p>
        </w:tc>
        <w:tc>
          <w:tcPr>
            <w:tcW w:w="1140" w:type="dxa"/>
            <w:tcBorders>
              <w:top w:val="nil"/>
              <w:left w:val="nil"/>
              <w:bottom w:val="nil"/>
              <w:right w:val="single" w:sz="4" w:space="0" w:color="auto"/>
            </w:tcBorders>
            <w:shd w:val="clear" w:color="auto" w:fill="auto"/>
            <w:noWrap/>
            <w:vAlign w:val="center"/>
            <w:hideMark/>
          </w:tcPr>
          <w:p w:rsidR="00501072" w:rsidRPr="00501072" w:rsidRDefault="00501072" w:rsidP="00501072">
            <w:pPr>
              <w:spacing w:after="0" w:line="240" w:lineRule="auto"/>
              <w:jc w:val="center"/>
              <w:rPr>
                <w:rFonts w:ascii="Calibri" w:eastAsia="Times New Roman" w:hAnsi="Calibri" w:cs="Times New Roman"/>
                <w:color w:val="000000"/>
                <w:lang w:val="de-DE" w:eastAsia="de-DE"/>
              </w:rPr>
            </w:pPr>
            <w:r w:rsidRPr="00501072">
              <w:rPr>
                <w:rFonts w:ascii="Calibri" w:eastAsia="Times New Roman" w:hAnsi="Calibri" w:cs="Times New Roman"/>
                <w:color w:val="000000"/>
                <w:lang w:val="de-DE" w:eastAsia="de-DE"/>
              </w:rPr>
              <w:t xml:space="preserve">4.5 </w:t>
            </w:r>
            <w:r w:rsidRPr="00501072">
              <w:rPr>
                <w:rFonts w:ascii="Calibri" w:eastAsia="Times New Roman" w:hAnsi="Calibri" w:cs="Times New Roman"/>
                <w:color w:val="000000"/>
                <w:sz w:val="16"/>
                <w:szCs w:val="16"/>
                <w:lang w:val="de-DE" w:eastAsia="de-DE"/>
              </w:rPr>
              <w:t>± 0.2</w:t>
            </w:r>
          </w:p>
        </w:tc>
        <w:tc>
          <w:tcPr>
            <w:tcW w:w="820" w:type="dxa"/>
            <w:tcBorders>
              <w:top w:val="nil"/>
              <w:left w:val="nil"/>
              <w:bottom w:val="nil"/>
              <w:right w:val="single" w:sz="4" w:space="0" w:color="auto"/>
            </w:tcBorders>
            <w:shd w:val="clear" w:color="000000" w:fill="E6B8B7"/>
            <w:noWrap/>
            <w:vAlign w:val="center"/>
            <w:hideMark/>
          </w:tcPr>
          <w:p w:rsidR="00501072" w:rsidRPr="00501072" w:rsidRDefault="00501072" w:rsidP="00501072">
            <w:pPr>
              <w:spacing w:after="0" w:line="240" w:lineRule="auto"/>
              <w:jc w:val="center"/>
              <w:rPr>
                <w:rFonts w:ascii="Calibri" w:eastAsia="Times New Roman" w:hAnsi="Calibri" w:cs="Times New Roman"/>
                <w:color w:val="000000"/>
                <w:lang w:val="de-DE" w:eastAsia="de-DE"/>
              </w:rPr>
            </w:pPr>
            <w:r w:rsidRPr="00501072">
              <w:rPr>
                <w:rFonts w:ascii="Calibri" w:eastAsia="Times New Roman" w:hAnsi="Calibri" w:cs="Times New Roman"/>
                <w:color w:val="000000"/>
                <w:lang w:val="de-DE" w:eastAsia="de-DE"/>
              </w:rPr>
              <w:t xml:space="preserve">3.2 </w:t>
            </w:r>
            <w:r w:rsidRPr="00501072">
              <w:rPr>
                <w:rFonts w:ascii="Calibri" w:eastAsia="Times New Roman" w:hAnsi="Calibri" w:cs="Times New Roman"/>
                <w:color w:val="000000"/>
                <w:sz w:val="18"/>
                <w:szCs w:val="18"/>
                <w:lang w:val="de-DE" w:eastAsia="de-DE"/>
              </w:rPr>
              <w:t>***</w:t>
            </w:r>
          </w:p>
        </w:tc>
        <w:tc>
          <w:tcPr>
            <w:tcW w:w="1460" w:type="dxa"/>
            <w:tcBorders>
              <w:top w:val="nil"/>
              <w:left w:val="nil"/>
              <w:bottom w:val="nil"/>
              <w:right w:val="nil"/>
            </w:tcBorders>
            <w:shd w:val="clear" w:color="auto" w:fill="auto"/>
            <w:noWrap/>
            <w:vAlign w:val="center"/>
            <w:hideMark/>
          </w:tcPr>
          <w:p w:rsidR="00501072" w:rsidRPr="00501072" w:rsidRDefault="00501072" w:rsidP="00501072">
            <w:pPr>
              <w:spacing w:after="0" w:line="240" w:lineRule="auto"/>
              <w:jc w:val="center"/>
              <w:rPr>
                <w:rFonts w:ascii="Calibri" w:eastAsia="Times New Roman" w:hAnsi="Calibri" w:cs="Times New Roman"/>
                <w:color w:val="000000"/>
                <w:lang w:val="de-DE" w:eastAsia="de-DE"/>
              </w:rPr>
            </w:pPr>
            <w:r w:rsidRPr="00501072">
              <w:rPr>
                <w:rFonts w:ascii="Calibri" w:eastAsia="Times New Roman" w:hAnsi="Calibri" w:cs="Times New Roman"/>
                <w:color w:val="000000"/>
                <w:lang w:val="de-DE" w:eastAsia="de-DE"/>
              </w:rPr>
              <w:t xml:space="preserve">1.6 </w:t>
            </w:r>
            <w:r w:rsidRPr="00501072">
              <w:rPr>
                <w:rFonts w:ascii="Calibri" w:eastAsia="Times New Roman" w:hAnsi="Calibri" w:cs="Times New Roman"/>
                <w:color w:val="000000"/>
                <w:sz w:val="16"/>
                <w:szCs w:val="16"/>
                <w:lang w:val="de-DE" w:eastAsia="de-DE"/>
              </w:rPr>
              <w:t>± 0.4</w:t>
            </w:r>
          </w:p>
        </w:tc>
        <w:tc>
          <w:tcPr>
            <w:tcW w:w="1300" w:type="dxa"/>
            <w:tcBorders>
              <w:top w:val="nil"/>
              <w:left w:val="nil"/>
              <w:bottom w:val="nil"/>
              <w:right w:val="single" w:sz="4" w:space="0" w:color="auto"/>
            </w:tcBorders>
            <w:shd w:val="clear" w:color="auto" w:fill="auto"/>
            <w:noWrap/>
            <w:vAlign w:val="center"/>
            <w:hideMark/>
          </w:tcPr>
          <w:p w:rsidR="00501072" w:rsidRPr="00501072" w:rsidRDefault="00501072" w:rsidP="00501072">
            <w:pPr>
              <w:spacing w:after="0" w:line="240" w:lineRule="auto"/>
              <w:jc w:val="center"/>
              <w:rPr>
                <w:rFonts w:ascii="Calibri" w:eastAsia="Times New Roman" w:hAnsi="Calibri" w:cs="Times New Roman"/>
                <w:color w:val="000000"/>
                <w:lang w:val="de-DE" w:eastAsia="de-DE"/>
              </w:rPr>
            </w:pPr>
            <w:r w:rsidRPr="00501072">
              <w:rPr>
                <w:rFonts w:ascii="Calibri" w:eastAsia="Times New Roman" w:hAnsi="Calibri" w:cs="Times New Roman"/>
                <w:color w:val="000000"/>
                <w:lang w:val="de-DE" w:eastAsia="de-DE"/>
              </w:rPr>
              <w:t xml:space="preserve">3.9 </w:t>
            </w:r>
            <w:r w:rsidRPr="00501072">
              <w:rPr>
                <w:rFonts w:ascii="Calibri" w:eastAsia="Times New Roman" w:hAnsi="Calibri" w:cs="Times New Roman"/>
                <w:color w:val="000000"/>
                <w:sz w:val="16"/>
                <w:szCs w:val="16"/>
                <w:lang w:val="de-DE" w:eastAsia="de-DE"/>
              </w:rPr>
              <w:t>± 0.2</w:t>
            </w:r>
          </w:p>
        </w:tc>
        <w:tc>
          <w:tcPr>
            <w:tcW w:w="880" w:type="dxa"/>
            <w:tcBorders>
              <w:top w:val="nil"/>
              <w:left w:val="nil"/>
              <w:bottom w:val="nil"/>
              <w:right w:val="single" w:sz="4" w:space="0" w:color="auto"/>
            </w:tcBorders>
            <w:shd w:val="clear" w:color="000000" w:fill="F2DCDB"/>
            <w:noWrap/>
            <w:vAlign w:val="center"/>
            <w:hideMark/>
          </w:tcPr>
          <w:p w:rsidR="00501072" w:rsidRPr="00501072" w:rsidRDefault="00501072" w:rsidP="00501072">
            <w:pPr>
              <w:spacing w:after="0" w:line="240" w:lineRule="auto"/>
              <w:jc w:val="center"/>
              <w:rPr>
                <w:rFonts w:ascii="Calibri" w:eastAsia="Times New Roman" w:hAnsi="Calibri" w:cs="Times New Roman"/>
                <w:color w:val="000000"/>
                <w:lang w:val="de-DE" w:eastAsia="de-DE"/>
              </w:rPr>
            </w:pPr>
            <w:r w:rsidRPr="00501072">
              <w:rPr>
                <w:rFonts w:ascii="Calibri" w:eastAsia="Times New Roman" w:hAnsi="Calibri" w:cs="Times New Roman"/>
                <w:color w:val="000000"/>
                <w:lang w:val="de-DE" w:eastAsia="de-DE"/>
              </w:rPr>
              <w:t xml:space="preserve">2.4 </w:t>
            </w:r>
            <w:r w:rsidRPr="00501072">
              <w:rPr>
                <w:rFonts w:ascii="Calibri" w:eastAsia="Times New Roman" w:hAnsi="Calibri" w:cs="Times New Roman"/>
                <w:color w:val="000000"/>
                <w:sz w:val="16"/>
                <w:szCs w:val="16"/>
                <w:lang w:val="de-DE" w:eastAsia="de-DE"/>
              </w:rPr>
              <w:t>**</w:t>
            </w:r>
          </w:p>
        </w:tc>
        <w:tc>
          <w:tcPr>
            <w:tcW w:w="1340" w:type="dxa"/>
            <w:tcBorders>
              <w:top w:val="nil"/>
              <w:left w:val="nil"/>
              <w:bottom w:val="nil"/>
              <w:right w:val="nil"/>
            </w:tcBorders>
            <w:shd w:val="clear" w:color="auto" w:fill="auto"/>
            <w:noWrap/>
            <w:vAlign w:val="center"/>
            <w:hideMark/>
          </w:tcPr>
          <w:p w:rsidR="00501072" w:rsidRPr="00501072" w:rsidRDefault="00501072" w:rsidP="00501072">
            <w:pPr>
              <w:spacing w:after="0" w:line="240" w:lineRule="auto"/>
              <w:jc w:val="center"/>
              <w:rPr>
                <w:rFonts w:ascii="Calibri" w:eastAsia="Times New Roman" w:hAnsi="Calibri" w:cs="Times New Roman"/>
                <w:color w:val="000000"/>
                <w:lang w:val="de-DE" w:eastAsia="de-DE"/>
              </w:rPr>
            </w:pPr>
            <w:r w:rsidRPr="00501072">
              <w:rPr>
                <w:rFonts w:ascii="Calibri" w:eastAsia="Times New Roman" w:hAnsi="Calibri" w:cs="Times New Roman"/>
                <w:color w:val="000000"/>
                <w:lang w:val="de-DE" w:eastAsia="de-DE"/>
              </w:rPr>
              <w:t xml:space="preserve">0.02 </w:t>
            </w:r>
            <w:r w:rsidRPr="00501072">
              <w:rPr>
                <w:rFonts w:ascii="Calibri" w:eastAsia="Times New Roman" w:hAnsi="Calibri" w:cs="Times New Roman"/>
                <w:color w:val="000000"/>
                <w:sz w:val="16"/>
                <w:szCs w:val="16"/>
                <w:lang w:val="de-DE" w:eastAsia="de-DE"/>
              </w:rPr>
              <w:t>± 0.03</w:t>
            </w:r>
          </w:p>
        </w:tc>
        <w:tc>
          <w:tcPr>
            <w:tcW w:w="1060" w:type="dxa"/>
            <w:tcBorders>
              <w:top w:val="nil"/>
              <w:left w:val="nil"/>
              <w:bottom w:val="nil"/>
              <w:right w:val="single" w:sz="4" w:space="0" w:color="auto"/>
            </w:tcBorders>
            <w:shd w:val="clear" w:color="auto" w:fill="auto"/>
            <w:noWrap/>
            <w:vAlign w:val="center"/>
            <w:hideMark/>
          </w:tcPr>
          <w:p w:rsidR="00501072" w:rsidRPr="00501072" w:rsidRDefault="00501072" w:rsidP="00501072">
            <w:pPr>
              <w:spacing w:after="0" w:line="240" w:lineRule="auto"/>
              <w:jc w:val="center"/>
              <w:rPr>
                <w:rFonts w:ascii="Calibri" w:eastAsia="Times New Roman" w:hAnsi="Calibri" w:cs="Times New Roman"/>
                <w:color w:val="000000"/>
                <w:lang w:val="de-DE" w:eastAsia="de-DE"/>
              </w:rPr>
            </w:pPr>
            <w:r w:rsidRPr="00501072">
              <w:rPr>
                <w:rFonts w:ascii="Calibri" w:eastAsia="Times New Roman" w:hAnsi="Calibri" w:cs="Times New Roman"/>
                <w:color w:val="000000"/>
                <w:lang w:val="de-DE" w:eastAsia="de-DE"/>
              </w:rPr>
              <w:t xml:space="preserve">0.1 </w:t>
            </w:r>
            <w:r w:rsidRPr="00501072">
              <w:rPr>
                <w:rFonts w:ascii="Calibri" w:eastAsia="Times New Roman" w:hAnsi="Calibri" w:cs="Times New Roman"/>
                <w:color w:val="000000"/>
                <w:sz w:val="16"/>
                <w:szCs w:val="16"/>
                <w:lang w:val="de-DE" w:eastAsia="de-DE"/>
              </w:rPr>
              <w:t>± 0.03</w:t>
            </w:r>
          </w:p>
        </w:tc>
        <w:tc>
          <w:tcPr>
            <w:tcW w:w="720" w:type="dxa"/>
            <w:tcBorders>
              <w:top w:val="nil"/>
              <w:left w:val="nil"/>
              <w:bottom w:val="nil"/>
              <w:right w:val="single" w:sz="4" w:space="0" w:color="auto"/>
            </w:tcBorders>
            <w:shd w:val="clear" w:color="000000" w:fill="E6B8B7"/>
            <w:noWrap/>
            <w:vAlign w:val="center"/>
            <w:hideMark/>
          </w:tcPr>
          <w:p w:rsidR="00501072" w:rsidRPr="00501072" w:rsidRDefault="00501072" w:rsidP="00501072">
            <w:pPr>
              <w:spacing w:after="0" w:line="240" w:lineRule="auto"/>
              <w:jc w:val="center"/>
              <w:rPr>
                <w:rFonts w:ascii="Calibri" w:eastAsia="Times New Roman" w:hAnsi="Calibri" w:cs="Times New Roman"/>
                <w:color w:val="000000"/>
                <w:lang w:val="de-DE" w:eastAsia="de-DE"/>
              </w:rPr>
            </w:pPr>
            <w:r w:rsidRPr="00501072">
              <w:rPr>
                <w:rFonts w:ascii="Calibri" w:eastAsia="Times New Roman" w:hAnsi="Calibri" w:cs="Times New Roman"/>
                <w:color w:val="000000"/>
                <w:lang w:val="de-DE" w:eastAsia="de-DE"/>
              </w:rPr>
              <w:t>5.0</w:t>
            </w:r>
          </w:p>
        </w:tc>
        <w:tc>
          <w:tcPr>
            <w:tcW w:w="1360" w:type="dxa"/>
            <w:tcBorders>
              <w:top w:val="nil"/>
              <w:left w:val="nil"/>
              <w:bottom w:val="nil"/>
              <w:right w:val="nil"/>
            </w:tcBorders>
            <w:shd w:val="clear" w:color="auto" w:fill="auto"/>
            <w:noWrap/>
            <w:vAlign w:val="center"/>
            <w:hideMark/>
          </w:tcPr>
          <w:p w:rsidR="00501072" w:rsidRPr="00501072" w:rsidRDefault="00501072" w:rsidP="00501072">
            <w:pPr>
              <w:spacing w:after="0" w:line="240" w:lineRule="auto"/>
              <w:jc w:val="center"/>
              <w:rPr>
                <w:rFonts w:ascii="Calibri" w:eastAsia="Times New Roman" w:hAnsi="Calibri" w:cs="Times New Roman"/>
                <w:color w:val="000000"/>
                <w:lang w:val="de-DE" w:eastAsia="de-DE"/>
              </w:rPr>
            </w:pPr>
            <w:r w:rsidRPr="00501072">
              <w:rPr>
                <w:rFonts w:ascii="Calibri" w:eastAsia="Times New Roman" w:hAnsi="Calibri" w:cs="Times New Roman"/>
                <w:color w:val="000000"/>
                <w:lang w:val="de-DE" w:eastAsia="de-DE"/>
              </w:rPr>
              <w:t xml:space="preserve">0.1 </w:t>
            </w:r>
            <w:r w:rsidRPr="00501072">
              <w:rPr>
                <w:rFonts w:ascii="Calibri" w:eastAsia="Times New Roman" w:hAnsi="Calibri" w:cs="Times New Roman"/>
                <w:color w:val="000000"/>
                <w:sz w:val="16"/>
                <w:szCs w:val="16"/>
                <w:lang w:val="de-DE" w:eastAsia="de-DE"/>
              </w:rPr>
              <w:t>± 0.01</w:t>
            </w:r>
          </w:p>
        </w:tc>
        <w:tc>
          <w:tcPr>
            <w:tcW w:w="1240" w:type="dxa"/>
            <w:tcBorders>
              <w:top w:val="nil"/>
              <w:left w:val="nil"/>
              <w:bottom w:val="nil"/>
              <w:right w:val="single" w:sz="4" w:space="0" w:color="auto"/>
            </w:tcBorders>
            <w:shd w:val="clear" w:color="auto" w:fill="auto"/>
            <w:noWrap/>
            <w:vAlign w:val="center"/>
            <w:hideMark/>
          </w:tcPr>
          <w:p w:rsidR="00501072" w:rsidRPr="00501072" w:rsidRDefault="00501072" w:rsidP="00501072">
            <w:pPr>
              <w:spacing w:after="0" w:line="240" w:lineRule="auto"/>
              <w:jc w:val="center"/>
              <w:rPr>
                <w:rFonts w:ascii="Calibri" w:eastAsia="Times New Roman" w:hAnsi="Calibri" w:cs="Times New Roman"/>
                <w:color w:val="000000"/>
                <w:lang w:val="de-DE" w:eastAsia="de-DE"/>
              </w:rPr>
            </w:pPr>
            <w:r w:rsidRPr="00501072">
              <w:rPr>
                <w:rFonts w:ascii="Calibri" w:eastAsia="Times New Roman" w:hAnsi="Calibri" w:cs="Times New Roman"/>
                <w:color w:val="000000"/>
                <w:lang w:val="de-DE" w:eastAsia="de-DE"/>
              </w:rPr>
              <w:t xml:space="preserve">0.2 </w:t>
            </w:r>
            <w:r w:rsidRPr="00501072">
              <w:rPr>
                <w:rFonts w:ascii="Calibri" w:eastAsia="Times New Roman" w:hAnsi="Calibri" w:cs="Times New Roman"/>
                <w:color w:val="000000"/>
                <w:sz w:val="16"/>
                <w:szCs w:val="16"/>
                <w:lang w:val="de-DE" w:eastAsia="de-DE"/>
              </w:rPr>
              <w:t>± 0.05</w:t>
            </w:r>
          </w:p>
        </w:tc>
        <w:tc>
          <w:tcPr>
            <w:tcW w:w="840" w:type="dxa"/>
            <w:tcBorders>
              <w:top w:val="nil"/>
              <w:left w:val="nil"/>
              <w:bottom w:val="nil"/>
              <w:right w:val="single" w:sz="4" w:space="0" w:color="auto"/>
            </w:tcBorders>
            <w:shd w:val="clear" w:color="000000" w:fill="F2DCDB"/>
            <w:noWrap/>
            <w:vAlign w:val="center"/>
            <w:hideMark/>
          </w:tcPr>
          <w:p w:rsidR="00501072" w:rsidRPr="00501072" w:rsidRDefault="00501072" w:rsidP="00501072">
            <w:pPr>
              <w:spacing w:after="0" w:line="240" w:lineRule="auto"/>
              <w:jc w:val="center"/>
              <w:rPr>
                <w:rFonts w:ascii="Calibri" w:eastAsia="Times New Roman" w:hAnsi="Calibri" w:cs="Times New Roman"/>
                <w:color w:val="000000"/>
                <w:lang w:val="de-DE" w:eastAsia="de-DE"/>
              </w:rPr>
            </w:pPr>
            <w:r w:rsidRPr="00501072">
              <w:rPr>
                <w:rFonts w:ascii="Calibri" w:eastAsia="Times New Roman" w:hAnsi="Calibri" w:cs="Times New Roman"/>
                <w:color w:val="000000"/>
                <w:lang w:val="de-DE" w:eastAsia="de-DE"/>
              </w:rPr>
              <w:t>1.9</w:t>
            </w:r>
          </w:p>
        </w:tc>
      </w:tr>
      <w:tr w:rsidR="00501072" w:rsidRPr="00501072" w:rsidTr="00501072">
        <w:trPr>
          <w:trHeight w:val="300"/>
        </w:trPr>
        <w:tc>
          <w:tcPr>
            <w:tcW w:w="1480" w:type="dxa"/>
            <w:tcBorders>
              <w:top w:val="nil"/>
              <w:left w:val="single" w:sz="4" w:space="0" w:color="auto"/>
              <w:bottom w:val="nil"/>
              <w:right w:val="single" w:sz="4" w:space="0" w:color="auto"/>
            </w:tcBorders>
            <w:shd w:val="clear" w:color="auto" w:fill="auto"/>
            <w:vAlign w:val="bottom"/>
            <w:hideMark/>
          </w:tcPr>
          <w:p w:rsidR="00501072" w:rsidRPr="00501072" w:rsidRDefault="00501072" w:rsidP="00501072">
            <w:pPr>
              <w:spacing w:after="0" w:line="240" w:lineRule="auto"/>
              <w:rPr>
                <w:rFonts w:ascii="Calibri" w:eastAsia="Times New Roman" w:hAnsi="Calibri" w:cs="Times New Roman"/>
                <w:color w:val="000000"/>
                <w:lang w:val="de-DE" w:eastAsia="de-DE"/>
              </w:rPr>
            </w:pPr>
            <w:r w:rsidRPr="00501072">
              <w:rPr>
                <w:rFonts w:ascii="Calibri" w:eastAsia="Times New Roman" w:hAnsi="Calibri" w:cs="Times New Roman"/>
                <w:color w:val="000000"/>
                <w:lang w:val="de-DE" w:eastAsia="de-DE"/>
              </w:rPr>
              <w:t>Unknown 9</w:t>
            </w:r>
          </w:p>
        </w:tc>
        <w:tc>
          <w:tcPr>
            <w:tcW w:w="2320" w:type="dxa"/>
            <w:gridSpan w:val="2"/>
            <w:tcBorders>
              <w:top w:val="nil"/>
              <w:left w:val="nil"/>
              <w:bottom w:val="nil"/>
              <w:right w:val="single" w:sz="4" w:space="0" w:color="000000"/>
            </w:tcBorders>
            <w:shd w:val="clear" w:color="auto" w:fill="auto"/>
            <w:noWrap/>
            <w:vAlign w:val="center"/>
            <w:hideMark/>
          </w:tcPr>
          <w:p w:rsidR="00501072" w:rsidRPr="00501072" w:rsidRDefault="00501072" w:rsidP="00501072">
            <w:pPr>
              <w:spacing w:after="0" w:line="240" w:lineRule="auto"/>
              <w:jc w:val="center"/>
              <w:rPr>
                <w:rFonts w:ascii="Calibri" w:eastAsia="Times New Roman" w:hAnsi="Calibri" w:cs="Times New Roman"/>
                <w:color w:val="000000"/>
                <w:lang w:val="de-DE" w:eastAsia="de-DE"/>
              </w:rPr>
            </w:pPr>
            <w:r w:rsidRPr="00501072">
              <w:rPr>
                <w:rFonts w:ascii="Calibri" w:eastAsia="Times New Roman" w:hAnsi="Calibri" w:cs="Times New Roman"/>
                <w:color w:val="000000"/>
                <w:lang w:val="de-DE" w:eastAsia="de-DE"/>
              </w:rPr>
              <w:t>not detected</w:t>
            </w:r>
          </w:p>
        </w:tc>
        <w:tc>
          <w:tcPr>
            <w:tcW w:w="820" w:type="dxa"/>
            <w:tcBorders>
              <w:top w:val="nil"/>
              <w:left w:val="nil"/>
              <w:bottom w:val="nil"/>
              <w:right w:val="single" w:sz="4" w:space="0" w:color="auto"/>
            </w:tcBorders>
            <w:shd w:val="clear" w:color="auto" w:fill="auto"/>
            <w:noWrap/>
            <w:vAlign w:val="center"/>
            <w:hideMark/>
          </w:tcPr>
          <w:p w:rsidR="00501072" w:rsidRPr="00501072" w:rsidRDefault="00501072" w:rsidP="00501072">
            <w:pPr>
              <w:spacing w:after="0" w:line="240" w:lineRule="auto"/>
              <w:jc w:val="center"/>
              <w:rPr>
                <w:rFonts w:ascii="Calibri" w:eastAsia="Times New Roman" w:hAnsi="Calibri" w:cs="Times New Roman"/>
                <w:color w:val="000000"/>
                <w:lang w:val="de-DE" w:eastAsia="de-DE"/>
              </w:rPr>
            </w:pPr>
            <w:r w:rsidRPr="00501072">
              <w:rPr>
                <w:rFonts w:ascii="Calibri" w:eastAsia="Times New Roman" w:hAnsi="Calibri" w:cs="Times New Roman"/>
                <w:color w:val="000000"/>
                <w:lang w:val="de-DE" w:eastAsia="de-DE"/>
              </w:rPr>
              <w:t> </w:t>
            </w:r>
          </w:p>
        </w:tc>
        <w:tc>
          <w:tcPr>
            <w:tcW w:w="1460" w:type="dxa"/>
            <w:tcBorders>
              <w:top w:val="nil"/>
              <w:left w:val="nil"/>
              <w:bottom w:val="nil"/>
              <w:right w:val="nil"/>
            </w:tcBorders>
            <w:shd w:val="clear" w:color="auto" w:fill="auto"/>
            <w:noWrap/>
            <w:vAlign w:val="center"/>
            <w:hideMark/>
          </w:tcPr>
          <w:p w:rsidR="00501072" w:rsidRPr="00501072" w:rsidRDefault="00501072" w:rsidP="00501072">
            <w:pPr>
              <w:spacing w:after="0" w:line="240" w:lineRule="auto"/>
              <w:jc w:val="center"/>
              <w:rPr>
                <w:rFonts w:ascii="Calibri" w:eastAsia="Times New Roman" w:hAnsi="Calibri" w:cs="Times New Roman"/>
                <w:color w:val="000000"/>
                <w:lang w:val="de-DE" w:eastAsia="de-DE"/>
              </w:rPr>
            </w:pPr>
            <w:r w:rsidRPr="00501072">
              <w:rPr>
                <w:rFonts w:ascii="Calibri" w:eastAsia="Times New Roman" w:hAnsi="Calibri" w:cs="Times New Roman"/>
                <w:color w:val="000000"/>
                <w:lang w:val="de-DE" w:eastAsia="de-DE"/>
              </w:rPr>
              <w:t xml:space="preserve">0.0004 </w:t>
            </w:r>
            <w:r w:rsidRPr="00501072">
              <w:rPr>
                <w:rFonts w:ascii="Calibri" w:eastAsia="Times New Roman" w:hAnsi="Calibri" w:cs="Times New Roman"/>
                <w:color w:val="000000"/>
                <w:sz w:val="16"/>
                <w:szCs w:val="16"/>
                <w:lang w:val="de-DE" w:eastAsia="de-DE"/>
              </w:rPr>
              <w:t>± 0.0001</w:t>
            </w:r>
          </w:p>
        </w:tc>
        <w:tc>
          <w:tcPr>
            <w:tcW w:w="1300" w:type="dxa"/>
            <w:tcBorders>
              <w:top w:val="nil"/>
              <w:left w:val="nil"/>
              <w:bottom w:val="nil"/>
              <w:right w:val="single" w:sz="4" w:space="0" w:color="auto"/>
            </w:tcBorders>
            <w:shd w:val="clear" w:color="auto" w:fill="auto"/>
            <w:noWrap/>
            <w:vAlign w:val="center"/>
            <w:hideMark/>
          </w:tcPr>
          <w:p w:rsidR="00501072" w:rsidRPr="00501072" w:rsidRDefault="00501072" w:rsidP="00501072">
            <w:pPr>
              <w:spacing w:after="0" w:line="240" w:lineRule="auto"/>
              <w:jc w:val="center"/>
              <w:rPr>
                <w:rFonts w:ascii="Calibri" w:eastAsia="Times New Roman" w:hAnsi="Calibri" w:cs="Times New Roman"/>
                <w:color w:val="000000"/>
                <w:lang w:val="de-DE" w:eastAsia="de-DE"/>
              </w:rPr>
            </w:pPr>
            <w:r w:rsidRPr="00501072">
              <w:rPr>
                <w:rFonts w:ascii="Calibri" w:eastAsia="Times New Roman" w:hAnsi="Calibri" w:cs="Times New Roman"/>
                <w:color w:val="000000"/>
                <w:lang w:val="de-DE" w:eastAsia="de-DE"/>
              </w:rPr>
              <w:t xml:space="preserve">0.2 </w:t>
            </w:r>
            <w:r w:rsidRPr="00501072">
              <w:rPr>
                <w:rFonts w:ascii="Calibri" w:eastAsia="Times New Roman" w:hAnsi="Calibri" w:cs="Times New Roman"/>
                <w:color w:val="000000"/>
                <w:sz w:val="16"/>
                <w:szCs w:val="16"/>
                <w:lang w:val="de-DE" w:eastAsia="de-DE"/>
              </w:rPr>
              <w:t>± 0.05</w:t>
            </w:r>
          </w:p>
        </w:tc>
        <w:tc>
          <w:tcPr>
            <w:tcW w:w="880" w:type="dxa"/>
            <w:tcBorders>
              <w:top w:val="nil"/>
              <w:left w:val="nil"/>
              <w:bottom w:val="nil"/>
              <w:right w:val="single" w:sz="4" w:space="0" w:color="auto"/>
            </w:tcBorders>
            <w:shd w:val="clear" w:color="000000" w:fill="632523"/>
            <w:noWrap/>
            <w:vAlign w:val="center"/>
            <w:hideMark/>
          </w:tcPr>
          <w:p w:rsidR="00501072" w:rsidRPr="00501072" w:rsidRDefault="00501072" w:rsidP="00501072">
            <w:pPr>
              <w:spacing w:after="0" w:line="240" w:lineRule="auto"/>
              <w:jc w:val="center"/>
              <w:rPr>
                <w:rFonts w:ascii="Calibri" w:eastAsia="Times New Roman" w:hAnsi="Calibri" w:cs="Times New Roman"/>
                <w:color w:val="FFFFFF"/>
                <w:lang w:val="de-DE" w:eastAsia="de-DE"/>
              </w:rPr>
            </w:pPr>
            <w:r w:rsidRPr="00501072">
              <w:rPr>
                <w:rFonts w:ascii="Calibri" w:eastAsia="Times New Roman" w:hAnsi="Calibri" w:cs="Times New Roman"/>
                <w:color w:val="FFFFFF"/>
                <w:lang w:val="de-DE" w:eastAsia="de-DE"/>
              </w:rPr>
              <w:t>559.3</w:t>
            </w:r>
            <w:r w:rsidRPr="00501072">
              <w:rPr>
                <w:rFonts w:ascii="Calibri" w:eastAsia="Times New Roman" w:hAnsi="Calibri" w:cs="Times New Roman"/>
                <w:color w:val="FFFFFF"/>
                <w:sz w:val="18"/>
                <w:szCs w:val="18"/>
                <w:lang w:val="de-DE" w:eastAsia="de-DE"/>
              </w:rPr>
              <w:t xml:space="preserve"> **</w:t>
            </w:r>
          </w:p>
        </w:tc>
        <w:tc>
          <w:tcPr>
            <w:tcW w:w="2400" w:type="dxa"/>
            <w:gridSpan w:val="2"/>
            <w:tcBorders>
              <w:top w:val="nil"/>
              <w:left w:val="nil"/>
              <w:bottom w:val="nil"/>
              <w:right w:val="single" w:sz="4" w:space="0" w:color="000000"/>
            </w:tcBorders>
            <w:shd w:val="clear" w:color="auto" w:fill="auto"/>
            <w:noWrap/>
            <w:vAlign w:val="center"/>
            <w:hideMark/>
          </w:tcPr>
          <w:p w:rsidR="00501072" w:rsidRPr="00501072" w:rsidRDefault="00501072" w:rsidP="00501072">
            <w:pPr>
              <w:spacing w:after="0" w:line="240" w:lineRule="auto"/>
              <w:jc w:val="center"/>
              <w:rPr>
                <w:rFonts w:ascii="Calibri" w:eastAsia="Times New Roman" w:hAnsi="Calibri" w:cs="Times New Roman"/>
                <w:color w:val="000000"/>
                <w:lang w:val="de-DE" w:eastAsia="de-DE"/>
              </w:rPr>
            </w:pPr>
            <w:r w:rsidRPr="00501072">
              <w:rPr>
                <w:rFonts w:ascii="Calibri" w:eastAsia="Times New Roman" w:hAnsi="Calibri" w:cs="Times New Roman"/>
                <w:color w:val="000000"/>
                <w:lang w:val="de-DE" w:eastAsia="de-DE"/>
              </w:rPr>
              <w:t>not detected</w:t>
            </w:r>
          </w:p>
        </w:tc>
        <w:tc>
          <w:tcPr>
            <w:tcW w:w="720" w:type="dxa"/>
            <w:tcBorders>
              <w:top w:val="nil"/>
              <w:left w:val="nil"/>
              <w:bottom w:val="nil"/>
              <w:right w:val="single" w:sz="4" w:space="0" w:color="auto"/>
            </w:tcBorders>
            <w:shd w:val="clear" w:color="auto" w:fill="auto"/>
            <w:noWrap/>
            <w:vAlign w:val="center"/>
            <w:hideMark/>
          </w:tcPr>
          <w:p w:rsidR="00501072" w:rsidRPr="00501072" w:rsidRDefault="00501072" w:rsidP="00501072">
            <w:pPr>
              <w:spacing w:after="0" w:line="240" w:lineRule="auto"/>
              <w:jc w:val="center"/>
              <w:rPr>
                <w:rFonts w:ascii="Calibri" w:eastAsia="Times New Roman" w:hAnsi="Calibri" w:cs="Times New Roman"/>
                <w:color w:val="000000"/>
                <w:lang w:val="de-DE" w:eastAsia="de-DE"/>
              </w:rPr>
            </w:pPr>
            <w:r w:rsidRPr="00501072">
              <w:rPr>
                <w:rFonts w:ascii="Calibri" w:eastAsia="Times New Roman" w:hAnsi="Calibri" w:cs="Times New Roman"/>
                <w:color w:val="000000"/>
                <w:lang w:val="de-DE" w:eastAsia="de-DE"/>
              </w:rPr>
              <w:t> </w:t>
            </w:r>
          </w:p>
        </w:tc>
        <w:tc>
          <w:tcPr>
            <w:tcW w:w="2600" w:type="dxa"/>
            <w:gridSpan w:val="2"/>
            <w:tcBorders>
              <w:top w:val="nil"/>
              <w:left w:val="nil"/>
              <w:bottom w:val="nil"/>
              <w:right w:val="single" w:sz="4" w:space="0" w:color="000000"/>
            </w:tcBorders>
            <w:shd w:val="clear" w:color="auto" w:fill="auto"/>
            <w:noWrap/>
            <w:vAlign w:val="center"/>
            <w:hideMark/>
          </w:tcPr>
          <w:p w:rsidR="00501072" w:rsidRPr="00501072" w:rsidRDefault="00501072" w:rsidP="00501072">
            <w:pPr>
              <w:spacing w:after="0" w:line="240" w:lineRule="auto"/>
              <w:jc w:val="center"/>
              <w:rPr>
                <w:rFonts w:ascii="Calibri" w:eastAsia="Times New Roman" w:hAnsi="Calibri" w:cs="Times New Roman"/>
                <w:color w:val="000000"/>
                <w:lang w:val="de-DE" w:eastAsia="de-DE"/>
              </w:rPr>
            </w:pPr>
            <w:r w:rsidRPr="00501072">
              <w:rPr>
                <w:rFonts w:ascii="Calibri" w:eastAsia="Times New Roman" w:hAnsi="Calibri" w:cs="Times New Roman"/>
                <w:color w:val="000000"/>
                <w:lang w:val="de-DE" w:eastAsia="de-DE"/>
              </w:rPr>
              <w:t>not detected</w:t>
            </w:r>
          </w:p>
        </w:tc>
        <w:tc>
          <w:tcPr>
            <w:tcW w:w="840" w:type="dxa"/>
            <w:tcBorders>
              <w:top w:val="nil"/>
              <w:left w:val="nil"/>
              <w:bottom w:val="nil"/>
              <w:right w:val="single" w:sz="4" w:space="0" w:color="auto"/>
            </w:tcBorders>
            <w:shd w:val="clear" w:color="auto" w:fill="auto"/>
            <w:noWrap/>
            <w:vAlign w:val="center"/>
            <w:hideMark/>
          </w:tcPr>
          <w:p w:rsidR="00501072" w:rsidRPr="00501072" w:rsidRDefault="00501072" w:rsidP="00501072">
            <w:pPr>
              <w:spacing w:after="0" w:line="240" w:lineRule="auto"/>
              <w:jc w:val="center"/>
              <w:rPr>
                <w:rFonts w:ascii="Calibri" w:eastAsia="Times New Roman" w:hAnsi="Calibri" w:cs="Times New Roman"/>
                <w:color w:val="000000"/>
                <w:lang w:val="de-DE" w:eastAsia="de-DE"/>
              </w:rPr>
            </w:pPr>
            <w:r w:rsidRPr="00501072">
              <w:rPr>
                <w:rFonts w:ascii="Calibri" w:eastAsia="Times New Roman" w:hAnsi="Calibri" w:cs="Times New Roman"/>
                <w:color w:val="000000"/>
                <w:lang w:val="de-DE" w:eastAsia="de-DE"/>
              </w:rPr>
              <w:t> </w:t>
            </w:r>
          </w:p>
        </w:tc>
      </w:tr>
      <w:tr w:rsidR="00501072" w:rsidRPr="00501072" w:rsidTr="00501072">
        <w:trPr>
          <w:trHeight w:val="300"/>
        </w:trPr>
        <w:tc>
          <w:tcPr>
            <w:tcW w:w="1480" w:type="dxa"/>
            <w:tcBorders>
              <w:top w:val="nil"/>
              <w:left w:val="single" w:sz="4" w:space="0" w:color="auto"/>
              <w:bottom w:val="nil"/>
              <w:right w:val="single" w:sz="4" w:space="0" w:color="auto"/>
            </w:tcBorders>
            <w:shd w:val="clear" w:color="auto" w:fill="auto"/>
            <w:noWrap/>
            <w:vAlign w:val="center"/>
            <w:hideMark/>
          </w:tcPr>
          <w:p w:rsidR="00501072" w:rsidRPr="00501072" w:rsidRDefault="00501072" w:rsidP="00501072">
            <w:pPr>
              <w:spacing w:after="0" w:line="240" w:lineRule="auto"/>
              <w:rPr>
                <w:rFonts w:ascii="Calibri" w:eastAsia="Times New Roman" w:hAnsi="Calibri" w:cs="Times New Roman"/>
                <w:color w:val="000000"/>
                <w:lang w:val="de-DE" w:eastAsia="de-DE"/>
              </w:rPr>
            </w:pPr>
            <w:r w:rsidRPr="00501072">
              <w:rPr>
                <w:rFonts w:ascii="Calibri" w:eastAsia="Times New Roman" w:hAnsi="Calibri" w:cs="Times New Roman"/>
                <w:color w:val="000000"/>
                <w:lang w:val="de-DE" w:eastAsia="de-DE"/>
              </w:rPr>
              <w:t>Unknown 13</w:t>
            </w:r>
          </w:p>
        </w:tc>
        <w:tc>
          <w:tcPr>
            <w:tcW w:w="2320" w:type="dxa"/>
            <w:gridSpan w:val="2"/>
            <w:tcBorders>
              <w:top w:val="nil"/>
              <w:left w:val="nil"/>
              <w:bottom w:val="nil"/>
              <w:right w:val="single" w:sz="4" w:space="0" w:color="000000"/>
            </w:tcBorders>
            <w:shd w:val="clear" w:color="auto" w:fill="auto"/>
            <w:noWrap/>
            <w:vAlign w:val="center"/>
            <w:hideMark/>
          </w:tcPr>
          <w:p w:rsidR="00501072" w:rsidRPr="00501072" w:rsidRDefault="00501072" w:rsidP="00501072">
            <w:pPr>
              <w:spacing w:after="0" w:line="240" w:lineRule="auto"/>
              <w:jc w:val="center"/>
              <w:rPr>
                <w:rFonts w:ascii="Calibri" w:eastAsia="Times New Roman" w:hAnsi="Calibri" w:cs="Times New Roman"/>
                <w:color w:val="000000"/>
                <w:lang w:val="de-DE" w:eastAsia="de-DE"/>
              </w:rPr>
            </w:pPr>
            <w:r w:rsidRPr="00501072">
              <w:rPr>
                <w:rFonts w:ascii="Calibri" w:eastAsia="Times New Roman" w:hAnsi="Calibri" w:cs="Times New Roman"/>
                <w:color w:val="000000"/>
                <w:lang w:val="de-DE" w:eastAsia="de-DE"/>
              </w:rPr>
              <w:t>not detected</w:t>
            </w:r>
          </w:p>
        </w:tc>
        <w:tc>
          <w:tcPr>
            <w:tcW w:w="820" w:type="dxa"/>
            <w:tcBorders>
              <w:top w:val="nil"/>
              <w:left w:val="nil"/>
              <w:bottom w:val="nil"/>
              <w:right w:val="single" w:sz="4" w:space="0" w:color="auto"/>
            </w:tcBorders>
            <w:shd w:val="clear" w:color="auto" w:fill="auto"/>
            <w:noWrap/>
            <w:vAlign w:val="center"/>
            <w:hideMark/>
          </w:tcPr>
          <w:p w:rsidR="00501072" w:rsidRPr="00501072" w:rsidRDefault="00501072" w:rsidP="00501072">
            <w:pPr>
              <w:spacing w:after="0" w:line="240" w:lineRule="auto"/>
              <w:jc w:val="center"/>
              <w:rPr>
                <w:rFonts w:ascii="Calibri" w:eastAsia="Times New Roman" w:hAnsi="Calibri" w:cs="Times New Roman"/>
                <w:color w:val="000000"/>
                <w:lang w:val="de-DE" w:eastAsia="de-DE"/>
              </w:rPr>
            </w:pPr>
            <w:r w:rsidRPr="00501072">
              <w:rPr>
                <w:rFonts w:ascii="Calibri" w:eastAsia="Times New Roman" w:hAnsi="Calibri" w:cs="Times New Roman"/>
                <w:color w:val="000000"/>
                <w:lang w:val="de-DE" w:eastAsia="de-DE"/>
              </w:rPr>
              <w:t> </w:t>
            </w:r>
          </w:p>
        </w:tc>
        <w:tc>
          <w:tcPr>
            <w:tcW w:w="1460" w:type="dxa"/>
            <w:tcBorders>
              <w:top w:val="nil"/>
              <w:left w:val="nil"/>
              <w:bottom w:val="nil"/>
              <w:right w:val="nil"/>
            </w:tcBorders>
            <w:shd w:val="clear" w:color="auto" w:fill="auto"/>
            <w:noWrap/>
            <w:vAlign w:val="center"/>
            <w:hideMark/>
          </w:tcPr>
          <w:p w:rsidR="00501072" w:rsidRPr="00501072" w:rsidRDefault="00501072" w:rsidP="00501072">
            <w:pPr>
              <w:spacing w:after="0" w:line="240" w:lineRule="auto"/>
              <w:jc w:val="center"/>
              <w:rPr>
                <w:rFonts w:ascii="Calibri" w:eastAsia="Times New Roman" w:hAnsi="Calibri" w:cs="Times New Roman"/>
                <w:color w:val="000000"/>
                <w:lang w:val="de-DE" w:eastAsia="de-DE"/>
              </w:rPr>
            </w:pPr>
            <w:r w:rsidRPr="00501072">
              <w:rPr>
                <w:rFonts w:ascii="Calibri" w:eastAsia="Times New Roman" w:hAnsi="Calibri" w:cs="Times New Roman"/>
                <w:color w:val="000000"/>
                <w:lang w:val="de-DE" w:eastAsia="de-DE"/>
              </w:rPr>
              <w:t xml:space="preserve">0.005 </w:t>
            </w:r>
            <w:r w:rsidRPr="00501072">
              <w:rPr>
                <w:rFonts w:ascii="Calibri" w:eastAsia="Times New Roman" w:hAnsi="Calibri" w:cs="Times New Roman"/>
                <w:color w:val="000000"/>
                <w:sz w:val="16"/>
                <w:szCs w:val="16"/>
                <w:lang w:val="de-DE" w:eastAsia="de-DE"/>
              </w:rPr>
              <w:t>± 0.004</w:t>
            </w:r>
          </w:p>
        </w:tc>
        <w:tc>
          <w:tcPr>
            <w:tcW w:w="1300" w:type="dxa"/>
            <w:tcBorders>
              <w:top w:val="nil"/>
              <w:left w:val="nil"/>
              <w:bottom w:val="nil"/>
              <w:right w:val="single" w:sz="4" w:space="0" w:color="auto"/>
            </w:tcBorders>
            <w:shd w:val="clear" w:color="auto" w:fill="auto"/>
            <w:noWrap/>
            <w:vAlign w:val="center"/>
            <w:hideMark/>
          </w:tcPr>
          <w:p w:rsidR="00501072" w:rsidRPr="00501072" w:rsidRDefault="00501072" w:rsidP="00501072">
            <w:pPr>
              <w:spacing w:after="0" w:line="240" w:lineRule="auto"/>
              <w:jc w:val="center"/>
              <w:rPr>
                <w:rFonts w:ascii="Calibri" w:eastAsia="Times New Roman" w:hAnsi="Calibri" w:cs="Times New Roman"/>
                <w:color w:val="000000"/>
                <w:lang w:val="de-DE" w:eastAsia="de-DE"/>
              </w:rPr>
            </w:pPr>
            <w:r w:rsidRPr="00501072">
              <w:rPr>
                <w:rFonts w:ascii="Calibri" w:eastAsia="Times New Roman" w:hAnsi="Calibri" w:cs="Times New Roman"/>
                <w:color w:val="000000"/>
                <w:lang w:val="de-DE" w:eastAsia="de-DE"/>
              </w:rPr>
              <w:t xml:space="preserve">2.9 </w:t>
            </w:r>
            <w:r w:rsidRPr="00501072">
              <w:rPr>
                <w:rFonts w:ascii="Calibri" w:eastAsia="Times New Roman" w:hAnsi="Calibri" w:cs="Times New Roman"/>
                <w:color w:val="000000"/>
                <w:sz w:val="16"/>
                <w:szCs w:val="16"/>
                <w:lang w:val="de-DE" w:eastAsia="de-DE"/>
              </w:rPr>
              <w:t>± 0.5</w:t>
            </w:r>
          </w:p>
        </w:tc>
        <w:tc>
          <w:tcPr>
            <w:tcW w:w="880" w:type="dxa"/>
            <w:tcBorders>
              <w:top w:val="nil"/>
              <w:left w:val="nil"/>
              <w:bottom w:val="nil"/>
              <w:right w:val="single" w:sz="4" w:space="0" w:color="auto"/>
            </w:tcBorders>
            <w:shd w:val="clear" w:color="000000" w:fill="632523"/>
            <w:noWrap/>
            <w:vAlign w:val="center"/>
            <w:hideMark/>
          </w:tcPr>
          <w:p w:rsidR="00501072" w:rsidRPr="00501072" w:rsidRDefault="00501072" w:rsidP="00501072">
            <w:pPr>
              <w:spacing w:after="0" w:line="240" w:lineRule="auto"/>
              <w:jc w:val="center"/>
              <w:rPr>
                <w:rFonts w:ascii="Calibri" w:eastAsia="Times New Roman" w:hAnsi="Calibri" w:cs="Times New Roman"/>
                <w:color w:val="FFFFFF"/>
                <w:lang w:val="de-DE" w:eastAsia="de-DE"/>
              </w:rPr>
            </w:pPr>
            <w:r w:rsidRPr="00501072">
              <w:rPr>
                <w:rFonts w:ascii="Calibri" w:eastAsia="Times New Roman" w:hAnsi="Calibri" w:cs="Times New Roman"/>
                <w:color w:val="FFFFFF"/>
                <w:lang w:val="de-DE" w:eastAsia="de-DE"/>
              </w:rPr>
              <w:t xml:space="preserve">559.4 </w:t>
            </w:r>
            <w:r w:rsidRPr="00501072">
              <w:rPr>
                <w:rFonts w:ascii="Calibri" w:eastAsia="Times New Roman" w:hAnsi="Calibri" w:cs="Times New Roman"/>
                <w:color w:val="FFFFFF"/>
                <w:sz w:val="18"/>
                <w:szCs w:val="18"/>
                <w:lang w:val="de-DE" w:eastAsia="de-DE"/>
              </w:rPr>
              <w:t>***</w:t>
            </w:r>
          </w:p>
        </w:tc>
        <w:tc>
          <w:tcPr>
            <w:tcW w:w="2400" w:type="dxa"/>
            <w:gridSpan w:val="2"/>
            <w:tcBorders>
              <w:top w:val="nil"/>
              <w:left w:val="nil"/>
              <w:bottom w:val="nil"/>
              <w:right w:val="single" w:sz="4" w:space="0" w:color="000000"/>
            </w:tcBorders>
            <w:shd w:val="clear" w:color="auto" w:fill="auto"/>
            <w:noWrap/>
            <w:vAlign w:val="center"/>
            <w:hideMark/>
          </w:tcPr>
          <w:p w:rsidR="00501072" w:rsidRPr="00501072" w:rsidRDefault="00501072" w:rsidP="00501072">
            <w:pPr>
              <w:spacing w:after="0" w:line="240" w:lineRule="auto"/>
              <w:jc w:val="center"/>
              <w:rPr>
                <w:rFonts w:ascii="Calibri" w:eastAsia="Times New Roman" w:hAnsi="Calibri" w:cs="Times New Roman"/>
                <w:color w:val="000000"/>
                <w:lang w:val="de-DE" w:eastAsia="de-DE"/>
              </w:rPr>
            </w:pPr>
            <w:r w:rsidRPr="00501072">
              <w:rPr>
                <w:rFonts w:ascii="Calibri" w:eastAsia="Times New Roman" w:hAnsi="Calibri" w:cs="Times New Roman"/>
                <w:color w:val="000000"/>
                <w:lang w:val="de-DE" w:eastAsia="de-DE"/>
              </w:rPr>
              <w:t>not detected</w:t>
            </w:r>
          </w:p>
        </w:tc>
        <w:tc>
          <w:tcPr>
            <w:tcW w:w="720" w:type="dxa"/>
            <w:tcBorders>
              <w:top w:val="nil"/>
              <w:left w:val="nil"/>
              <w:bottom w:val="nil"/>
              <w:right w:val="single" w:sz="4" w:space="0" w:color="auto"/>
            </w:tcBorders>
            <w:shd w:val="clear" w:color="auto" w:fill="auto"/>
            <w:noWrap/>
            <w:vAlign w:val="center"/>
            <w:hideMark/>
          </w:tcPr>
          <w:p w:rsidR="00501072" w:rsidRPr="00501072" w:rsidRDefault="00501072" w:rsidP="00501072">
            <w:pPr>
              <w:spacing w:after="0" w:line="240" w:lineRule="auto"/>
              <w:jc w:val="center"/>
              <w:rPr>
                <w:rFonts w:ascii="Calibri" w:eastAsia="Times New Roman" w:hAnsi="Calibri" w:cs="Times New Roman"/>
                <w:color w:val="000000"/>
                <w:lang w:val="de-DE" w:eastAsia="de-DE"/>
              </w:rPr>
            </w:pPr>
            <w:r w:rsidRPr="00501072">
              <w:rPr>
                <w:rFonts w:ascii="Calibri" w:eastAsia="Times New Roman" w:hAnsi="Calibri" w:cs="Times New Roman"/>
                <w:color w:val="000000"/>
                <w:lang w:val="de-DE" w:eastAsia="de-DE"/>
              </w:rPr>
              <w:t> </w:t>
            </w:r>
          </w:p>
        </w:tc>
        <w:tc>
          <w:tcPr>
            <w:tcW w:w="2600" w:type="dxa"/>
            <w:gridSpan w:val="2"/>
            <w:tcBorders>
              <w:top w:val="nil"/>
              <w:left w:val="nil"/>
              <w:bottom w:val="nil"/>
              <w:right w:val="single" w:sz="4" w:space="0" w:color="000000"/>
            </w:tcBorders>
            <w:shd w:val="clear" w:color="auto" w:fill="auto"/>
            <w:noWrap/>
            <w:vAlign w:val="center"/>
            <w:hideMark/>
          </w:tcPr>
          <w:p w:rsidR="00501072" w:rsidRPr="00501072" w:rsidRDefault="00501072" w:rsidP="00501072">
            <w:pPr>
              <w:spacing w:after="0" w:line="240" w:lineRule="auto"/>
              <w:jc w:val="center"/>
              <w:rPr>
                <w:rFonts w:ascii="Calibri" w:eastAsia="Times New Roman" w:hAnsi="Calibri" w:cs="Times New Roman"/>
                <w:color w:val="000000"/>
                <w:lang w:val="de-DE" w:eastAsia="de-DE"/>
              </w:rPr>
            </w:pPr>
            <w:r w:rsidRPr="00501072">
              <w:rPr>
                <w:rFonts w:ascii="Calibri" w:eastAsia="Times New Roman" w:hAnsi="Calibri" w:cs="Times New Roman"/>
                <w:color w:val="000000"/>
                <w:lang w:val="de-DE" w:eastAsia="de-DE"/>
              </w:rPr>
              <w:t>not detected</w:t>
            </w:r>
          </w:p>
        </w:tc>
        <w:tc>
          <w:tcPr>
            <w:tcW w:w="840" w:type="dxa"/>
            <w:tcBorders>
              <w:top w:val="nil"/>
              <w:left w:val="nil"/>
              <w:bottom w:val="nil"/>
              <w:right w:val="single" w:sz="4" w:space="0" w:color="auto"/>
            </w:tcBorders>
            <w:shd w:val="clear" w:color="auto" w:fill="auto"/>
            <w:noWrap/>
            <w:vAlign w:val="center"/>
            <w:hideMark/>
          </w:tcPr>
          <w:p w:rsidR="00501072" w:rsidRPr="00501072" w:rsidRDefault="00501072" w:rsidP="00501072">
            <w:pPr>
              <w:spacing w:after="0" w:line="240" w:lineRule="auto"/>
              <w:jc w:val="center"/>
              <w:rPr>
                <w:rFonts w:ascii="Calibri" w:eastAsia="Times New Roman" w:hAnsi="Calibri" w:cs="Times New Roman"/>
                <w:color w:val="000000"/>
                <w:lang w:val="de-DE" w:eastAsia="de-DE"/>
              </w:rPr>
            </w:pPr>
            <w:r w:rsidRPr="00501072">
              <w:rPr>
                <w:rFonts w:ascii="Calibri" w:eastAsia="Times New Roman" w:hAnsi="Calibri" w:cs="Times New Roman"/>
                <w:color w:val="000000"/>
                <w:lang w:val="de-DE" w:eastAsia="de-DE"/>
              </w:rPr>
              <w:t> </w:t>
            </w:r>
          </w:p>
        </w:tc>
      </w:tr>
      <w:tr w:rsidR="00501072" w:rsidRPr="00501072" w:rsidTr="00501072">
        <w:trPr>
          <w:trHeight w:val="300"/>
        </w:trPr>
        <w:tc>
          <w:tcPr>
            <w:tcW w:w="1480" w:type="dxa"/>
            <w:tcBorders>
              <w:top w:val="nil"/>
              <w:left w:val="single" w:sz="4" w:space="0" w:color="auto"/>
              <w:bottom w:val="nil"/>
              <w:right w:val="single" w:sz="4" w:space="0" w:color="auto"/>
            </w:tcBorders>
            <w:shd w:val="clear" w:color="auto" w:fill="auto"/>
            <w:vAlign w:val="bottom"/>
            <w:hideMark/>
          </w:tcPr>
          <w:p w:rsidR="00501072" w:rsidRPr="00501072" w:rsidRDefault="00501072" w:rsidP="00501072">
            <w:pPr>
              <w:spacing w:after="0" w:line="240" w:lineRule="auto"/>
              <w:rPr>
                <w:rFonts w:ascii="Calibri" w:eastAsia="Times New Roman" w:hAnsi="Calibri" w:cs="Times New Roman"/>
                <w:color w:val="000000"/>
                <w:lang w:val="de-DE" w:eastAsia="de-DE"/>
              </w:rPr>
            </w:pPr>
            <w:r w:rsidRPr="00501072">
              <w:rPr>
                <w:rFonts w:ascii="Calibri" w:eastAsia="Times New Roman" w:hAnsi="Calibri" w:cs="Times New Roman"/>
                <w:color w:val="000000"/>
                <w:lang w:val="de-DE" w:eastAsia="de-DE"/>
              </w:rPr>
              <w:t>Unknown 15</w:t>
            </w:r>
          </w:p>
        </w:tc>
        <w:tc>
          <w:tcPr>
            <w:tcW w:w="2320" w:type="dxa"/>
            <w:gridSpan w:val="2"/>
            <w:tcBorders>
              <w:top w:val="nil"/>
              <w:left w:val="nil"/>
              <w:bottom w:val="nil"/>
              <w:right w:val="single" w:sz="4" w:space="0" w:color="000000"/>
            </w:tcBorders>
            <w:shd w:val="clear" w:color="auto" w:fill="auto"/>
            <w:noWrap/>
            <w:vAlign w:val="center"/>
            <w:hideMark/>
          </w:tcPr>
          <w:p w:rsidR="00501072" w:rsidRPr="00501072" w:rsidRDefault="00501072" w:rsidP="00501072">
            <w:pPr>
              <w:spacing w:after="0" w:line="240" w:lineRule="auto"/>
              <w:jc w:val="center"/>
              <w:rPr>
                <w:rFonts w:ascii="Calibri" w:eastAsia="Times New Roman" w:hAnsi="Calibri" w:cs="Times New Roman"/>
                <w:color w:val="000000"/>
                <w:lang w:val="de-DE" w:eastAsia="de-DE"/>
              </w:rPr>
            </w:pPr>
            <w:r w:rsidRPr="00501072">
              <w:rPr>
                <w:rFonts w:ascii="Calibri" w:eastAsia="Times New Roman" w:hAnsi="Calibri" w:cs="Times New Roman"/>
                <w:color w:val="000000"/>
                <w:lang w:val="de-DE" w:eastAsia="de-DE"/>
              </w:rPr>
              <w:t>not detected</w:t>
            </w:r>
          </w:p>
        </w:tc>
        <w:tc>
          <w:tcPr>
            <w:tcW w:w="820" w:type="dxa"/>
            <w:tcBorders>
              <w:top w:val="nil"/>
              <w:left w:val="nil"/>
              <w:bottom w:val="nil"/>
              <w:right w:val="single" w:sz="4" w:space="0" w:color="auto"/>
            </w:tcBorders>
            <w:shd w:val="clear" w:color="auto" w:fill="auto"/>
            <w:noWrap/>
            <w:vAlign w:val="center"/>
            <w:hideMark/>
          </w:tcPr>
          <w:p w:rsidR="00501072" w:rsidRPr="00501072" w:rsidRDefault="00501072" w:rsidP="00501072">
            <w:pPr>
              <w:spacing w:after="0" w:line="240" w:lineRule="auto"/>
              <w:jc w:val="center"/>
              <w:rPr>
                <w:rFonts w:ascii="Calibri" w:eastAsia="Times New Roman" w:hAnsi="Calibri" w:cs="Times New Roman"/>
                <w:color w:val="000000"/>
                <w:lang w:val="de-DE" w:eastAsia="de-DE"/>
              </w:rPr>
            </w:pPr>
            <w:r w:rsidRPr="00501072">
              <w:rPr>
                <w:rFonts w:ascii="Calibri" w:eastAsia="Times New Roman" w:hAnsi="Calibri" w:cs="Times New Roman"/>
                <w:color w:val="000000"/>
                <w:lang w:val="de-DE" w:eastAsia="de-DE"/>
              </w:rPr>
              <w:t> </w:t>
            </w:r>
          </w:p>
        </w:tc>
        <w:tc>
          <w:tcPr>
            <w:tcW w:w="1460" w:type="dxa"/>
            <w:tcBorders>
              <w:top w:val="nil"/>
              <w:left w:val="nil"/>
              <w:bottom w:val="nil"/>
              <w:right w:val="nil"/>
            </w:tcBorders>
            <w:shd w:val="clear" w:color="auto" w:fill="auto"/>
            <w:noWrap/>
            <w:vAlign w:val="center"/>
            <w:hideMark/>
          </w:tcPr>
          <w:p w:rsidR="00501072" w:rsidRPr="00501072" w:rsidRDefault="00501072" w:rsidP="00501072">
            <w:pPr>
              <w:spacing w:after="0" w:line="240" w:lineRule="auto"/>
              <w:jc w:val="center"/>
              <w:rPr>
                <w:rFonts w:ascii="Calibri" w:eastAsia="Times New Roman" w:hAnsi="Calibri" w:cs="Times New Roman"/>
                <w:color w:val="000000"/>
                <w:lang w:val="de-DE" w:eastAsia="de-DE"/>
              </w:rPr>
            </w:pPr>
            <w:r w:rsidRPr="00501072">
              <w:rPr>
                <w:rFonts w:ascii="Calibri" w:eastAsia="Times New Roman" w:hAnsi="Calibri" w:cs="Times New Roman"/>
                <w:color w:val="000000"/>
                <w:lang w:val="de-DE" w:eastAsia="de-DE"/>
              </w:rPr>
              <w:t xml:space="preserve">0.06 </w:t>
            </w:r>
            <w:r w:rsidRPr="00501072">
              <w:rPr>
                <w:rFonts w:ascii="Calibri" w:eastAsia="Times New Roman" w:hAnsi="Calibri" w:cs="Times New Roman"/>
                <w:color w:val="000000"/>
                <w:sz w:val="16"/>
                <w:szCs w:val="16"/>
                <w:lang w:val="de-DE" w:eastAsia="de-DE"/>
              </w:rPr>
              <w:t>± 0.04</w:t>
            </w:r>
          </w:p>
        </w:tc>
        <w:tc>
          <w:tcPr>
            <w:tcW w:w="1300" w:type="dxa"/>
            <w:tcBorders>
              <w:top w:val="nil"/>
              <w:left w:val="nil"/>
              <w:bottom w:val="nil"/>
              <w:right w:val="single" w:sz="4" w:space="0" w:color="auto"/>
            </w:tcBorders>
            <w:shd w:val="clear" w:color="auto" w:fill="auto"/>
            <w:noWrap/>
            <w:vAlign w:val="center"/>
            <w:hideMark/>
          </w:tcPr>
          <w:p w:rsidR="00501072" w:rsidRPr="00501072" w:rsidRDefault="00501072" w:rsidP="00501072">
            <w:pPr>
              <w:spacing w:after="0" w:line="240" w:lineRule="auto"/>
              <w:jc w:val="center"/>
              <w:rPr>
                <w:rFonts w:ascii="Calibri" w:eastAsia="Times New Roman" w:hAnsi="Calibri" w:cs="Times New Roman"/>
                <w:color w:val="000000"/>
                <w:lang w:val="de-DE" w:eastAsia="de-DE"/>
              </w:rPr>
            </w:pPr>
            <w:r w:rsidRPr="00501072">
              <w:rPr>
                <w:rFonts w:ascii="Calibri" w:eastAsia="Times New Roman" w:hAnsi="Calibri" w:cs="Times New Roman"/>
                <w:color w:val="000000"/>
                <w:lang w:val="de-DE" w:eastAsia="de-DE"/>
              </w:rPr>
              <w:t xml:space="preserve">0.3 </w:t>
            </w:r>
            <w:r w:rsidRPr="00501072">
              <w:rPr>
                <w:rFonts w:ascii="Calibri" w:eastAsia="Times New Roman" w:hAnsi="Calibri" w:cs="Times New Roman"/>
                <w:color w:val="000000"/>
                <w:sz w:val="16"/>
                <w:szCs w:val="16"/>
                <w:lang w:val="de-DE" w:eastAsia="de-DE"/>
              </w:rPr>
              <w:t>± 0.08</w:t>
            </w:r>
          </w:p>
        </w:tc>
        <w:tc>
          <w:tcPr>
            <w:tcW w:w="880" w:type="dxa"/>
            <w:tcBorders>
              <w:top w:val="nil"/>
              <w:left w:val="nil"/>
              <w:bottom w:val="nil"/>
              <w:right w:val="single" w:sz="4" w:space="0" w:color="auto"/>
            </w:tcBorders>
            <w:shd w:val="clear" w:color="000000" w:fill="E6B8B7"/>
            <w:noWrap/>
            <w:vAlign w:val="center"/>
            <w:hideMark/>
          </w:tcPr>
          <w:p w:rsidR="00501072" w:rsidRPr="00501072" w:rsidRDefault="00501072" w:rsidP="00501072">
            <w:pPr>
              <w:spacing w:after="0" w:line="240" w:lineRule="auto"/>
              <w:jc w:val="center"/>
              <w:rPr>
                <w:rFonts w:ascii="Calibri" w:eastAsia="Times New Roman" w:hAnsi="Calibri" w:cs="Times New Roman"/>
                <w:color w:val="000000"/>
                <w:lang w:val="de-DE" w:eastAsia="de-DE"/>
              </w:rPr>
            </w:pPr>
            <w:r w:rsidRPr="00501072">
              <w:rPr>
                <w:rFonts w:ascii="Calibri" w:eastAsia="Times New Roman" w:hAnsi="Calibri" w:cs="Times New Roman"/>
                <w:color w:val="000000"/>
                <w:lang w:val="de-DE" w:eastAsia="de-DE"/>
              </w:rPr>
              <w:t xml:space="preserve">4.3 </w:t>
            </w:r>
            <w:r w:rsidRPr="00501072">
              <w:rPr>
                <w:rFonts w:ascii="Calibri" w:eastAsia="Times New Roman" w:hAnsi="Calibri" w:cs="Times New Roman"/>
                <w:color w:val="000000"/>
                <w:sz w:val="18"/>
                <w:szCs w:val="18"/>
                <w:lang w:val="de-DE" w:eastAsia="de-DE"/>
              </w:rPr>
              <w:t>*</w:t>
            </w:r>
          </w:p>
        </w:tc>
        <w:tc>
          <w:tcPr>
            <w:tcW w:w="2400" w:type="dxa"/>
            <w:gridSpan w:val="2"/>
            <w:tcBorders>
              <w:top w:val="nil"/>
              <w:left w:val="nil"/>
              <w:bottom w:val="nil"/>
              <w:right w:val="single" w:sz="4" w:space="0" w:color="000000"/>
            </w:tcBorders>
            <w:shd w:val="clear" w:color="auto" w:fill="auto"/>
            <w:noWrap/>
            <w:vAlign w:val="center"/>
            <w:hideMark/>
          </w:tcPr>
          <w:p w:rsidR="00501072" w:rsidRPr="00501072" w:rsidRDefault="00501072" w:rsidP="00501072">
            <w:pPr>
              <w:spacing w:after="0" w:line="240" w:lineRule="auto"/>
              <w:jc w:val="center"/>
              <w:rPr>
                <w:rFonts w:ascii="Calibri" w:eastAsia="Times New Roman" w:hAnsi="Calibri" w:cs="Times New Roman"/>
                <w:color w:val="000000"/>
                <w:lang w:val="de-DE" w:eastAsia="de-DE"/>
              </w:rPr>
            </w:pPr>
            <w:r w:rsidRPr="00501072">
              <w:rPr>
                <w:rFonts w:ascii="Calibri" w:eastAsia="Times New Roman" w:hAnsi="Calibri" w:cs="Times New Roman"/>
                <w:color w:val="000000"/>
                <w:lang w:val="de-DE" w:eastAsia="de-DE"/>
              </w:rPr>
              <w:t>not detected</w:t>
            </w:r>
          </w:p>
        </w:tc>
        <w:tc>
          <w:tcPr>
            <w:tcW w:w="720" w:type="dxa"/>
            <w:tcBorders>
              <w:top w:val="nil"/>
              <w:left w:val="nil"/>
              <w:bottom w:val="nil"/>
              <w:right w:val="single" w:sz="4" w:space="0" w:color="auto"/>
            </w:tcBorders>
            <w:shd w:val="clear" w:color="auto" w:fill="auto"/>
            <w:noWrap/>
            <w:vAlign w:val="center"/>
            <w:hideMark/>
          </w:tcPr>
          <w:p w:rsidR="00501072" w:rsidRPr="00501072" w:rsidRDefault="00501072" w:rsidP="00501072">
            <w:pPr>
              <w:spacing w:after="0" w:line="240" w:lineRule="auto"/>
              <w:jc w:val="center"/>
              <w:rPr>
                <w:rFonts w:ascii="Calibri" w:eastAsia="Times New Roman" w:hAnsi="Calibri" w:cs="Times New Roman"/>
                <w:color w:val="000000"/>
                <w:lang w:val="de-DE" w:eastAsia="de-DE"/>
              </w:rPr>
            </w:pPr>
            <w:r w:rsidRPr="00501072">
              <w:rPr>
                <w:rFonts w:ascii="Calibri" w:eastAsia="Times New Roman" w:hAnsi="Calibri" w:cs="Times New Roman"/>
                <w:color w:val="000000"/>
                <w:lang w:val="de-DE" w:eastAsia="de-DE"/>
              </w:rPr>
              <w:t> </w:t>
            </w:r>
          </w:p>
        </w:tc>
        <w:tc>
          <w:tcPr>
            <w:tcW w:w="2600" w:type="dxa"/>
            <w:gridSpan w:val="2"/>
            <w:tcBorders>
              <w:top w:val="nil"/>
              <w:left w:val="nil"/>
              <w:bottom w:val="nil"/>
              <w:right w:val="single" w:sz="4" w:space="0" w:color="000000"/>
            </w:tcBorders>
            <w:shd w:val="clear" w:color="auto" w:fill="auto"/>
            <w:noWrap/>
            <w:vAlign w:val="center"/>
            <w:hideMark/>
          </w:tcPr>
          <w:p w:rsidR="00501072" w:rsidRPr="00501072" w:rsidRDefault="00501072" w:rsidP="00501072">
            <w:pPr>
              <w:spacing w:after="0" w:line="240" w:lineRule="auto"/>
              <w:jc w:val="center"/>
              <w:rPr>
                <w:rFonts w:ascii="Calibri" w:eastAsia="Times New Roman" w:hAnsi="Calibri" w:cs="Times New Roman"/>
                <w:color w:val="000000"/>
                <w:lang w:val="de-DE" w:eastAsia="de-DE"/>
              </w:rPr>
            </w:pPr>
            <w:r w:rsidRPr="00501072">
              <w:rPr>
                <w:rFonts w:ascii="Calibri" w:eastAsia="Times New Roman" w:hAnsi="Calibri" w:cs="Times New Roman"/>
                <w:color w:val="000000"/>
                <w:lang w:val="de-DE" w:eastAsia="de-DE"/>
              </w:rPr>
              <w:t>not detected</w:t>
            </w:r>
          </w:p>
        </w:tc>
        <w:tc>
          <w:tcPr>
            <w:tcW w:w="840" w:type="dxa"/>
            <w:tcBorders>
              <w:top w:val="nil"/>
              <w:left w:val="nil"/>
              <w:bottom w:val="nil"/>
              <w:right w:val="single" w:sz="4" w:space="0" w:color="auto"/>
            </w:tcBorders>
            <w:shd w:val="clear" w:color="auto" w:fill="auto"/>
            <w:noWrap/>
            <w:vAlign w:val="center"/>
            <w:hideMark/>
          </w:tcPr>
          <w:p w:rsidR="00501072" w:rsidRPr="00501072" w:rsidRDefault="00501072" w:rsidP="00501072">
            <w:pPr>
              <w:spacing w:after="0" w:line="240" w:lineRule="auto"/>
              <w:jc w:val="center"/>
              <w:rPr>
                <w:rFonts w:ascii="Calibri" w:eastAsia="Times New Roman" w:hAnsi="Calibri" w:cs="Times New Roman"/>
                <w:color w:val="000000"/>
                <w:lang w:val="de-DE" w:eastAsia="de-DE"/>
              </w:rPr>
            </w:pPr>
            <w:r w:rsidRPr="00501072">
              <w:rPr>
                <w:rFonts w:ascii="Calibri" w:eastAsia="Times New Roman" w:hAnsi="Calibri" w:cs="Times New Roman"/>
                <w:color w:val="000000"/>
                <w:lang w:val="de-DE" w:eastAsia="de-DE"/>
              </w:rPr>
              <w:t> </w:t>
            </w:r>
          </w:p>
        </w:tc>
      </w:tr>
      <w:tr w:rsidR="00501072" w:rsidRPr="00501072" w:rsidTr="00501072">
        <w:trPr>
          <w:trHeight w:val="300"/>
        </w:trPr>
        <w:tc>
          <w:tcPr>
            <w:tcW w:w="1480" w:type="dxa"/>
            <w:tcBorders>
              <w:top w:val="nil"/>
              <w:left w:val="single" w:sz="4" w:space="0" w:color="auto"/>
              <w:bottom w:val="nil"/>
              <w:right w:val="single" w:sz="4" w:space="0" w:color="auto"/>
            </w:tcBorders>
            <w:shd w:val="clear" w:color="auto" w:fill="auto"/>
            <w:vAlign w:val="center"/>
            <w:hideMark/>
          </w:tcPr>
          <w:p w:rsidR="00501072" w:rsidRPr="00501072" w:rsidRDefault="00501072" w:rsidP="00501072">
            <w:pPr>
              <w:spacing w:after="0" w:line="240" w:lineRule="auto"/>
              <w:rPr>
                <w:rFonts w:ascii="Calibri" w:eastAsia="Times New Roman" w:hAnsi="Calibri" w:cs="Times New Roman"/>
                <w:color w:val="000000"/>
                <w:lang w:val="de-DE" w:eastAsia="de-DE"/>
              </w:rPr>
            </w:pPr>
            <w:r w:rsidRPr="00501072">
              <w:rPr>
                <w:rFonts w:ascii="Calibri" w:eastAsia="Times New Roman" w:hAnsi="Calibri" w:cs="Times New Roman"/>
                <w:color w:val="000000"/>
                <w:lang w:val="de-DE" w:eastAsia="de-DE"/>
              </w:rPr>
              <w:t>Eicosanoic acid</w:t>
            </w:r>
          </w:p>
        </w:tc>
        <w:tc>
          <w:tcPr>
            <w:tcW w:w="1180" w:type="dxa"/>
            <w:tcBorders>
              <w:top w:val="nil"/>
              <w:left w:val="nil"/>
              <w:bottom w:val="nil"/>
              <w:right w:val="nil"/>
            </w:tcBorders>
            <w:shd w:val="clear" w:color="auto" w:fill="auto"/>
            <w:noWrap/>
            <w:vAlign w:val="center"/>
            <w:hideMark/>
          </w:tcPr>
          <w:p w:rsidR="00501072" w:rsidRPr="00501072" w:rsidRDefault="00501072" w:rsidP="00501072">
            <w:pPr>
              <w:spacing w:after="0" w:line="240" w:lineRule="auto"/>
              <w:jc w:val="center"/>
              <w:rPr>
                <w:rFonts w:ascii="Calibri" w:eastAsia="Times New Roman" w:hAnsi="Calibri" w:cs="Times New Roman"/>
                <w:color w:val="000000"/>
                <w:lang w:val="de-DE" w:eastAsia="de-DE"/>
              </w:rPr>
            </w:pPr>
            <w:r w:rsidRPr="00501072">
              <w:rPr>
                <w:rFonts w:ascii="Calibri" w:eastAsia="Times New Roman" w:hAnsi="Calibri" w:cs="Times New Roman"/>
                <w:color w:val="000000"/>
                <w:lang w:val="de-DE" w:eastAsia="de-DE"/>
              </w:rPr>
              <w:t xml:space="preserve">0.1 </w:t>
            </w:r>
            <w:r w:rsidRPr="00501072">
              <w:rPr>
                <w:rFonts w:ascii="Calibri" w:eastAsia="Times New Roman" w:hAnsi="Calibri" w:cs="Times New Roman"/>
                <w:color w:val="000000"/>
                <w:sz w:val="16"/>
                <w:szCs w:val="16"/>
                <w:lang w:val="de-DE" w:eastAsia="de-DE"/>
              </w:rPr>
              <w:t>± 0.01</w:t>
            </w:r>
          </w:p>
        </w:tc>
        <w:tc>
          <w:tcPr>
            <w:tcW w:w="1140" w:type="dxa"/>
            <w:tcBorders>
              <w:top w:val="nil"/>
              <w:left w:val="nil"/>
              <w:bottom w:val="nil"/>
              <w:right w:val="single" w:sz="4" w:space="0" w:color="auto"/>
            </w:tcBorders>
            <w:shd w:val="clear" w:color="auto" w:fill="auto"/>
            <w:noWrap/>
            <w:vAlign w:val="center"/>
            <w:hideMark/>
          </w:tcPr>
          <w:p w:rsidR="00501072" w:rsidRPr="00501072" w:rsidRDefault="00501072" w:rsidP="00501072">
            <w:pPr>
              <w:spacing w:after="0" w:line="240" w:lineRule="auto"/>
              <w:jc w:val="center"/>
              <w:rPr>
                <w:rFonts w:ascii="Calibri" w:eastAsia="Times New Roman" w:hAnsi="Calibri" w:cs="Times New Roman"/>
                <w:color w:val="000000"/>
                <w:lang w:val="de-DE" w:eastAsia="de-DE"/>
              </w:rPr>
            </w:pPr>
            <w:r w:rsidRPr="00501072">
              <w:rPr>
                <w:rFonts w:ascii="Calibri" w:eastAsia="Times New Roman" w:hAnsi="Calibri" w:cs="Times New Roman"/>
                <w:color w:val="000000"/>
                <w:lang w:val="de-DE" w:eastAsia="de-DE"/>
              </w:rPr>
              <w:t xml:space="preserve">0.3 </w:t>
            </w:r>
            <w:r w:rsidRPr="00501072">
              <w:rPr>
                <w:rFonts w:ascii="Calibri" w:eastAsia="Times New Roman" w:hAnsi="Calibri" w:cs="Times New Roman"/>
                <w:color w:val="000000"/>
                <w:sz w:val="16"/>
                <w:szCs w:val="16"/>
                <w:lang w:val="de-DE" w:eastAsia="de-DE"/>
              </w:rPr>
              <w:t>± 0.05</w:t>
            </w:r>
          </w:p>
        </w:tc>
        <w:tc>
          <w:tcPr>
            <w:tcW w:w="820" w:type="dxa"/>
            <w:tcBorders>
              <w:top w:val="nil"/>
              <w:left w:val="nil"/>
              <w:bottom w:val="nil"/>
              <w:right w:val="single" w:sz="4" w:space="0" w:color="auto"/>
            </w:tcBorders>
            <w:shd w:val="clear" w:color="000000" w:fill="F2DCDB"/>
            <w:noWrap/>
            <w:vAlign w:val="center"/>
            <w:hideMark/>
          </w:tcPr>
          <w:p w:rsidR="00501072" w:rsidRPr="00501072" w:rsidRDefault="00501072" w:rsidP="00501072">
            <w:pPr>
              <w:spacing w:after="0" w:line="240" w:lineRule="auto"/>
              <w:jc w:val="center"/>
              <w:rPr>
                <w:rFonts w:ascii="Calibri" w:eastAsia="Times New Roman" w:hAnsi="Calibri" w:cs="Times New Roman"/>
                <w:color w:val="000000"/>
                <w:lang w:val="de-DE" w:eastAsia="de-DE"/>
              </w:rPr>
            </w:pPr>
            <w:r w:rsidRPr="00501072">
              <w:rPr>
                <w:rFonts w:ascii="Calibri" w:eastAsia="Times New Roman" w:hAnsi="Calibri" w:cs="Times New Roman"/>
                <w:color w:val="000000"/>
                <w:lang w:val="de-DE" w:eastAsia="de-DE"/>
              </w:rPr>
              <w:t xml:space="preserve">2.3 </w:t>
            </w:r>
            <w:r w:rsidRPr="00501072">
              <w:rPr>
                <w:rFonts w:ascii="Calibri" w:eastAsia="Times New Roman" w:hAnsi="Calibri" w:cs="Times New Roman"/>
                <w:color w:val="000000"/>
                <w:sz w:val="18"/>
                <w:szCs w:val="18"/>
                <w:lang w:val="de-DE" w:eastAsia="de-DE"/>
              </w:rPr>
              <w:t>*</w:t>
            </w:r>
          </w:p>
        </w:tc>
        <w:tc>
          <w:tcPr>
            <w:tcW w:w="1460" w:type="dxa"/>
            <w:tcBorders>
              <w:top w:val="nil"/>
              <w:left w:val="nil"/>
              <w:bottom w:val="nil"/>
              <w:right w:val="nil"/>
            </w:tcBorders>
            <w:shd w:val="clear" w:color="auto" w:fill="auto"/>
            <w:noWrap/>
            <w:vAlign w:val="center"/>
            <w:hideMark/>
          </w:tcPr>
          <w:p w:rsidR="00501072" w:rsidRPr="00501072" w:rsidRDefault="00501072" w:rsidP="00501072">
            <w:pPr>
              <w:spacing w:after="0" w:line="240" w:lineRule="auto"/>
              <w:jc w:val="center"/>
              <w:rPr>
                <w:rFonts w:ascii="Calibri" w:eastAsia="Times New Roman" w:hAnsi="Calibri" w:cs="Times New Roman"/>
                <w:color w:val="000000"/>
                <w:lang w:val="de-DE" w:eastAsia="de-DE"/>
              </w:rPr>
            </w:pPr>
            <w:r w:rsidRPr="00501072">
              <w:rPr>
                <w:rFonts w:ascii="Calibri" w:eastAsia="Times New Roman" w:hAnsi="Calibri" w:cs="Times New Roman"/>
                <w:color w:val="000000"/>
                <w:lang w:val="de-DE" w:eastAsia="de-DE"/>
              </w:rPr>
              <w:t xml:space="preserve">0.1 </w:t>
            </w:r>
            <w:r w:rsidRPr="00501072">
              <w:rPr>
                <w:rFonts w:ascii="Calibri" w:eastAsia="Times New Roman" w:hAnsi="Calibri" w:cs="Times New Roman"/>
                <w:color w:val="000000"/>
                <w:sz w:val="16"/>
                <w:szCs w:val="16"/>
                <w:lang w:val="de-DE" w:eastAsia="de-DE"/>
              </w:rPr>
              <w:t>± 0.04</w:t>
            </w:r>
          </w:p>
        </w:tc>
        <w:tc>
          <w:tcPr>
            <w:tcW w:w="1300" w:type="dxa"/>
            <w:tcBorders>
              <w:top w:val="nil"/>
              <w:left w:val="nil"/>
              <w:bottom w:val="nil"/>
              <w:right w:val="single" w:sz="4" w:space="0" w:color="auto"/>
            </w:tcBorders>
            <w:shd w:val="clear" w:color="auto" w:fill="auto"/>
            <w:noWrap/>
            <w:vAlign w:val="center"/>
            <w:hideMark/>
          </w:tcPr>
          <w:p w:rsidR="00501072" w:rsidRPr="00501072" w:rsidRDefault="00501072" w:rsidP="00501072">
            <w:pPr>
              <w:spacing w:after="0" w:line="240" w:lineRule="auto"/>
              <w:jc w:val="center"/>
              <w:rPr>
                <w:rFonts w:ascii="Calibri" w:eastAsia="Times New Roman" w:hAnsi="Calibri" w:cs="Times New Roman"/>
                <w:color w:val="000000"/>
                <w:lang w:val="de-DE" w:eastAsia="de-DE"/>
              </w:rPr>
            </w:pPr>
            <w:r w:rsidRPr="00501072">
              <w:rPr>
                <w:rFonts w:ascii="Calibri" w:eastAsia="Times New Roman" w:hAnsi="Calibri" w:cs="Times New Roman"/>
                <w:color w:val="000000"/>
                <w:lang w:val="de-DE" w:eastAsia="de-DE"/>
              </w:rPr>
              <w:t xml:space="preserve">0.1 </w:t>
            </w:r>
            <w:r w:rsidRPr="00501072">
              <w:rPr>
                <w:rFonts w:ascii="Calibri" w:eastAsia="Times New Roman" w:hAnsi="Calibri" w:cs="Times New Roman"/>
                <w:color w:val="000000"/>
                <w:sz w:val="16"/>
                <w:szCs w:val="16"/>
                <w:lang w:val="de-DE" w:eastAsia="de-DE"/>
              </w:rPr>
              <w:t>± 0.02</w:t>
            </w:r>
          </w:p>
        </w:tc>
        <w:tc>
          <w:tcPr>
            <w:tcW w:w="880" w:type="dxa"/>
            <w:tcBorders>
              <w:top w:val="nil"/>
              <w:left w:val="nil"/>
              <w:bottom w:val="nil"/>
              <w:right w:val="single" w:sz="4" w:space="0" w:color="auto"/>
            </w:tcBorders>
            <w:shd w:val="clear" w:color="auto" w:fill="auto"/>
            <w:noWrap/>
            <w:vAlign w:val="center"/>
            <w:hideMark/>
          </w:tcPr>
          <w:p w:rsidR="00501072" w:rsidRPr="00501072" w:rsidRDefault="00501072" w:rsidP="00501072">
            <w:pPr>
              <w:spacing w:after="0" w:line="240" w:lineRule="auto"/>
              <w:jc w:val="center"/>
              <w:rPr>
                <w:rFonts w:ascii="Calibri" w:eastAsia="Times New Roman" w:hAnsi="Calibri" w:cs="Times New Roman"/>
                <w:color w:val="000000"/>
                <w:lang w:val="de-DE" w:eastAsia="de-DE"/>
              </w:rPr>
            </w:pPr>
            <w:r w:rsidRPr="00501072">
              <w:rPr>
                <w:rFonts w:ascii="Calibri" w:eastAsia="Times New Roman" w:hAnsi="Calibri" w:cs="Times New Roman"/>
                <w:color w:val="000000"/>
                <w:lang w:val="de-DE" w:eastAsia="de-DE"/>
              </w:rPr>
              <w:t>1.2</w:t>
            </w:r>
          </w:p>
        </w:tc>
        <w:tc>
          <w:tcPr>
            <w:tcW w:w="1340" w:type="dxa"/>
            <w:tcBorders>
              <w:top w:val="nil"/>
              <w:left w:val="nil"/>
              <w:bottom w:val="nil"/>
              <w:right w:val="nil"/>
            </w:tcBorders>
            <w:shd w:val="clear" w:color="auto" w:fill="auto"/>
            <w:noWrap/>
            <w:vAlign w:val="center"/>
            <w:hideMark/>
          </w:tcPr>
          <w:p w:rsidR="00501072" w:rsidRPr="00501072" w:rsidRDefault="00501072" w:rsidP="00501072">
            <w:pPr>
              <w:spacing w:after="0" w:line="240" w:lineRule="auto"/>
              <w:jc w:val="center"/>
              <w:rPr>
                <w:rFonts w:ascii="Calibri" w:eastAsia="Times New Roman" w:hAnsi="Calibri" w:cs="Times New Roman"/>
                <w:color w:val="000000"/>
                <w:lang w:val="de-DE" w:eastAsia="de-DE"/>
              </w:rPr>
            </w:pPr>
            <w:r w:rsidRPr="00501072">
              <w:rPr>
                <w:rFonts w:ascii="Calibri" w:eastAsia="Times New Roman" w:hAnsi="Calibri" w:cs="Times New Roman"/>
                <w:color w:val="000000"/>
                <w:lang w:val="de-DE" w:eastAsia="de-DE"/>
              </w:rPr>
              <w:t xml:space="preserve">0.04 </w:t>
            </w:r>
            <w:r w:rsidRPr="00501072">
              <w:rPr>
                <w:rFonts w:ascii="Calibri" w:eastAsia="Times New Roman" w:hAnsi="Calibri" w:cs="Times New Roman"/>
                <w:color w:val="000000"/>
                <w:sz w:val="16"/>
                <w:szCs w:val="16"/>
                <w:lang w:val="de-DE" w:eastAsia="de-DE"/>
              </w:rPr>
              <w:t>± 0.007</w:t>
            </w:r>
          </w:p>
        </w:tc>
        <w:tc>
          <w:tcPr>
            <w:tcW w:w="1060" w:type="dxa"/>
            <w:tcBorders>
              <w:top w:val="nil"/>
              <w:left w:val="nil"/>
              <w:bottom w:val="nil"/>
              <w:right w:val="single" w:sz="4" w:space="0" w:color="auto"/>
            </w:tcBorders>
            <w:shd w:val="clear" w:color="auto" w:fill="auto"/>
            <w:noWrap/>
            <w:vAlign w:val="center"/>
            <w:hideMark/>
          </w:tcPr>
          <w:p w:rsidR="00501072" w:rsidRPr="00501072" w:rsidRDefault="00501072" w:rsidP="00501072">
            <w:pPr>
              <w:spacing w:after="0" w:line="240" w:lineRule="auto"/>
              <w:jc w:val="center"/>
              <w:rPr>
                <w:rFonts w:ascii="Calibri" w:eastAsia="Times New Roman" w:hAnsi="Calibri" w:cs="Times New Roman"/>
                <w:color w:val="000000"/>
                <w:lang w:val="de-DE" w:eastAsia="de-DE"/>
              </w:rPr>
            </w:pPr>
            <w:r w:rsidRPr="00501072">
              <w:rPr>
                <w:rFonts w:ascii="Calibri" w:eastAsia="Times New Roman" w:hAnsi="Calibri" w:cs="Times New Roman"/>
                <w:color w:val="000000"/>
                <w:lang w:val="de-DE" w:eastAsia="de-DE"/>
              </w:rPr>
              <w:t xml:space="preserve">0.1 </w:t>
            </w:r>
            <w:r w:rsidRPr="00501072">
              <w:rPr>
                <w:rFonts w:ascii="Calibri" w:eastAsia="Times New Roman" w:hAnsi="Calibri" w:cs="Times New Roman"/>
                <w:color w:val="000000"/>
                <w:sz w:val="16"/>
                <w:szCs w:val="16"/>
                <w:lang w:val="de-DE" w:eastAsia="de-DE"/>
              </w:rPr>
              <w:t>± 0.008</w:t>
            </w:r>
          </w:p>
        </w:tc>
        <w:tc>
          <w:tcPr>
            <w:tcW w:w="720" w:type="dxa"/>
            <w:tcBorders>
              <w:top w:val="nil"/>
              <w:left w:val="nil"/>
              <w:bottom w:val="nil"/>
              <w:right w:val="single" w:sz="4" w:space="0" w:color="auto"/>
            </w:tcBorders>
            <w:shd w:val="clear" w:color="000000" w:fill="F2DCDB"/>
            <w:noWrap/>
            <w:vAlign w:val="center"/>
            <w:hideMark/>
          </w:tcPr>
          <w:p w:rsidR="00501072" w:rsidRPr="00501072" w:rsidRDefault="00501072" w:rsidP="00501072">
            <w:pPr>
              <w:spacing w:after="0" w:line="240" w:lineRule="auto"/>
              <w:jc w:val="center"/>
              <w:rPr>
                <w:rFonts w:ascii="Calibri" w:eastAsia="Times New Roman" w:hAnsi="Calibri" w:cs="Times New Roman"/>
                <w:color w:val="000000"/>
                <w:lang w:val="de-DE" w:eastAsia="de-DE"/>
              </w:rPr>
            </w:pPr>
            <w:r w:rsidRPr="00501072">
              <w:rPr>
                <w:rFonts w:ascii="Calibri" w:eastAsia="Times New Roman" w:hAnsi="Calibri" w:cs="Times New Roman"/>
                <w:color w:val="000000"/>
                <w:lang w:val="de-DE" w:eastAsia="de-DE"/>
              </w:rPr>
              <w:t xml:space="preserve">2.8 </w:t>
            </w:r>
            <w:r w:rsidRPr="00501072">
              <w:rPr>
                <w:rFonts w:ascii="Calibri" w:eastAsia="Times New Roman" w:hAnsi="Calibri" w:cs="Times New Roman"/>
                <w:color w:val="000000"/>
                <w:sz w:val="18"/>
                <w:szCs w:val="18"/>
                <w:lang w:val="de-DE" w:eastAsia="de-DE"/>
              </w:rPr>
              <w:t>***</w:t>
            </w:r>
          </w:p>
        </w:tc>
        <w:tc>
          <w:tcPr>
            <w:tcW w:w="1360" w:type="dxa"/>
            <w:tcBorders>
              <w:top w:val="nil"/>
              <w:left w:val="nil"/>
              <w:bottom w:val="nil"/>
              <w:right w:val="nil"/>
            </w:tcBorders>
            <w:shd w:val="clear" w:color="auto" w:fill="auto"/>
            <w:noWrap/>
            <w:vAlign w:val="center"/>
            <w:hideMark/>
          </w:tcPr>
          <w:p w:rsidR="00501072" w:rsidRPr="00501072" w:rsidRDefault="00501072" w:rsidP="00501072">
            <w:pPr>
              <w:spacing w:after="0" w:line="240" w:lineRule="auto"/>
              <w:jc w:val="center"/>
              <w:rPr>
                <w:rFonts w:ascii="Calibri" w:eastAsia="Times New Roman" w:hAnsi="Calibri" w:cs="Times New Roman"/>
                <w:color w:val="000000"/>
                <w:lang w:val="de-DE" w:eastAsia="de-DE"/>
              </w:rPr>
            </w:pPr>
            <w:r w:rsidRPr="00501072">
              <w:rPr>
                <w:rFonts w:ascii="Calibri" w:eastAsia="Times New Roman" w:hAnsi="Calibri" w:cs="Times New Roman"/>
                <w:color w:val="000000"/>
                <w:lang w:val="de-DE" w:eastAsia="de-DE"/>
              </w:rPr>
              <w:t xml:space="preserve">0.04 </w:t>
            </w:r>
            <w:r w:rsidRPr="00501072">
              <w:rPr>
                <w:rFonts w:ascii="Calibri" w:eastAsia="Times New Roman" w:hAnsi="Calibri" w:cs="Times New Roman"/>
                <w:color w:val="000000"/>
                <w:sz w:val="16"/>
                <w:szCs w:val="16"/>
                <w:lang w:val="de-DE" w:eastAsia="de-DE"/>
              </w:rPr>
              <w:t>± 0.01</w:t>
            </w:r>
          </w:p>
        </w:tc>
        <w:tc>
          <w:tcPr>
            <w:tcW w:w="1240" w:type="dxa"/>
            <w:tcBorders>
              <w:top w:val="nil"/>
              <w:left w:val="nil"/>
              <w:bottom w:val="nil"/>
              <w:right w:val="single" w:sz="4" w:space="0" w:color="auto"/>
            </w:tcBorders>
            <w:shd w:val="clear" w:color="auto" w:fill="auto"/>
            <w:noWrap/>
            <w:vAlign w:val="center"/>
            <w:hideMark/>
          </w:tcPr>
          <w:p w:rsidR="00501072" w:rsidRPr="00501072" w:rsidRDefault="00501072" w:rsidP="00501072">
            <w:pPr>
              <w:spacing w:after="0" w:line="240" w:lineRule="auto"/>
              <w:jc w:val="center"/>
              <w:rPr>
                <w:rFonts w:ascii="Calibri" w:eastAsia="Times New Roman" w:hAnsi="Calibri" w:cs="Times New Roman"/>
                <w:color w:val="000000"/>
                <w:lang w:val="de-DE" w:eastAsia="de-DE"/>
              </w:rPr>
            </w:pPr>
            <w:r w:rsidRPr="00501072">
              <w:rPr>
                <w:rFonts w:ascii="Calibri" w:eastAsia="Times New Roman" w:hAnsi="Calibri" w:cs="Times New Roman"/>
                <w:color w:val="000000"/>
                <w:lang w:val="de-DE" w:eastAsia="de-DE"/>
              </w:rPr>
              <w:t xml:space="preserve">1.1 </w:t>
            </w:r>
            <w:r w:rsidRPr="00501072">
              <w:rPr>
                <w:rFonts w:ascii="Calibri" w:eastAsia="Times New Roman" w:hAnsi="Calibri" w:cs="Times New Roman"/>
                <w:color w:val="000000"/>
                <w:sz w:val="16"/>
                <w:szCs w:val="16"/>
                <w:lang w:val="de-DE" w:eastAsia="de-DE"/>
              </w:rPr>
              <w:t>± 0.04</w:t>
            </w:r>
          </w:p>
        </w:tc>
        <w:tc>
          <w:tcPr>
            <w:tcW w:w="840" w:type="dxa"/>
            <w:tcBorders>
              <w:top w:val="nil"/>
              <w:left w:val="nil"/>
              <w:bottom w:val="nil"/>
              <w:right w:val="single" w:sz="4" w:space="0" w:color="auto"/>
            </w:tcBorders>
            <w:shd w:val="clear" w:color="000000" w:fill="963634"/>
            <w:noWrap/>
            <w:vAlign w:val="center"/>
            <w:hideMark/>
          </w:tcPr>
          <w:p w:rsidR="00501072" w:rsidRPr="00501072" w:rsidRDefault="00501072" w:rsidP="00501072">
            <w:pPr>
              <w:spacing w:after="0" w:line="240" w:lineRule="auto"/>
              <w:jc w:val="center"/>
              <w:rPr>
                <w:rFonts w:ascii="Calibri" w:eastAsia="Times New Roman" w:hAnsi="Calibri" w:cs="Times New Roman"/>
                <w:color w:val="FFFFFF"/>
                <w:lang w:val="de-DE" w:eastAsia="de-DE"/>
              </w:rPr>
            </w:pPr>
            <w:r w:rsidRPr="00501072">
              <w:rPr>
                <w:rFonts w:ascii="Calibri" w:eastAsia="Times New Roman" w:hAnsi="Calibri" w:cs="Times New Roman"/>
                <w:color w:val="FFFFFF"/>
                <w:lang w:val="de-DE" w:eastAsia="de-DE"/>
              </w:rPr>
              <w:t xml:space="preserve">24.3 </w:t>
            </w:r>
            <w:r w:rsidRPr="00501072">
              <w:rPr>
                <w:rFonts w:ascii="Calibri" w:eastAsia="Times New Roman" w:hAnsi="Calibri" w:cs="Times New Roman"/>
                <w:color w:val="FFFFFF"/>
                <w:sz w:val="18"/>
                <w:szCs w:val="18"/>
                <w:lang w:val="de-DE" w:eastAsia="de-DE"/>
              </w:rPr>
              <w:t>***</w:t>
            </w:r>
          </w:p>
        </w:tc>
      </w:tr>
      <w:tr w:rsidR="00501072" w:rsidRPr="00501072" w:rsidTr="00501072">
        <w:trPr>
          <w:trHeight w:val="300"/>
        </w:trPr>
        <w:tc>
          <w:tcPr>
            <w:tcW w:w="1480" w:type="dxa"/>
            <w:tcBorders>
              <w:top w:val="nil"/>
              <w:left w:val="single" w:sz="4" w:space="0" w:color="auto"/>
              <w:bottom w:val="nil"/>
              <w:right w:val="single" w:sz="4" w:space="0" w:color="auto"/>
            </w:tcBorders>
            <w:shd w:val="clear" w:color="auto" w:fill="auto"/>
            <w:vAlign w:val="center"/>
            <w:hideMark/>
          </w:tcPr>
          <w:p w:rsidR="00501072" w:rsidRPr="00501072" w:rsidRDefault="00501072" w:rsidP="00501072">
            <w:pPr>
              <w:spacing w:after="0" w:line="240" w:lineRule="auto"/>
              <w:rPr>
                <w:rFonts w:ascii="Calibri" w:eastAsia="Times New Roman" w:hAnsi="Calibri" w:cs="Times New Roman"/>
                <w:color w:val="000000"/>
                <w:lang w:val="de-DE" w:eastAsia="de-DE"/>
              </w:rPr>
            </w:pPr>
            <w:r w:rsidRPr="00501072">
              <w:rPr>
                <w:rFonts w:ascii="Calibri" w:eastAsia="Times New Roman" w:hAnsi="Calibri" w:cs="Times New Roman"/>
                <w:color w:val="000000"/>
                <w:lang w:val="de-DE" w:eastAsia="de-DE"/>
              </w:rPr>
              <w:t>Unknown 22</w:t>
            </w:r>
          </w:p>
        </w:tc>
        <w:tc>
          <w:tcPr>
            <w:tcW w:w="1180" w:type="dxa"/>
            <w:tcBorders>
              <w:top w:val="nil"/>
              <w:left w:val="nil"/>
              <w:bottom w:val="nil"/>
              <w:right w:val="nil"/>
            </w:tcBorders>
            <w:shd w:val="clear" w:color="auto" w:fill="auto"/>
            <w:noWrap/>
            <w:vAlign w:val="center"/>
            <w:hideMark/>
          </w:tcPr>
          <w:p w:rsidR="00501072" w:rsidRPr="00501072" w:rsidRDefault="00501072" w:rsidP="00501072">
            <w:pPr>
              <w:spacing w:after="0" w:line="240" w:lineRule="auto"/>
              <w:jc w:val="center"/>
              <w:rPr>
                <w:rFonts w:ascii="Calibri" w:eastAsia="Times New Roman" w:hAnsi="Calibri" w:cs="Times New Roman"/>
                <w:color w:val="000000"/>
                <w:lang w:val="de-DE" w:eastAsia="de-DE"/>
              </w:rPr>
            </w:pPr>
            <w:r w:rsidRPr="00501072">
              <w:rPr>
                <w:rFonts w:ascii="Calibri" w:eastAsia="Times New Roman" w:hAnsi="Calibri" w:cs="Times New Roman"/>
                <w:color w:val="000000"/>
                <w:lang w:val="de-DE" w:eastAsia="de-DE"/>
              </w:rPr>
              <w:t>0.01</w:t>
            </w:r>
            <w:r w:rsidRPr="00501072">
              <w:rPr>
                <w:rFonts w:ascii="Calibri" w:eastAsia="Times New Roman" w:hAnsi="Calibri" w:cs="Times New Roman"/>
                <w:color w:val="000000"/>
                <w:sz w:val="16"/>
                <w:szCs w:val="16"/>
                <w:lang w:val="de-DE" w:eastAsia="de-DE"/>
              </w:rPr>
              <w:t xml:space="preserve"> ± 0.002</w:t>
            </w:r>
          </w:p>
        </w:tc>
        <w:tc>
          <w:tcPr>
            <w:tcW w:w="1140" w:type="dxa"/>
            <w:tcBorders>
              <w:top w:val="nil"/>
              <w:left w:val="nil"/>
              <w:bottom w:val="nil"/>
              <w:right w:val="single" w:sz="4" w:space="0" w:color="auto"/>
            </w:tcBorders>
            <w:shd w:val="clear" w:color="auto" w:fill="auto"/>
            <w:noWrap/>
            <w:vAlign w:val="center"/>
            <w:hideMark/>
          </w:tcPr>
          <w:p w:rsidR="00501072" w:rsidRPr="00501072" w:rsidRDefault="00501072" w:rsidP="00501072">
            <w:pPr>
              <w:spacing w:after="0" w:line="240" w:lineRule="auto"/>
              <w:jc w:val="center"/>
              <w:rPr>
                <w:rFonts w:ascii="Calibri" w:eastAsia="Times New Roman" w:hAnsi="Calibri" w:cs="Times New Roman"/>
                <w:color w:val="000000"/>
                <w:lang w:val="de-DE" w:eastAsia="de-DE"/>
              </w:rPr>
            </w:pPr>
            <w:r w:rsidRPr="00501072">
              <w:rPr>
                <w:rFonts w:ascii="Calibri" w:eastAsia="Times New Roman" w:hAnsi="Calibri" w:cs="Times New Roman"/>
                <w:color w:val="000000"/>
                <w:lang w:val="de-DE" w:eastAsia="de-DE"/>
              </w:rPr>
              <w:t xml:space="preserve">0.05 </w:t>
            </w:r>
            <w:r w:rsidRPr="00501072">
              <w:rPr>
                <w:rFonts w:ascii="Calibri" w:eastAsia="Times New Roman" w:hAnsi="Calibri" w:cs="Times New Roman"/>
                <w:color w:val="000000"/>
                <w:sz w:val="16"/>
                <w:szCs w:val="16"/>
                <w:lang w:val="de-DE" w:eastAsia="de-DE"/>
              </w:rPr>
              <w:t>± 0.008</w:t>
            </w:r>
          </w:p>
        </w:tc>
        <w:tc>
          <w:tcPr>
            <w:tcW w:w="820" w:type="dxa"/>
            <w:tcBorders>
              <w:top w:val="nil"/>
              <w:left w:val="nil"/>
              <w:bottom w:val="nil"/>
              <w:right w:val="single" w:sz="4" w:space="0" w:color="auto"/>
            </w:tcBorders>
            <w:shd w:val="clear" w:color="000000" w:fill="E6B8B7"/>
            <w:noWrap/>
            <w:vAlign w:val="center"/>
            <w:hideMark/>
          </w:tcPr>
          <w:p w:rsidR="00501072" w:rsidRPr="00501072" w:rsidRDefault="00501072" w:rsidP="00501072">
            <w:pPr>
              <w:spacing w:after="0" w:line="240" w:lineRule="auto"/>
              <w:jc w:val="center"/>
              <w:rPr>
                <w:rFonts w:ascii="Calibri" w:eastAsia="Times New Roman" w:hAnsi="Calibri" w:cs="Times New Roman"/>
                <w:color w:val="000000"/>
                <w:lang w:val="de-DE" w:eastAsia="de-DE"/>
              </w:rPr>
            </w:pPr>
            <w:r w:rsidRPr="00501072">
              <w:rPr>
                <w:rFonts w:ascii="Calibri" w:eastAsia="Times New Roman" w:hAnsi="Calibri" w:cs="Times New Roman"/>
                <w:color w:val="000000"/>
                <w:lang w:val="de-DE" w:eastAsia="de-DE"/>
              </w:rPr>
              <w:t xml:space="preserve">4.0 </w:t>
            </w:r>
            <w:r w:rsidRPr="00501072">
              <w:rPr>
                <w:rFonts w:ascii="Calibri" w:eastAsia="Times New Roman" w:hAnsi="Calibri" w:cs="Times New Roman"/>
                <w:color w:val="000000"/>
                <w:sz w:val="18"/>
                <w:szCs w:val="18"/>
                <w:lang w:val="de-DE" w:eastAsia="de-DE"/>
              </w:rPr>
              <w:t>**</w:t>
            </w:r>
          </w:p>
        </w:tc>
        <w:tc>
          <w:tcPr>
            <w:tcW w:w="1460" w:type="dxa"/>
            <w:tcBorders>
              <w:top w:val="nil"/>
              <w:left w:val="nil"/>
              <w:bottom w:val="nil"/>
              <w:right w:val="nil"/>
            </w:tcBorders>
            <w:shd w:val="clear" w:color="auto" w:fill="auto"/>
            <w:noWrap/>
            <w:vAlign w:val="center"/>
            <w:hideMark/>
          </w:tcPr>
          <w:p w:rsidR="00501072" w:rsidRPr="00501072" w:rsidRDefault="00501072" w:rsidP="00501072">
            <w:pPr>
              <w:spacing w:after="0" w:line="240" w:lineRule="auto"/>
              <w:jc w:val="center"/>
              <w:rPr>
                <w:rFonts w:ascii="Calibri" w:eastAsia="Times New Roman" w:hAnsi="Calibri" w:cs="Times New Roman"/>
                <w:color w:val="000000"/>
                <w:lang w:val="de-DE" w:eastAsia="de-DE"/>
              </w:rPr>
            </w:pPr>
            <w:r w:rsidRPr="00501072">
              <w:rPr>
                <w:rFonts w:ascii="Calibri" w:eastAsia="Times New Roman" w:hAnsi="Calibri" w:cs="Times New Roman"/>
                <w:color w:val="000000"/>
                <w:lang w:val="de-DE" w:eastAsia="de-DE"/>
              </w:rPr>
              <w:t xml:space="preserve">0.002 </w:t>
            </w:r>
            <w:r w:rsidRPr="00501072">
              <w:rPr>
                <w:rFonts w:ascii="Calibri" w:eastAsia="Times New Roman" w:hAnsi="Calibri" w:cs="Times New Roman"/>
                <w:color w:val="000000"/>
                <w:sz w:val="16"/>
                <w:szCs w:val="16"/>
                <w:lang w:val="de-DE" w:eastAsia="de-DE"/>
              </w:rPr>
              <w:t>± 0.0006</w:t>
            </w:r>
          </w:p>
        </w:tc>
        <w:tc>
          <w:tcPr>
            <w:tcW w:w="1300" w:type="dxa"/>
            <w:tcBorders>
              <w:top w:val="nil"/>
              <w:left w:val="nil"/>
              <w:bottom w:val="nil"/>
              <w:right w:val="single" w:sz="4" w:space="0" w:color="auto"/>
            </w:tcBorders>
            <w:shd w:val="clear" w:color="auto" w:fill="auto"/>
            <w:noWrap/>
            <w:vAlign w:val="center"/>
            <w:hideMark/>
          </w:tcPr>
          <w:p w:rsidR="00501072" w:rsidRPr="00501072" w:rsidRDefault="00501072" w:rsidP="00501072">
            <w:pPr>
              <w:spacing w:after="0" w:line="240" w:lineRule="auto"/>
              <w:jc w:val="center"/>
              <w:rPr>
                <w:rFonts w:ascii="Calibri" w:eastAsia="Times New Roman" w:hAnsi="Calibri" w:cs="Times New Roman"/>
                <w:color w:val="000000"/>
                <w:lang w:val="de-DE" w:eastAsia="de-DE"/>
              </w:rPr>
            </w:pPr>
            <w:r w:rsidRPr="00501072">
              <w:rPr>
                <w:rFonts w:ascii="Calibri" w:eastAsia="Times New Roman" w:hAnsi="Calibri" w:cs="Times New Roman"/>
                <w:color w:val="000000"/>
                <w:lang w:val="de-DE" w:eastAsia="de-DE"/>
              </w:rPr>
              <w:t xml:space="preserve">0.001 </w:t>
            </w:r>
            <w:r w:rsidRPr="00501072">
              <w:rPr>
                <w:rFonts w:ascii="Calibri" w:eastAsia="Times New Roman" w:hAnsi="Calibri" w:cs="Times New Roman"/>
                <w:color w:val="000000"/>
                <w:sz w:val="16"/>
                <w:szCs w:val="16"/>
                <w:lang w:val="de-DE" w:eastAsia="de-DE"/>
              </w:rPr>
              <w:t>± 0.0002</w:t>
            </w:r>
          </w:p>
        </w:tc>
        <w:tc>
          <w:tcPr>
            <w:tcW w:w="880" w:type="dxa"/>
            <w:tcBorders>
              <w:top w:val="nil"/>
              <w:left w:val="nil"/>
              <w:bottom w:val="nil"/>
              <w:right w:val="single" w:sz="4" w:space="0" w:color="auto"/>
            </w:tcBorders>
            <w:shd w:val="clear" w:color="000000" w:fill="D8E4BC"/>
            <w:noWrap/>
            <w:vAlign w:val="center"/>
            <w:hideMark/>
          </w:tcPr>
          <w:p w:rsidR="00501072" w:rsidRPr="00501072" w:rsidRDefault="00501072" w:rsidP="00501072">
            <w:pPr>
              <w:spacing w:after="0" w:line="240" w:lineRule="auto"/>
              <w:jc w:val="center"/>
              <w:rPr>
                <w:rFonts w:ascii="Calibri" w:eastAsia="Times New Roman" w:hAnsi="Calibri" w:cs="Times New Roman"/>
                <w:color w:val="000000"/>
                <w:lang w:val="de-DE" w:eastAsia="de-DE"/>
              </w:rPr>
            </w:pPr>
            <w:r w:rsidRPr="00501072">
              <w:rPr>
                <w:rFonts w:ascii="Calibri" w:eastAsia="Times New Roman" w:hAnsi="Calibri" w:cs="Times New Roman"/>
                <w:color w:val="000000"/>
                <w:lang w:val="de-DE" w:eastAsia="de-DE"/>
              </w:rPr>
              <w:t>0.7</w:t>
            </w:r>
          </w:p>
        </w:tc>
        <w:tc>
          <w:tcPr>
            <w:tcW w:w="2400" w:type="dxa"/>
            <w:gridSpan w:val="2"/>
            <w:tcBorders>
              <w:top w:val="nil"/>
              <w:left w:val="nil"/>
              <w:bottom w:val="nil"/>
              <w:right w:val="single" w:sz="4" w:space="0" w:color="000000"/>
            </w:tcBorders>
            <w:shd w:val="clear" w:color="auto" w:fill="auto"/>
            <w:noWrap/>
            <w:vAlign w:val="center"/>
            <w:hideMark/>
          </w:tcPr>
          <w:p w:rsidR="00501072" w:rsidRPr="00501072" w:rsidRDefault="00501072" w:rsidP="00501072">
            <w:pPr>
              <w:spacing w:after="0" w:line="240" w:lineRule="auto"/>
              <w:jc w:val="center"/>
              <w:rPr>
                <w:rFonts w:ascii="Calibri" w:eastAsia="Times New Roman" w:hAnsi="Calibri" w:cs="Times New Roman"/>
                <w:color w:val="000000"/>
                <w:lang w:val="de-DE" w:eastAsia="de-DE"/>
              </w:rPr>
            </w:pPr>
            <w:r w:rsidRPr="00501072">
              <w:rPr>
                <w:rFonts w:ascii="Calibri" w:eastAsia="Times New Roman" w:hAnsi="Calibri" w:cs="Times New Roman"/>
                <w:color w:val="000000"/>
                <w:lang w:val="de-DE" w:eastAsia="de-DE"/>
              </w:rPr>
              <w:t>not detected</w:t>
            </w:r>
          </w:p>
        </w:tc>
        <w:tc>
          <w:tcPr>
            <w:tcW w:w="720" w:type="dxa"/>
            <w:tcBorders>
              <w:top w:val="nil"/>
              <w:left w:val="nil"/>
              <w:bottom w:val="nil"/>
              <w:right w:val="single" w:sz="4" w:space="0" w:color="auto"/>
            </w:tcBorders>
            <w:shd w:val="clear" w:color="auto" w:fill="auto"/>
            <w:noWrap/>
            <w:vAlign w:val="center"/>
            <w:hideMark/>
          </w:tcPr>
          <w:p w:rsidR="00501072" w:rsidRPr="00501072" w:rsidRDefault="00501072" w:rsidP="00501072">
            <w:pPr>
              <w:spacing w:after="0" w:line="240" w:lineRule="auto"/>
              <w:jc w:val="center"/>
              <w:rPr>
                <w:rFonts w:ascii="Calibri" w:eastAsia="Times New Roman" w:hAnsi="Calibri" w:cs="Times New Roman"/>
                <w:color w:val="000000"/>
                <w:lang w:val="de-DE" w:eastAsia="de-DE"/>
              </w:rPr>
            </w:pPr>
            <w:r w:rsidRPr="00501072">
              <w:rPr>
                <w:rFonts w:ascii="Calibri" w:eastAsia="Times New Roman" w:hAnsi="Calibri" w:cs="Times New Roman"/>
                <w:color w:val="000000"/>
                <w:lang w:val="de-DE" w:eastAsia="de-DE"/>
              </w:rPr>
              <w:t> </w:t>
            </w:r>
          </w:p>
        </w:tc>
        <w:tc>
          <w:tcPr>
            <w:tcW w:w="1360" w:type="dxa"/>
            <w:tcBorders>
              <w:top w:val="nil"/>
              <w:left w:val="nil"/>
              <w:bottom w:val="nil"/>
              <w:right w:val="nil"/>
            </w:tcBorders>
            <w:shd w:val="clear" w:color="auto" w:fill="auto"/>
            <w:noWrap/>
            <w:vAlign w:val="center"/>
            <w:hideMark/>
          </w:tcPr>
          <w:p w:rsidR="00501072" w:rsidRPr="00501072" w:rsidRDefault="00501072" w:rsidP="00501072">
            <w:pPr>
              <w:spacing w:after="0" w:line="240" w:lineRule="auto"/>
              <w:jc w:val="center"/>
              <w:rPr>
                <w:rFonts w:ascii="Calibri" w:eastAsia="Times New Roman" w:hAnsi="Calibri" w:cs="Times New Roman"/>
                <w:color w:val="000000"/>
                <w:lang w:val="de-DE" w:eastAsia="de-DE"/>
              </w:rPr>
            </w:pPr>
            <w:r w:rsidRPr="00501072">
              <w:rPr>
                <w:rFonts w:ascii="Calibri" w:eastAsia="Times New Roman" w:hAnsi="Calibri" w:cs="Times New Roman"/>
                <w:color w:val="000000"/>
                <w:lang w:val="de-DE" w:eastAsia="de-DE"/>
              </w:rPr>
              <w:t xml:space="preserve">0.003 </w:t>
            </w:r>
            <w:r w:rsidRPr="00501072">
              <w:rPr>
                <w:rFonts w:ascii="Calibri" w:eastAsia="Times New Roman" w:hAnsi="Calibri" w:cs="Times New Roman"/>
                <w:color w:val="000000"/>
                <w:sz w:val="16"/>
                <w:szCs w:val="16"/>
                <w:lang w:val="de-DE" w:eastAsia="de-DE"/>
              </w:rPr>
              <w:t>± 0.0002</w:t>
            </w:r>
          </w:p>
        </w:tc>
        <w:tc>
          <w:tcPr>
            <w:tcW w:w="1240" w:type="dxa"/>
            <w:tcBorders>
              <w:top w:val="nil"/>
              <w:left w:val="nil"/>
              <w:bottom w:val="nil"/>
              <w:right w:val="single" w:sz="4" w:space="0" w:color="auto"/>
            </w:tcBorders>
            <w:shd w:val="clear" w:color="auto" w:fill="auto"/>
            <w:noWrap/>
            <w:vAlign w:val="center"/>
            <w:hideMark/>
          </w:tcPr>
          <w:p w:rsidR="00501072" w:rsidRPr="00501072" w:rsidRDefault="00501072" w:rsidP="00501072">
            <w:pPr>
              <w:spacing w:after="0" w:line="240" w:lineRule="auto"/>
              <w:jc w:val="center"/>
              <w:rPr>
                <w:rFonts w:ascii="Calibri" w:eastAsia="Times New Roman" w:hAnsi="Calibri" w:cs="Times New Roman"/>
                <w:color w:val="000000"/>
                <w:lang w:val="de-DE" w:eastAsia="de-DE"/>
              </w:rPr>
            </w:pPr>
            <w:r w:rsidRPr="00501072">
              <w:rPr>
                <w:rFonts w:ascii="Calibri" w:eastAsia="Times New Roman" w:hAnsi="Calibri" w:cs="Times New Roman"/>
                <w:color w:val="000000"/>
                <w:lang w:val="de-DE" w:eastAsia="de-DE"/>
              </w:rPr>
              <w:t xml:space="preserve">0.02 </w:t>
            </w:r>
            <w:r w:rsidRPr="00501072">
              <w:rPr>
                <w:rFonts w:ascii="Calibri" w:eastAsia="Times New Roman" w:hAnsi="Calibri" w:cs="Times New Roman"/>
                <w:color w:val="000000"/>
                <w:sz w:val="16"/>
                <w:szCs w:val="16"/>
                <w:lang w:val="de-DE" w:eastAsia="de-DE"/>
              </w:rPr>
              <w:t>± 0.003</w:t>
            </w:r>
          </w:p>
        </w:tc>
        <w:tc>
          <w:tcPr>
            <w:tcW w:w="840" w:type="dxa"/>
            <w:tcBorders>
              <w:top w:val="nil"/>
              <w:left w:val="nil"/>
              <w:bottom w:val="nil"/>
              <w:right w:val="single" w:sz="4" w:space="0" w:color="auto"/>
            </w:tcBorders>
            <w:shd w:val="clear" w:color="000000" w:fill="DA9694"/>
            <w:noWrap/>
            <w:vAlign w:val="center"/>
            <w:hideMark/>
          </w:tcPr>
          <w:p w:rsidR="00501072" w:rsidRPr="00501072" w:rsidRDefault="00501072" w:rsidP="00501072">
            <w:pPr>
              <w:spacing w:after="0" w:line="240" w:lineRule="auto"/>
              <w:jc w:val="center"/>
              <w:rPr>
                <w:rFonts w:ascii="Calibri" w:eastAsia="Times New Roman" w:hAnsi="Calibri" w:cs="Times New Roman"/>
                <w:color w:val="000000"/>
                <w:lang w:val="de-DE" w:eastAsia="de-DE"/>
              </w:rPr>
            </w:pPr>
            <w:r w:rsidRPr="00501072">
              <w:rPr>
                <w:rFonts w:ascii="Calibri" w:eastAsia="Times New Roman" w:hAnsi="Calibri" w:cs="Times New Roman"/>
                <w:color w:val="000000"/>
                <w:lang w:val="de-DE" w:eastAsia="de-DE"/>
              </w:rPr>
              <w:t xml:space="preserve">5.7 </w:t>
            </w:r>
            <w:r w:rsidRPr="00501072">
              <w:rPr>
                <w:rFonts w:ascii="Calibri" w:eastAsia="Times New Roman" w:hAnsi="Calibri" w:cs="Times New Roman"/>
                <w:color w:val="000000"/>
                <w:sz w:val="18"/>
                <w:szCs w:val="18"/>
                <w:lang w:val="de-DE" w:eastAsia="de-DE"/>
              </w:rPr>
              <w:t>**</w:t>
            </w:r>
          </w:p>
        </w:tc>
      </w:tr>
      <w:tr w:rsidR="00501072" w:rsidRPr="00501072" w:rsidTr="00501072">
        <w:trPr>
          <w:trHeight w:val="300"/>
        </w:trPr>
        <w:tc>
          <w:tcPr>
            <w:tcW w:w="1480" w:type="dxa"/>
            <w:tcBorders>
              <w:top w:val="nil"/>
              <w:left w:val="single" w:sz="4" w:space="0" w:color="auto"/>
              <w:bottom w:val="single" w:sz="4" w:space="0" w:color="auto"/>
              <w:right w:val="single" w:sz="4" w:space="0" w:color="auto"/>
            </w:tcBorders>
            <w:shd w:val="clear" w:color="auto" w:fill="auto"/>
            <w:vAlign w:val="center"/>
            <w:hideMark/>
          </w:tcPr>
          <w:p w:rsidR="00501072" w:rsidRPr="00501072" w:rsidRDefault="00501072" w:rsidP="00501072">
            <w:pPr>
              <w:spacing w:after="0" w:line="240" w:lineRule="auto"/>
              <w:rPr>
                <w:rFonts w:ascii="Calibri" w:eastAsia="Times New Roman" w:hAnsi="Calibri" w:cs="Times New Roman"/>
                <w:color w:val="000000"/>
                <w:lang w:val="de-DE" w:eastAsia="de-DE"/>
              </w:rPr>
            </w:pPr>
            <w:r w:rsidRPr="00501072">
              <w:rPr>
                <w:rFonts w:ascii="Calibri" w:eastAsia="Times New Roman" w:hAnsi="Calibri" w:cs="Times New Roman"/>
                <w:color w:val="000000"/>
                <w:lang w:val="de-DE" w:eastAsia="de-DE"/>
              </w:rPr>
              <w:t>Unknown 28</w:t>
            </w:r>
          </w:p>
        </w:tc>
        <w:tc>
          <w:tcPr>
            <w:tcW w:w="2320" w:type="dxa"/>
            <w:gridSpan w:val="2"/>
            <w:tcBorders>
              <w:top w:val="nil"/>
              <w:left w:val="nil"/>
              <w:bottom w:val="single" w:sz="4" w:space="0" w:color="auto"/>
              <w:right w:val="single" w:sz="4" w:space="0" w:color="000000"/>
            </w:tcBorders>
            <w:shd w:val="clear" w:color="auto" w:fill="auto"/>
            <w:noWrap/>
            <w:vAlign w:val="center"/>
            <w:hideMark/>
          </w:tcPr>
          <w:p w:rsidR="00501072" w:rsidRPr="00501072" w:rsidRDefault="00501072" w:rsidP="00501072">
            <w:pPr>
              <w:spacing w:after="0" w:line="240" w:lineRule="auto"/>
              <w:jc w:val="center"/>
              <w:rPr>
                <w:rFonts w:ascii="Calibri" w:eastAsia="Times New Roman" w:hAnsi="Calibri" w:cs="Times New Roman"/>
                <w:color w:val="000000"/>
                <w:lang w:val="de-DE" w:eastAsia="de-DE"/>
              </w:rPr>
            </w:pPr>
            <w:r w:rsidRPr="00501072">
              <w:rPr>
                <w:rFonts w:ascii="Calibri" w:eastAsia="Times New Roman" w:hAnsi="Calibri" w:cs="Times New Roman"/>
                <w:color w:val="000000"/>
                <w:lang w:val="de-DE" w:eastAsia="de-DE"/>
              </w:rPr>
              <w:t>not detected</w:t>
            </w:r>
          </w:p>
        </w:tc>
        <w:tc>
          <w:tcPr>
            <w:tcW w:w="820" w:type="dxa"/>
            <w:tcBorders>
              <w:top w:val="nil"/>
              <w:left w:val="nil"/>
              <w:bottom w:val="single" w:sz="4" w:space="0" w:color="auto"/>
              <w:right w:val="single" w:sz="4" w:space="0" w:color="auto"/>
            </w:tcBorders>
            <w:shd w:val="clear" w:color="auto" w:fill="auto"/>
            <w:noWrap/>
            <w:vAlign w:val="center"/>
            <w:hideMark/>
          </w:tcPr>
          <w:p w:rsidR="00501072" w:rsidRPr="00501072" w:rsidRDefault="00501072" w:rsidP="00501072">
            <w:pPr>
              <w:spacing w:after="0" w:line="240" w:lineRule="auto"/>
              <w:jc w:val="center"/>
              <w:rPr>
                <w:rFonts w:ascii="Calibri" w:eastAsia="Times New Roman" w:hAnsi="Calibri" w:cs="Times New Roman"/>
                <w:color w:val="000000"/>
                <w:lang w:val="de-DE" w:eastAsia="de-DE"/>
              </w:rPr>
            </w:pPr>
            <w:r w:rsidRPr="00501072">
              <w:rPr>
                <w:rFonts w:ascii="Calibri" w:eastAsia="Times New Roman" w:hAnsi="Calibri" w:cs="Times New Roman"/>
                <w:color w:val="000000"/>
                <w:lang w:val="de-DE" w:eastAsia="de-DE"/>
              </w:rPr>
              <w:t> </w:t>
            </w:r>
          </w:p>
        </w:tc>
        <w:tc>
          <w:tcPr>
            <w:tcW w:w="2760" w:type="dxa"/>
            <w:gridSpan w:val="2"/>
            <w:tcBorders>
              <w:top w:val="nil"/>
              <w:left w:val="nil"/>
              <w:bottom w:val="single" w:sz="4" w:space="0" w:color="auto"/>
              <w:right w:val="single" w:sz="4" w:space="0" w:color="000000"/>
            </w:tcBorders>
            <w:shd w:val="clear" w:color="auto" w:fill="auto"/>
            <w:noWrap/>
            <w:vAlign w:val="center"/>
            <w:hideMark/>
          </w:tcPr>
          <w:p w:rsidR="00501072" w:rsidRPr="00501072" w:rsidRDefault="00501072" w:rsidP="00501072">
            <w:pPr>
              <w:spacing w:after="0" w:line="240" w:lineRule="auto"/>
              <w:jc w:val="center"/>
              <w:rPr>
                <w:rFonts w:ascii="Calibri" w:eastAsia="Times New Roman" w:hAnsi="Calibri" w:cs="Times New Roman"/>
                <w:color w:val="000000"/>
                <w:lang w:val="de-DE" w:eastAsia="de-DE"/>
              </w:rPr>
            </w:pPr>
            <w:r w:rsidRPr="00501072">
              <w:rPr>
                <w:rFonts w:ascii="Calibri" w:eastAsia="Times New Roman" w:hAnsi="Calibri" w:cs="Times New Roman"/>
                <w:color w:val="000000"/>
                <w:lang w:val="de-DE" w:eastAsia="de-DE"/>
              </w:rPr>
              <w:t>not detected</w:t>
            </w:r>
          </w:p>
        </w:tc>
        <w:tc>
          <w:tcPr>
            <w:tcW w:w="880" w:type="dxa"/>
            <w:tcBorders>
              <w:top w:val="nil"/>
              <w:left w:val="nil"/>
              <w:bottom w:val="single" w:sz="4" w:space="0" w:color="auto"/>
              <w:right w:val="single" w:sz="4" w:space="0" w:color="auto"/>
            </w:tcBorders>
            <w:shd w:val="clear" w:color="auto" w:fill="auto"/>
            <w:noWrap/>
            <w:vAlign w:val="center"/>
            <w:hideMark/>
          </w:tcPr>
          <w:p w:rsidR="00501072" w:rsidRPr="00501072" w:rsidRDefault="00501072" w:rsidP="00501072">
            <w:pPr>
              <w:spacing w:after="0" w:line="240" w:lineRule="auto"/>
              <w:jc w:val="center"/>
              <w:rPr>
                <w:rFonts w:ascii="Calibri" w:eastAsia="Times New Roman" w:hAnsi="Calibri" w:cs="Times New Roman"/>
                <w:color w:val="000000"/>
                <w:lang w:val="de-DE" w:eastAsia="de-DE"/>
              </w:rPr>
            </w:pPr>
            <w:r w:rsidRPr="00501072">
              <w:rPr>
                <w:rFonts w:ascii="Calibri" w:eastAsia="Times New Roman" w:hAnsi="Calibri" w:cs="Times New Roman"/>
                <w:color w:val="000000"/>
                <w:lang w:val="de-DE" w:eastAsia="de-DE"/>
              </w:rPr>
              <w:t> </w:t>
            </w:r>
          </w:p>
        </w:tc>
        <w:tc>
          <w:tcPr>
            <w:tcW w:w="1340" w:type="dxa"/>
            <w:tcBorders>
              <w:top w:val="nil"/>
              <w:left w:val="nil"/>
              <w:bottom w:val="single" w:sz="4" w:space="0" w:color="auto"/>
              <w:right w:val="nil"/>
            </w:tcBorders>
            <w:shd w:val="clear" w:color="auto" w:fill="auto"/>
            <w:noWrap/>
            <w:vAlign w:val="center"/>
            <w:hideMark/>
          </w:tcPr>
          <w:p w:rsidR="00501072" w:rsidRPr="00501072" w:rsidRDefault="00501072" w:rsidP="00501072">
            <w:pPr>
              <w:spacing w:after="0" w:line="240" w:lineRule="auto"/>
              <w:jc w:val="center"/>
              <w:rPr>
                <w:rFonts w:ascii="Calibri" w:eastAsia="Times New Roman" w:hAnsi="Calibri" w:cs="Times New Roman"/>
                <w:color w:val="000000"/>
                <w:lang w:val="de-DE" w:eastAsia="de-DE"/>
              </w:rPr>
            </w:pPr>
            <w:r w:rsidRPr="00501072">
              <w:rPr>
                <w:rFonts w:ascii="Calibri" w:eastAsia="Times New Roman" w:hAnsi="Calibri" w:cs="Times New Roman"/>
                <w:color w:val="000000"/>
                <w:lang w:val="de-DE" w:eastAsia="de-DE"/>
              </w:rPr>
              <w:t xml:space="preserve">0.009 </w:t>
            </w:r>
            <w:r w:rsidRPr="00501072">
              <w:rPr>
                <w:rFonts w:ascii="Calibri" w:eastAsia="Times New Roman" w:hAnsi="Calibri" w:cs="Times New Roman"/>
                <w:color w:val="000000"/>
                <w:sz w:val="16"/>
                <w:szCs w:val="16"/>
                <w:lang w:val="de-DE" w:eastAsia="de-DE"/>
              </w:rPr>
              <w:t>± 0.006</w:t>
            </w:r>
          </w:p>
        </w:tc>
        <w:tc>
          <w:tcPr>
            <w:tcW w:w="1060" w:type="dxa"/>
            <w:tcBorders>
              <w:top w:val="nil"/>
              <w:left w:val="nil"/>
              <w:bottom w:val="single" w:sz="4" w:space="0" w:color="auto"/>
              <w:right w:val="single" w:sz="4" w:space="0" w:color="auto"/>
            </w:tcBorders>
            <w:shd w:val="clear" w:color="auto" w:fill="auto"/>
            <w:noWrap/>
            <w:vAlign w:val="center"/>
            <w:hideMark/>
          </w:tcPr>
          <w:p w:rsidR="00501072" w:rsidRPr="00501072" w:rsidRDefault="00501072" w:rsidP="00501072">
            <w:pPr>
              <w:spacing w:after="0" w:line="240" w:lineRule="auto"/>
              <w:jc w:val="center"/>
              <w:rPr>
                <w:rFonts w:ascii="Calibri" w:eastAsia="Times New Roman" w:hAnsi="Calibri" w:cs="Times New Roman"/>
                <w:color w:val="000000"/>
                <w:lang w:val="de-DE" w:eastAsia="de-DE"/>
              </w:rPr>
            </w:pPr>
            <w:r w:rsidRPr="00501072">
              <w:rPr>
                <w:rFonts w:ascii="Calibri" w:eastAsia="Times New Roman" w:hAnsi="Calibri" w:cs="Times New Roman"/>
                <w:color w:val="000000"/>
                <w:lang w:val="de-DE" w:eastAsia="de-DE"/>
              </w:rPr>
              <w:t xml:space="preserve">0.08 </w:t>
            </w:r>
            <w:r w:rsidRPr="00501072">
              <w:rPr>
                <w:rFonts w:ascii="Calibri" w:eastAsia="Times New Roman" w:hAnsi="Calibri" w:cs="Times New Roman"/>
                <w:color w:val="000000"/>
                <w:sz w:val="16"/>
                <w:szCs w:val="16"/>
                <w:lang w:val="de-DE" w:eastAsia="de-DE"/>
              </w:rPr>
              <w:t>± 0.03</w:t>
            </w:r>
          </w:p>
        </w:tc>
        <w:tc>
          <w:tcPr>
            <w:tcW w:w="720" w:type="dxa"/>
            <w:tcBorders>
              <w:top w:val="nil"/>
              <w:left w:val="nil"/>
              <w:bottom w:val="single" w:sz="4" w:space="0" w:color="auto"/>
              <w:right w:val="single" w:sz="4" w:space="0" w:color="auto"/>
            </w:tcBorders>
            <w:shd w:val="clear" w:color="000000" w:fill="DA9694"/>
            <w:noWrap/>
            <w:vAlign w:val="center"/>
            <w:hideMark/>
          </w:tcPr>
          <w:p w:rsidR="00501072" w:rsidRPr="00501072" w:rsidRDefault="00501072" w:rsidP="00501072">
            <w:pPr>
              <w:spacing w:after="0" w:line="240" w:lineRule="auto"/>
              <w:jc w:val="center"/>
              <w:rPr>
                <w:rFonts w:ascii="Calibri" w:eastAsia="Times New Roman" w:hAnsi="Calibri" w:cs="Times New Roman"/>
                <w:color w:val="000000"/>
                <w:lang w:val="de-DE" w:eastAsia="de-DE"/>
              </w:rPr>
            </w:pPr>
            <w:r w:rsidRPr="00501072">
              <w:rPr>
                <w:rFonts w:ascii="Calibri" w:eastAsia="Times New Roman" w:hAnsi="Calibri" w:cs="Times New Roman"/>
                <w:color w:val="000000"/>
                <w:lang w:val="de-DE" w:eastAsia="de-DE"/>
              </w:rPr>
              <w:t xml:space="preserve">9.5 </w:t>
            </w:r>
            <w:r w:rsidRPr="00501072">
              <w:rPr>
                <w:rFonts w:ascii="Calibri" w:eastAsia="Times New Roman" w:hAnsi="Calibri" w:cs="Times New Roman"/>
                <w:color w:val="000000"/>
                <w:sz w:val="18"/>
                <w:szCs w:val="18"/>
                <w:lang w:val="de-DE" w:eastAsia="de-DE"/>
              </w:rPr>
              <w:t>*</w:t>
            </w:r>
          </w:p>
        </w:tc>
        <w:tc>
          <w:tcPr>
            <w:tcW w:w="2600" w:type="dxa"/>
            <w:gridSpan w:val="2"/>
            <w:tcBorders>
              <w:top w:val="nil"/>
              <w:left w:val="nil"/>
              <w:bottom w:val="single" w:sz="4" w:space="0" w:color="auto"/>
              <w:right w:val="single" w:sz="4" w:space="0" w:color="000000"/>
            </w:tcBorders>
            <w:shd w:val="clear" w:color="auto" w:fill="auto"/>
            <w:noWrap/>
            <w:vAlign w:val="center"/>
            <w:hideMark/>
          </w:tcPr>
          <w:p w:rsidR="00501072" w:rsidRPr="00501072" w:rsidRDefault="00501072" w:rsidP="00501072">
            <w:pPr>
              <w:spacing w:after="0" w:line="240" w:lineRule="auto"/>
              <w:jc w:val="center"/>
              <w:rPr>
                <w:rFonts w:ascii="Calibri" w:eastAsia="Times New Roman" w:hAnsi="Calibri" w:cs="Times New Roman"/>
                <w:color w:val="000000"/>
                <w:lang w:val="de-DE" w:eastAsia="de-DE"/>
              </w:rPr>
            </w:pPr>
            <w:r w:rsidRPr="00501072">
              <w:rPr>
                <w:rFonts w:ascii="Calibri" w:eastAsia="Times New Roman" w:hAnsi="Calibri" w:cs="Times New Roman"/>
                <w:color w:val="000000"/>
                <w:lang w:val="de-DE" w:eastAsia="de-DE"/>
              </w:rPr>
              <w:t>not detected</w:t>
            </w:r>
          </w:p>
        </w:tc>
        <w:tc>
          <w:tcPr>
            <w:tcW w:w="840" w:type="dxa"/>
            <w:tcBorders>
              <w:top w:val="nil"/>
              <w:left w:val="nil"/>
              <w:bottom w:val="single" w:sz="4" w:space="0" w:color="auto"/>
              <w:right w:val="single" w:sz="4" w:space="0" w:color="auto"/>
            </w:tcBorders>
            <w:shd w:val="clear" w:color="auto" w:fill="auto"/>
            <w:noWrap/>
            <w:vAlign w:val="center"/>
            <w:hideMark/>
          </w:tcPr>
          <w:p w:rsidR="00501072" w:rsidRPr="00501072" w:rsidRDefault="00501072" w:rsidP="00501072">
            <w:pPr>
              <w:spacing w:after="0" w:line="240" w:lineRule="auto"/>
              <w:jc w:val="center"/>
              <w:rPr>
                <w:rFonts w:ascii="Calibri" w:eastAsia="Times New Roman" w:hAnsi="Calibri" w:cs="Times New Roman"/>
                <w:color w:val="000000"/>
                <w:lang w:val="de-DE" w:eastAsia="de-DE"/>
              </w:rPr>
            </w:pPr>
            <w:r w:rsidRPr="00501072">
              <w:rPr>
                <w:rFonts w:ascii="Calibri" w:eastAsia="Times New Roman" w:hAnsi="Calibri" w:cs="Times New Roman"/>
                <w:color w:val="000000"/>
                <w:lang w:val="de-DE" w:eastAsia="de-DE"/>
              </w:rPr>
              <w:t> </w:t>
            </w:r>
          </w:p>
        </w:tc>
      </w:tr>
    </w:tbl>
    <w:p w:rsidR="00501072" w:rsidRDefault="00501072" w:rsidP="00C43B7C">
      <w:pPr>
        <w:spacing w:line="360" w:lineRule="auto"/>
        <w:jc w:val="both"/>
        <w:rPr>
          <w:b/>
          <w:sz w:val="16"/>
          <w:szCs w:val="16"/>
        </w:rPr>
        <w:sectPr w:rsidR="00501072" w:rsidSect="00DA7C61">
          <w:pgSz w:w="16838" w:h="11906" w:orient="landscape"/>
          <w:pgMar w:top="1417" w:right="1417" w:bottom="1417" w:left="1134" w:header="708" w:footer="708" w:gutter="0"/>
          <w:cols w:space="708"/>
          <w:titlePg/>
          <w:docGrid w:linePitch="360"/>
        </w:sectPr>
      </w:pPr>
    </w:p>
    <w:p w:rsidR="00FD65FA" w:rsidRPr="00FD65FA" w:rsidRDefault="0082677C" w:rsidP="00F229DD">
      <w:pPr>
        <w:spacing w:after="0" w:line="360" w:lineRule="auto"/>
        <w:jc w:val="both"/>
      </w:pPr>
      <w:r>
        <w:lastRenderedPageBreak/>
        <w:t>The metabolite profiles o</w:t>
      </w:r>
      <w:r w:rsidR="00234277">
        <w:t>f plants infected with the hemib</w:t>
      </w:r>
      <w:r>
        <w:t xml:space="preserve">iotrophic bacterium </w:t>
      </w:r>
      <w:r w:rsidR="009A36CA">
        <w:rPr>
          <w:i/>
        </w:rPr>
        <w:t>Psm</w:t>
      </w:r>
      <w:r>
        <w:t xml:space="preserve"> and the biotrophic oomycete </w:t>
      </w:r>
      <w:r w:rsidR="009A36CA">
        <w:rPr>
          <w:i/>
        </w:rPr>
        <w:t>Hpa</w:t>
      </w:r>
      <w:r w:rsidR="00CD6A15">
        <w:t xml:space="preserve"> Noco2 were</w:t>
      </w:r>
      <w:r>
        <w:t xml:space="preserve"> very similar, with very strong increases observed in levels of </w:t>
      </w:r>
      <w:r w:rsidR="009A36CA">
        <w:t>SA</w:t>
      </w:r>
      <w:r>
        <w:t xml:space="preserve">, camalexin, and </w:t>
      </w:r>
      <w:r w:rsidR="009A36CA" w:rsidRPr="009A36CA">
        <w:rPr>
          <w:rFonts w:cstheme="minorHAnsi"/>
        </w:rPr>
        <w:t>Aad</w:t>
      </w:r>
      <w:r w:rsidR="00D65601">
        <w:rPr>
          <w:rFonts w:cstheme="minorHAnsi"/>
        </w:rPr>
        <w:t xml:space="preserve"> (table 3; table 4)</w:t>
      </w:r>
      <w:r>
        <w:t>. Furthermore, levels for Pip, ICA, and indole-3-carbaldehyde</w:t>
      </w:r>
      <w:r w:rsidR="00D65601">
        <w:t xml:space="preserve"> (table 3)</w:t>
      </w:r>
      <w:r>
        <w:t xml:space="preserve">, as well as a large number of amino acids including </w:t>
      </w:r>
      <w:r w:rsidR="00A60C41">
        <w:t>Lys</w:t>
      </w:r>
      <w:r w:rsidR="00CD6A15">
        <w:t xml:space="preserve"> and </w:t>
      </w:r>
      <w:r w:rsidR="00A60C41">
        <w:t>Orn</w:t>
      </w:r>
      <w:r w:rsidR="00CD6A15">
        <w:t xml:space="preserve"> </w:t>
      </w:r>
      <w:r w:rsidR="00D65601">
        <w:t xml:space="preserve">(table 4) </w:t>
      </w:r>
      <w:r w:rsidR="00CD6A15">
        <w:t>were</w:t>
      </w:r>
      <w:r>
        <w:t xml:space="preserve"> strongly elevated in both plant-pathogen interactions. In contrast to plants infected with </w:t>
      </w:r>
      <w:r w:rsidR="009A36CA">
        <w:rPr>
          <w:i/>
        </w:rPr>
        <w:t>Psm</w:t>
      </w:r>
      <w:r>
        <w:t>, an</w:t>
      </w:r>
      <w:r w:rsidR="00CD6A15">
        <w:t xml:space="preserve"> increase in </w:t>
      </w:r>
      <w:r w:rsidR="00A60C41">
        <w:t>Pro-</w:t>
      </w:r>
      <w:r w:rsidR="00CD6A15">
        <w:t>levels was</w:t>
      </w:r>
      <w:r>
        <w:t xml:space="preserve"> detected in </w:t>
      </w:r>
      <w:r w:rsidR="009A36CA">
        <w:rPr>
          <w:i/>
        </w:rPr>
        <w:t>Hpa</w:t>
      </w:r>
      <w:r>
        <w:t>-infected plants</w:t>
      </w:r>
      <w:r w:rsidR="00A60C41">
        <w:t xml:space="preserve"> (tab</w:t>
      </w:r>
      <w:r w:rsidR="00D65601">
        <w:t>le 4)</w:t>
      </w:r>
      <w:r>
        <w:t>, as well as a number of as yet unidentified metabolites</w:t>
      </w:r>
      <w:r w:rsidR="00D65601">
        <w:t xml:space="preserve"> (table 5)</w:t>
      </w:r>
      <w:r>
        <w:t xml:space="preserve">. </w:t>
      </w:r>
      <w:r w:rsidR="00FD21B2">
        <w:t xml:space="preserve">Plants infected with the </w:t>
      </w:r>
      <w:r w:rsidR="000D4679">
        <w:t xml:space="preserve">necrotrophic </w:t>
      </w:r>
      <w:r w:rsidR="00FD21B2">
        <w:t xml:space="preserve">grey mould fungus </w:t>
      </w:r>
      <w:r w:rsidR="00FD21B2" w:rsidRPr="00CD6A15">
        <w:rPr>
          <w:i/>
        </w:rPr>
        <w:t>B.</w:t>
      </w:r>
      <w:r w:rsidR="009A36CA">
        <w:rPr>
          <w:i/>
        </w:rPr>
        <w:t xml:space="preserve"> </w:t>
      </w:r>
      <w:r w:rsidR="00FD21B2" w:rsidRPr="00CD6A15">
        <w:rPr>
          <w:i/>
        </w:rPr>
        <w:t>cinerea</w:t>
      </w:r>
      <w:r w:rsidR="00FD21B2">
        <w:t xml:space="preserve"> show</w:t>
      </w:r>
      <w:r w:rsidR="00CD6A15">
        <w:t>ed</w:t>
      </w:r>
      <w:r w:rsidR="00FD21B2">
        <w:t xml:space="preserve"> similar accumulation of camalexin, ICA, and </w:t>
      </w:r>
      <w:r w:rsidR="009A36CA">
        <w:t>JA</w:t>
      </w:r>
      <w:r w:rsidR="00FD21B2">
        <w:t xml:space="preserve"> as observed in </w:t>
      </w:r>
      <w:r w:rsidR="009A36CA">
        <w:rPr>
          <w:i/>
        </w:rPr>
        <w:t>Psm</w:t>
      </w:r>
      <w:r w:rsidR="00FD21B2">
        <w:t>-infected plants</w:t>
      </w:r>
      <w:r w:rsidR="00D65601">
        <w:t xml:space="preserve"> (table 3)</w:t>
      </w:r>
      <w:r w:rsidR="00FD21B2">
        <w:t>, but induce</w:t>
      </w:r>
      <w:r w:rsidR="00CD6A15">
        <w:t>d only</w:t>
      </w:r>
      <w:r w:rsidR="00FD21B2">
        <w:t xml:space="preserve"> a comparatively weak increase in amino acid levels</w:t>
      </w:r>
      <w:r w:rsidR="00D65601">
        <w:t xml:space="preserve"> (table 4)</w:t>
      </w:r>
      <w:r w:rsidR="00FD21B2">
        <w:t xml:space="preserve">. </w:t>
      </w:r>
      <w:r w:rsidR="00CD6A15">
        <w:t xml:space="preserve">This fungus elicited a strong accumulation of </w:t>
      </w:r>
      <w:r w:rsidR="00234277">
        <w:t xml:space="preserve">not yet identified </w:t>
      </w:r>
      <w:r w:rsidR="00CD6A15">
        <w:t xml:space="preserve">substances, which were only detectable in </w:t>
      </w:r>
      <w:r w:rsidR="00CD6A15" w:rsidRPr="00CD6A15">
        <w:rPr>
          <w:i/>
        </w:rPr>
        <w:t>B.</w:t>
      </w:r>
      <w:r w:rsidR="009A36CA">
        <w:rPr>
          <w:i/>
        </w:rPr>
        <w:t xml:space="preserve"> </w:t>
      </w:r>
      <w:r w:rsidR="00CD6A15" w:rsidRPr="00CD6A15">
        <w:rPr>
          <w:i/>
        </w:rPr>
        <w:t>cinerea</w:t>
      </w:r>
      <w:r w:rsidR="00CD6A15">
        <w:t>-infected plants</w:t>
      </w:r>
      <w:r w:rsidR="00D65601">
        <w:t xml:space="preserve"> (table 5)</w:t>
      </w:r>
      <w:r w:rsidR="00CD6A15">
        <w:t>.</w:t>
      </w:r>
      <w:r>
        <w:t xml:space="preserve"> </w:t>
      </w:r>
      <w:r w:rsidR="000D4679">
        <w:t xml:space="preserve">Of the analysed interactions, plants infected with the biotrophic powdery mildew fungus </w:t>
      </w:r>
      <w:r w:rsidR="000D4679" w:rsidRPr="000D4679">
        <w:rPr>
          <w:i/>
        </w:rPr>
        <w:t>G.</w:t>
      </w:r>
      <w:r w:rsidR="009A36CA">
        <w:rPr>
          <w:i/>
        </w:rPr>
        <w:t xml:space="preserve"> </w:t>
      </w:r>
      <w:r w:rsidR="000D4679" w:rsidRPr="000D4679">
        <w:rPr>
          <w:i/>
        </w:rPr>
        <w:t>orontii</w:t>
      </w:r>
      <w:r w:rsidR="000D4679">
        <w:t xml:space="preserve"> induced the least changes in metabolite levels. Moderate increases were observed for Pip, camalexin, </w:t>
      </w:r>
      <w:r w:rsidR="009A36CA" w:rsidRPr="009A36CA">
        <w:rPr>
          <w:rFonts w:cstheme="minorHAnsi"/>
        </w:rPr>
        <w:t>Aad</w:t>
      </w:r>
      <w:r w:rsidR="000D4679">
        <w:t>, and a few unidentified compounds</w:t>
      </w:r>
      <w:r w:rsidR="00D65601">
        <w:t xml:space="preserve"> (table 3; table 4; table 5)</w:t>
      </w:r>
      <w:r w:rsidR="000D4679">
        <w:t>. Apart from that especially the amino acid content seemed to be reduced upon infection with this pathogen</w:t>
      </w:r>
      <w:r w:rsidR="00D65601">
        <w:t xml:space="preserve"> (table 4)</w:t>
      </w:r>
      <w:r w:rsidR="000D4679">
        <w:t xml:space="preserve">. </w:t>
      </w:r>
      <w:r w:rsidR="00FD65FA" w:rsidRPr="00FD65FA">
        <w:t>The</w:t>
      </w:r>
      <w:r w:rsidR="00143D30">
        <w:t>se</w:t>
      </w:r>
      <w:r w:rsidR="00FD65FA" w:rsidRPr="00FD65FA">
        <w:t xml:space="preserve"> differences in fold-change of metabolite accumulation highlight the distinct </w:t>
      </w:r>
      <w:r w:rsidR="00FD65FA" w:rsidRPr="00E24EB1">
        <w:rPr>
          <w:i/>
        </w:rPr>
        <w:t>modus operandi</w:t>
      </w:r>
      <w:r w:rsidR="00FD65FA" w:rsidRPr="00FD65FA">
        <w:t xml:space="preserve"> of the studied pathogens and also reflect the </w:t>
      </w:r>
      <w:r w:rsidR="001830A9">
        <w:t>experimental procedure for</w:t>
      </w:r>
      <w:r w:rsidR="00FD65FA" w:rsidRPr="00FD65FA">
        <w:t xml:space="preserve"> infection with pressure infiltration of bacteria into the apoplast </w:t>
      </w:r>
      <w:r w:rsidR="00FD65FA" w:rsidRPr="00A60C41">
        <w:rPr>
          <w:i/>
        </w:rPr>
        <w:t>vs</w:t>
      </w:r>
      <w:r w:rsidR="00FD65FA" w:rsidRPr="00FD65FA">
        <w:t xml:space="preserve"> infection of epidermal cells by distributing spores on leaves. </w:t>
      </w:r>
    </w:p>
    <w:p w:rsidR="00F00532" w:rsidRDefault="00F00532" w:rsidP="001C7E95">
      <w:pPr>
        <w:spacing w:after="0" w:line="360" w:lineRule="auto"/>
        <w:jc w:val="both"/>
        <w:rPr>
          <w:b/>
          <w:sz w:val="18"/>
          <w:szCs w:val="18"/>
        </w:rPr>
      </w:pPr>
    </w:p>
    <w:p w:rsidR="00B517AA" w:rsidRDefault="00B517AA" w:rsidP="00717774">
      <w:pPr>
        <w:pStyle w:val="berschrift1"/>
        <w:rPr>
          <w:color w:val="auto"/>
        </w:rPr>
      </w:pPr>
    </w:p>
    <w:p w:rsidR="001B7FD3" w:rsidRDefault="001B7FD3" w:rsidP="001B7FD3"/>
    <w:p w:rsidR="001B7FD3" w:rsidRDefault="001B7FD3" w:rsidP="001B7FD3"/>
    <w:p w:rsidR="001B7FD3" w:rsidRDefault="001B7FD3" w:rsidP="001B7FD3"/>
    <w:p w:rsidR="001B7FD3" w:rsidRDefault="001B7FD3" w:rsidP="001B7FD3"/>
    <w:p w:rsidR="001B7FD3" w:rsidRDefault="001B7FD3" w:rsidP="001B7FD3"/>
    <w:p w:rsidR="001B7FD3" w:rsidRDefault="001B7FD3" w:rsidP="001B7FD3"/>
    <w:p w:rsidR="001B7FD3" w:rsidRDefault="001B7FD3" w:rsidP="001B7FD3"/>
    <w:p w:rsidR="001B7FD3" w:rsidRDefault="001B7FD3" w:rsidP="001B7FD3"/>
    <w:p w:rsidR="001B7FD3" w:rsidRPr="001B7FD3" w:rsidRDefault="001B7FD3" w:rsidP="001B7FD3">
      <w:pPr>
        <w:sectPr w:rsidR="001B7FD3" w:rsidRPr="001B7FD3" w:rsidSect="008255C2">
          <w:pgSz w:w="11906" w:h="16838"/>
          <w:pgMar w:top="1417" w:right="1417" w:bottom="1134" w:left="1417" w:header="708" w:footer="708" w:gutter="0"/>
          <w:cols w:space="708"/>
          <w:titlePg/>
          <w:docGrid w:linePitch="360"/>
        </w:sectPr>
      </w:pPr>
    </w:p>
    <w:p w:rsidR="00440DEE" w:rsidRPr="00717774" w:rsidRDefault="00563EC1" w:rsidP="00717774">
      <w:pPr>
        <w:pStyle w:val="berschrift1"/>
        <w:rPr>
          <w:color w:val="auto"/>
        </w:rPr>
      </w:pPr>
      <w:bookmarkStart w:id="109" w:name="_Toc435621251"/>
      <w:r>
        <w:rPr>
          <w:color w:val="auto"/>
        </w:rPr>
        <w:lastRenderedPageBreak/>
        <w:t xml:space="preserve">7 </w:t>
      </w:r>
      <w:r w:rsidR="00440DEE" w:rsidRPr="00717774">
        <w:rPr>
          <w:color w:val="auto"/>
        </w:rPr>
        <w:t>Discussion</w:t>
      </w:r>
      <w:bookmarkEnd w:id="109"/>
    </w:p>
    <w:p w:rsidR="00440DEE" w:rsidRPr="000D6F0C" w:rsidRDefault="00563EC1" w:rsidP="000D6F0C">
      <w:pPr>
        <w:pStyle w:val="berschrift2"/>
        <w:spacing w:after="240"/>
        <w:jc w:val="both"/>
        <w:rPr>
          <w:color w:val="auto"/>
        </w:rPr>
      </w:pPr>
      <w:bookmarkStart w:id="110" w:name="_Toc435621252"/>
      <w:r>
        <w:rPr>
          <w:color w:val="auto"/>
        </w:rPr>
        <w:t xml:space="preserve">7.1 </w:t>
      </w:r>
      <w:r w:rsidR="00440DEE" w:rsidRPr="000D6F0C">
        <w:rPr>
          <w:color w:val="auto"/>
        </w:rPr>
        <w:t xml:space="preserve">Unravelling </w:t>
      </w:r>
      <w:r w:rsidR="00013380">
        <w:rPr>
          <w:color w:val="auto"/>
        </w:rPr>
        <w:t xml:space="preserve">the </w:t>
      </w:r>
      <w:r w:rsidR="00440DEE" w:rsidRPr="000D6F0C">
        <w:rPr>
          <w:color w:val="auto"/>
        </w:rPr>
        <w:t xml:space="preserve">regulation of defence priming in </w:t>
      </w:r>
      <w:r w:rsidR="00440DEE" w:rsidRPr="000D6F0C">
        <w:rPr>
          <w:i/>
          <w:color w:val="auto"/>
        </w:rPr>
        <w:t>A</w:t>
      </w:r>
      <w:r w:rsidR="003108D6">
        <w:rPr>
          <w:i/>
          <w:color w:val="auto"/>
        </w:rPr>
        <w:t>.</w:t>
      </w:r>
      <w:r w:rsidR="00440DEE" w:rsidRPr="000D6F0C">
        <w:rPr>
          <w:i/>
          <w:color w:val="auto"/>
        </w:rPr>
        <w:t xml:space="preserve"> thaliana</w:t>
      </w:r>
      <w:bookmarkEnd w:id="110"/>
    </w:p>
    <w:p w:rsidR="001A7893" w:rsidRDefault="00440DEE" w:rsidP="00301015">
      <w:pPr>
        <w:spacing w:after="0" w:line="360" w:lineRule="auto"/>
        <w:jc w:val="both"/>
      </w:pPr>
      <w:r w:rsidRPr="00440DEE">
        <w:t xml:space="preserve">A very important and interesting aspect of plant defence and </w:t>
      </w:r>
      <w:r w:rsidR="00FC450D">
        <w:t>SAR</w:t>
      </w:r>
      <w:r w:rsidRPr="00440DEE">
        <w:t xml:space="preserve"> is priming, which enables the plant to react faster and significantly stronger to a threat by pathogens following an earlier attack (</w:t>
      </w:r>
      <w:r w:rsidR="00B67602">
        <w:t xml:space="preserve">Bruce </w:t>
      </w:r>
      <w:r w:rsidR="00B67602" w:rsidRPr="00B67602">
        <w:rPr>
          <w:i/>
        </w:rPr>
        <w:t>et al.</w:t>
      </w:r>
      <w:r w:rsidR="00B67602">
        <w:t>, 2007</w:t>
      </w:r>
      <w:r w:rsidRPr="00440DEE">
        <w:t>; Conrath, 2011</w:t>
      </w:r>
      <w:r w:rsidR="000A29E1">
        <w:t xml:space="preserve">; Návarová </w:t>
      </w:r>
      <w:r w:rsidR="000A29E1" w:rsidRPr="000A29E1">
        <w:rPr>
          <w:i/>
        </w:rPr>
        <w:t>et al</w:t>
      </w:r>
      <w:r w:rsidR="000A29E1">
        <w:t>., 2012</w:t>
      </w:r>
      <w:r w:rsidRPr="00440DEE">
        <w:t>). Priming of plants can also be t</w:t>
      </w:r>
      <w:r w:rsidR="00FC450D">
        <w:t>riggered artificially by the SA-</w:t>
      </w:r>
      <w:r w:rsidRPr="00440DEE">
        <w:t xml:space="preserve">analogues </w:t>
      </w:r>
      <w:r w:rsidR="007167E2">
        <w:t>INA and BTH</w:t>
      </w:r>
      <w:r w:rsidRPr="00440DEE">
        <w:t xml:space="preserve"> (Conrath </w:t>
      </w:r>
      <w:r w:rsidRPr="00440DEE">
        <w:rPr>
          <w:i/>
        </w:rPr>
        <w:t>et al</w:t>
      </w:r>
      <w:r w:rsidRPr="00440DEE">
        <w:t xml:space="preserve">., 2001), the non-protein amino acid </w:t>
      </w:r>
      <w:r w:rsidR="007167E2">
        <w:t>BABA</w:t>
      </w:r>
      <w:r w:rsidRPr="00440DEE">
        <w:t xml:space="preserve"> (Ton </w:t>
      </w:r>
      <w:r w:rsidRPr="00440DEE">
        <w:rPr>
          <w:i/>
        </w:rPr>
        <w:t>et al</w:t>
      </w:r>
      <w:r w:rsidRPr="00440DEE">
        <w:t xml:space="preserve">., 2005), which does not occur naturally in </w:t>
      </w:r>
      <w:r w:rsidRPr="00440DEE">
        <w:rPr>
          <w:i/>
        </w:rPr>
        <w:t>Arabidopsis</w:t>
      </w:r>
      <w:r w:rsidRPr="00440DEE">
        <w:t xml:space="preserve">, and the naturally occurring non-protein amino acid </w:t>
      </w:r>
      <w:r w:rsidR="00FC450D">
        <w:t>Pip</w:t>
      </w:r>
      <w:r w:rsidRPr="00440DEE">
        <w:t xml:space="preserve"> (Návarová </w:t>
      </w:r>
      <w:r w:rsidRPr="00440DEE">
        <w:rPr>
          <w:i/>
        </w:rPr>
        <w:t>et al</w:t>
      </w:r>
      <w:r w:rsidRPr="00440DEE">
        <w:t xml:space="preserve">., 2012). Plants in </w:t>
      </w:r>
      <w:r w:rsidR="00B67602">
        <w:t xml:space="preserve">the </w:t>
      </w:r>
      <w:r w:rsidRPr="00440DEE">
        <w:t>primed state exhibit pre</w:t>
      </w:r>
      <w:r w:rsidR="00DB7094">
        <w:t>-</w:t>
      </w:r>
      <w:r w:rsidRPr="00440DEE">
        <w:t xml:space="preserve">activated metabolite pathways (Gruner </w:t>
      </w:r>
      <w:r w:rsidRPr="00440DEE">
        <w:rPr>
          <w:i/>
        </w:rPr>
        <w:t>et al</w:t>
      </w:r>
      <w:r w:rsidR="00556B07">
        <w:t xml:space="preserve">., 2013), </w:t>
      </w:r>
      <w:r w:rsidRPr="00440DEE">
        <w:t>preformed but dormant enzymes p</w:t>
      </w:r>
      <w:r w:rsidR="007167E2">
        <w:t>articipating in MAPK</w:t>
      </w:r>
      <w:r w:rsidRPr="00440DEE">
        <w:t xml:space="preserve"> signalling (Beckers </w:t>
      </w:r>
      <w:r w:rsidRPr="00440DEE">
        <w:rPr>
          <w:i/>
        </w:rPr>
        <w:t>et al</w:t>
      </w:r>
      <w:r w:rsidRPr="00440DEE">
        <w:t>., 2009)</w:t>
      </w:r>
      <w:r w:rsidR="00DB7094">
        <w:t>,</w:t>
      </w:r>
      <w:r w:rsidR="00556B07">
        <w:t xml:space="preserve"> as well as</w:t>
      </w:r>
      <w:r w:rsidRPr="00440DEE">
        <w:t xml:space="preserve"> chromatin modifications, marking genes for </w:t>
      </w:r>
      <w:r w:rsidR="00556B07">
        <w:t xml:space="preserve">fast </w:t>
      </w:r>
      <w:r w:rsidRPr="00440DEE">
        <w:t xml:space="preserve">expression (Jaskiewicz </w:t>
      </w:r>
      <w:r w:rsidRPr="00440DEE">
        <w:rPr>
          <w:i/>
        </w:rPr>
        <w:t>et al.</w:t>
      </w:r>
      <w:r w:rsidRPr="00440DEE">
        <w:t xml:space="preserve">, 2011). Analysis of a set of genome-wide microarrays concerning </w:t>
      </w:r>
      <w:r w:rsidR="00FC450D">
        <w:t xml:space="preserve">the </w:t>
      </w:r>
      <w:r w:rsidRPr="00440DEE">
        <w:t xml:space="preserve">regulation of the SAR response in </w:t>
      </w:r>
      <w:r w:rsidRPr="00556B07">
        <w:rPr>
          <w:i/>
        </w:rPr>
        <w:t>Arabidopsis</w:t>
      </w:r>
      <w:r w:rsidRPr="00440DEE">
        <w:t xml:space="preserve"> (Gruner </w:t>
      </w:r>
      <w:r w:rsidRPr="00440DEE">
        <w:rPr>
          <w:i/>
        </w:rPr>
        <w:t>et al.,</w:t>
      </w:r>
      <w:r w:rsidRPr="00440DEE">
        <w:t xml:space="preserve"> 2013) yielded the possibility to arrange SAR-genes in the categories of SA-dependent, -independent, and partially SA-dependent genes. For a more detailed understanding of priming in plants, a set of 67 genes was chosen and expressi</w:t>
      </w:r>
      <w:r w:rsidR="007167E2">
        <w:t>on analyse</w:t>
      </w:r>
      <w:r w:rsidRPr="00440DEE">
        <w:t xml:space="preserve">s in Col-0, </w:t>
      </w:r>
      <w:r w:rsidRPr="00440DEE">
        <w:rPr>
          <w:i/>
        </w:rPr>
        <w:t>ald1</w:t>
      </w:r>
      <w:r w:rsidRPr="00440DEE">
        <w:t xml:space="preserve">, and </w:t>
      </w:r>
      <w:r w:rsidRPr="00440DEE">
        <w:rPr>
          <w:i/>
        </w:rPr>
        <w:t>fmo1</w:t>
      </w:r>
      <w:r w:rsidRPr="00440DEE">
        <w:t xml:space="preserve"> </w:t>
      </w:r>
      <w:r w:rsidR="000D2AE3">
        <w:t>were performed (Figure 24; Figure 25; Figure 26; T</w:t>
      </w:r>
      <w:r w:rsidRPr="00440DEE">
        <w:t xml:space="preserve">able 1). Genes </w:t>
      </w:r>
      <w:r w:rsidR="007167E2">
        <w:t xml:space="preserve">exhibiting </w:t>
      </w:r>
      <w:r w:rsidRPr="00440DEE">
        <w:t>primed</w:t>
      </w:r>
      <w:r w:rsidR="007167E2">
        <w:t xml:space="preserve"> expression</w:t>
      </w:r>
      <w:r w:rsidRPr="00440DEE">
        <w:t xml:space="preserve"> </w:t>
      </w:r>
      <w:r w:rsidR="00DB7094">
        <w:t xml:space="preserve">(genes in bold font SA-independent) </w:t>
      </w:r>
      <w:r w:rsidRPr="00440DEE">
        <w:t>can be classified as involved in detoxification (</w:t>
      </w:r>
      <w:r w:rsidRPr="00440DEE">
        <w:rPr>
          <w:i/>
        </w:rPr>
        <w:t xml:space="preserve">2OGD1, </w:t>
      </w:r>
      <w:r w:rsidRPr="00440DEE">
        <w:rPr>
          <w:b/>
          <w:i/>
        </w:rPr>
        <w:t>2OGD2</w:t>
      </w:r>
      <w:r w:rsidRPr="00440DEE">
        <w:rPr>
          <w:i/>
        </w:rPr>
        <w:t xml:space="preserve">, </w:t>
      </w:r>
      <w:r w:rsidRPr="00440DEE">
        <w:rPr>
          <w:b/>
          <w:i/>
        </w:rPr>
        <w:t>ACD11L</w:t>
      </w:r>
      <w:r w:rsidRPr="00440DEE">
        <w:rPr>
          <w:i/>
        </w:rPr>
        <w:t xml:space="preserve">, BGLU31, </w:t>
      </w:r>
      <w:r w:rsidRPr="00440DEE">
        <w:rPr>
          <w:b/>
          <w:i/>
        </w:rPr>
        <w:t>CYP81G1</w:t>
      </w:r>
      <w:r w:rsidRPr="00440DEE">
        <w:rPr>
          <w:i/>
        </w:rPr>
        <w:t>, GRXS13</w:t>
      </w:r>
      <w:r w:rsidRPr="00440DEE">
        <w:t>), defence signalling (</w:t>
      </w:r>
      <w:r w:rsidRPr="00440DEE">
        <w:rPr>
          <w:b/>
          <w:i/>
        </w:rPr>
        <w:t>AIG1</w:t>
      </w:r>
      <w:r w:rsidRPr="00440DEE">
        <w:rPr>
          <w:i/>
        </w:rPr>
        <w:t xml:space="preserve">, </w:t>
      </w:r>
      <w:r w:rsidR="00B67602" w:rsidRPr="00440DEE">
        <w:rPr>
          <w:b/>
          <w:i/>
        </w:rPr>
        <w:t>ALD1</w:t>
      </w:r>
      <w:r w:rsidR="00B67602" w:rsidRPr="00440DEE">
        <w:rPr>
          <w:i/>
        </w:rPr>
        <w:t xml:space="preserve">, </w:t>
      </w:r>
      <w:r w:rsidR="00B67602" w:rsidRPr="00440DEE">
        <w:rPr>
          <w:b/>
          <w:i/>
        </w:rPr>
        <w:t>FMO1</w:t>
      </w:r>
      <w:r w:rsidR="00B67602" w:rsidRPr="00440DEE">
        <w:rPr>
          <w:i/>
        </w:rPr>
        <w:t>,</w:t>
      </w:r>
      <w:r w:rsidR="00B67602">
        <w:rPr>
          <w:i/>
        </w:rPr>
        <w:t xml:space="preserve"> </w:t>
      </w:r>
      <w:r w:rsidRPr="00440DEE">
        <w:rPr>
          <w:i/>
        </w:rPr>
        <w:t xml:space="preserve">FRK1, GRXS13, NPR4, PR1, </w:t>
      </w:r>
      <w:r w:rsidRPr="00440DEE">
        <w:rPr>
          <w:b/>
          <w:i/>
        </w:rPr>
        <w:t>PR3</w:t>
      </w:r>
      <w:r w:rsidRPr="00440DEE">
        <w:rPr>
          <w:i/>
        </w:rPr>
        <w:t xml:space="preserve">, UGT76B1, </w:t>
      </w:r>
      <w:r w:rsidRPr="00440DEE">
        <w:rPr>
          <w:b/>
          <w:i/>
        </w:rPr>
        <w:t>UGT85A1</w:t>
      </w:r>
      <w:r w:rsidRPr="00440DEE">
        <w:rPr>
          <w:i/>
        </w:rPr>
        <w:t>, RKL1-12</w:t>
      </w:r>
      <w:r w:rsidRPr="00440DEE">
        <w:t>), cell wall</w:t>
      </w:r>
      <w:r w:rsidR="00DB7094">
        <w:t>-related</w:t>
      </w:r>
      <w:r w:rsidR="00556B07">
        <w:t xml:space="preserve"> processes</w:t>
      </w:r>
      <w:r w:rsidRPr="00440DEE">
        <w:t xml:space="preserve"> (</w:t>
      </w:r>
      <w:r w:rsidRPr="00440DEE">
        <w:rPr>
          <w:i/>
        </w:rPr>
        <w:t xml:space="preserve">AGP5, </w:t>
      </w:r>
      <w:r w:rsidRPr="00440DEE">
        <w:rPr>
          <w:b/>
          <w:i/>
        </w:rPr>
        <w:t>CXE17, CXE20</w:t>
      </w:r>
      <w:r w:rsidRPr="00440DEE">
        <w:rPr>
          <w:i/>
        </w:rPr>
        <w:t xml:space="preserve">, </w:t>
      </w:r>
      <w:r w:rsidRPr="00440DEE">
        <w:rPr>
          <w:b/>
          <w:i/>
        </w:rPr>
        <w:t>PMEa</w:t>
      </w:r>
      <w:r w:rsidRPr="00440DEE">
        <w:rPr>
          <w:i/>
        </w:rPr>
        <w:t>, XHT10</w:t>
      </w:r>
      <w:r w:rsidRPr="00440DEE">
        <w:t>), defence metabolism (</w:t>
      </w:r>
      <w:r w:rsidRPr="00440DEE">
        <w:rPr>
          <w:b/>
          <w:i/>
        </w:rPr>
        <w:t>ANACO42</w:t>
      </w:r>
      <w:r w:rsidRPr="00440DEE">
        <w:rPr>
          <w:i/>
        </w:rPr>
        <w:t xml:space="preserve">, </w:t>
      </w:r>
      <w:r w:rsidRPr="00440DEE">
        <w:rPr>
          <w:b/>
          <w:i/>
        </w:rPr>
        <w:t>CYP710A1</w:t>
      </w:r>
      <w:r w:rsidRPr="00440DEE">
        <w:rPr>
          <w:i/>
        </w:rPr>
        <w:t xml:space="preserve">, </w:t>
      </w:r>
      <w:r w:rsidRPr="00440DEE">
        <w:rPr>
          <w:b/>
          <w:i/>
        </w:rPr>
        <w:t>CYP71A13</w:t>
      </w:r>
      <w:r w:rsidRPr="00440DEE">
        <w:rPr>
          <w:i/>
        </w:rPr>
        <w:t xml:space="preserve">, MYB122, </w:t>
      </w:r>
      <w:r w:rsidRPr="00440DEE">
        <w:rPr>
          <w:b/>
          <w:i/>
        </w:rPr>
        <w:t>PAD3</w:t>
      </w:r>
      <w:r w:rsidRPr="00440DEE">
        <w:t>), biotic/abiotic stress</w:t>
      </w:r>
      <w:r w:rsidR="00850277">
        <w:t xml:space="preserve"> responses</w:t>
      </w:r>
      <w:r w:rsidRPr="00440DEE">
        <w:t xml:space="preserve"> (</w:t>
      </w:r>
      <w:r w:rsidRPr="00440DEE">
        <w:rPr>
          <w:b/>
          <w:i/>
        </w:rPr>
        <w:t>ACD11L</w:t>
      </w:r>
      <w:r w:rsidRPr="00440DEE">
        <w:rPr>
          <w:i/>
        </w:rPr>
        <w:t xml:space="preserve">, BGLU31, PER58, </w:t>
      </w:r>
      <w:r w:rsidRPr="00440DEE">
        <w:rPr>
          <w:b/>
          <w:i/>
        </w:rPr>
        <w:t>UGT74E2</w:t>
      </w:r>
      <w:r w:rsidRPr="00440DEE">
        <w:rPr>
          <w:i/>
        </w:rPr>
        <w:t xml:space="preserve">, </w:t>
      </w:r>
      <w:r w:rsidRPr="00440DEE">
        <w:rPr>
          <w:b/>
          <w:i/>
        </w:rPr>
        <w:t>CHI1</w:t>
      </w:r>
      <w:r w:rsidRPr="00440DEE">
        <w:rPr>
          <w:i/>
        </w:rPr>
        <w:t xml:space="preserve">, </w:t>
      </w:r>
      <w:r w:rsidRPr="00440DEE">
        <w:rPr>
          <w:b/>
          <w:i/>
        </w:rPr>
        <w:t>UGT73B2, UGT73B3</w:t>
      </w:r>
      <w:r w:rsidRPr="00440DEE">
        <w:t>), cell death (</w:t>
      </w:r>
      <w:r w:rsidRPr="00440DEE">
        <w:rPr>
          <w:b/>
          <w:i/>
        </w:rPr>
        <w:t>KTI1</w:t>
      </w:r>
      <w:r w:rsidRPr="00440DEE">
        <w:rPr>
          <w:i/>
        </w:rPr>
        <w:t xml:space="preserve">, </w:t>
      </w:r>
      <w:r w:rsidRPr="00440DEE">
        <w:rPr>
          <w:b/>
          <w:i/>
        </w:rPr>
        <w:t>SAG13</w:t>
      </w:r>
      <w:r w:rsidRPr="00440DEE">
        <w:t>), primary and secondary metabolism (</w:t>
      </w:r>
      <w:r w:rsidRPr="00440DEE">
        <w:rPr>
          <w:i/>
        </w:rPr>
        <w:t xml:space="preserve">ARD3, </w:t>
      </w:r>
      <w:r w:rsidRPr="00440DEE">
        <w:rPr>
          <w:b/>
          <w:i/>
        </w:rPr>
        <w:t>BGLU45</w:t>
      </w:r>
      <w:r w:rsidRPr="00440DEE">
        <w:rPr>
          <w:i/>
        </w:rPr>
        <w:t xml:space="preserve">, </w:t>
      </w:r>
      <w:r w:rsidRPr="00440DEE">
        <w:rPr>
          <w:b/>
          <w:i/>
        </w:rPr>
        <w:t>CXE17</w:t>
      </w:r>
      <w:r w:rsidRPr="00440DEE">
        <w:rPr>
          <w:i/>
        </w:rPr>
        <w:t xml:space="preserve">, </w:t>
      </w:r>
      <w:r w:rsidRPr="00440DEE">
        <w:rPr>
          <w:b/>
          <w:i/>
        </w:rPr>
        <w:t>GH3.3</w:t>
      </w:r>
      <w:r w:rsidRPr="00440DEE">
        <w:rPr>
          <w:i/>
        </w:rPr>
        <w:t xml:space="preserve">, NCED5, </w:t>
      </w:r>
      <w:r w:rsidRPr="00440DEE">
        <w:rPr>
          <w:b/>
          <w:i/>
        </w:rPr>
        <w:t>TPPD</w:t>
      </w:r>
      <w:r w:rsidRPr="00440DEE">
        <w:rPr>
          <w:i/>
        </w:rPr>
        <w:t>, UGT85A1</w:t>
      </w:r>
      <w:r w:rsidRPr="00440DEE">
        <w:t>), and others (</w:t>
      </w:r>
      <w:r w:rsidRPr="00440DEE">
        <w:rPr>
          <w:i/>
        </w:rPr>
        <w:t xml:space="preserve">ATPase1, </w:t>
      </w:r>
      <w:r w:rsidRPr="00440DEE">
        <w:rPr>
          <w:b/>
          <w:i/>
        </w:rPr>
        <w:t>MAPKKK18</w:t>
      </w:r>
      <w:r w:rsidRPr="00440DEE">
        <w:rPr>
          <w:i/>
        </w:rPr>
        <w:t xml:space="preserve">, </w:t>
      </w:r>
      <w:r w:rsidRPr="00440DEE">
        <w:rPr>
          <w:b/>
          <w:i/>
        </w:rPr>
        <w:t>ZCF37</w:t>
      </w:r>
      <w:r w:rsidRPr="00440DEE">
        <w:t>)</w:t>
      </w:r>
      <w:r w:rsidR="00FC450D">
        <w:t xml:space="preserve"> (Figure 27 C</w:t>
      </w:r>
      <w:r w:rsidR="008B05D0">
        <w:t>)</w:t>
      </w:r>
      <w:r w:rsidRPr="00440DEE">
        <w:t>. Only a very small number of genes</w:t>
      </w:r>
      <w:r w:rsidR="007167E2">
        <w:t xml:space="preserve"> with primed expression</w:t>
      </w:r>
      <w:r w:rsidRPr="00440DEE">
        <w:t xml:space="preserve"> in the analysed set encode proteins not directly involved in defence, for example the trehalose-6-phosphate phosphatase TPPD (Eastmond </w:t>
      </w:r>
      <w:r w:rsidRPr="00DB7094">
        <w:rPr>
          <w:i/>
        </w:rPr>
        <w:t>et al</w:t>
      </w:r>
      <w:r w:rsidRPr="00440DEE">
        <w:t>., 2003), which is involved in sugar metabolism, or the</w:t>
      </w:r>
      <w:r w:rsidR="00FC450D">
        <w:t xml:space="preserve"> </w:t>
      </w:r>
      <w:r w:rsidR="007167E2">
        <w:t>MAP</w:t>
      </w:r>
      <w:r w:rsidRPr="00440DEE">
        <w:t xml:space="preserve"> kinase kinase kinase 18</w:t>
      </w:r>
      <w:r w:rsidR="00FC450D">
        <w:t xml:space="preserve"> (MAPKKK18)</w:t>
      </w:r>
      <w:r w:rsidRPr="00440DEE">
        <w:t>, which might p</w:t>
      </w:r>
      <w:r w:rsidR="00301015">
        <w:t xml:space="preserve">lay a role in cell signalling. </w:t>
      </w:r>
      <w:r w:rsidRPr="00440DEE">
        <w:t>A more diverse classification of functions emerged for genes</w:t>
      </w:r>
      <w:r w:rsidR="007167E2">
        <w:t xml:space="preserve"> not showing primed expression</w:t>
      </w:r>
      <w:r w:rsidR="00DB7094">
        <w:t xml:space="preserve"> (genes in bold font SA-dependent)</w:t>
      </w:r>
      <w:r w:rsidRPr="00440DEE">
        <w:t>. Genes found to be not primed are mostly involved in</w:t>
      </w:r>
      <w:r w:rsidR="00DB7094">
        <w:t xml:space="preserve"> cell</w:t>
      </w:r>
      <w:r w:rsidRPr="00440DEE">
        <w:t xml:space="preserve"> signalling (</w:t>
      </w:r>
      <w:r w:rsidRPr="00440DEE">
        <w:rPr>
          <w:i/>
        </w:rPr>
        <w:t xml:space="preserve">ASK7, C2D1, </w:t>
      </w:r>
      <w:r w:rsidRPr="00440DEE">
        <w:rPr>
          <w:b/>
          <w:i/>
        </w:rPr>
        <w:t>LHY</w:t>
      </w:r>
      <w:r w:rsidRPr="00440DEE">
        <w:rPr>
          <w:i/>
        </w:rPr>
        <w:t xml:space="preserve">, NPR1, NPR3, </w:t>
      </w:r>
      <w:r w:rsidRPr="00440DEE">
        <w:rPr>
          <w:b/>
          <w:i/>
        </w:rPr>
        <w:t>PBS3</w:t>
      </w:r>
      <w:r w:rsidRPr="00440DEE">
        <w:rPr>
          <w:i/>
        </w:rPr>
        <w:t>, PRB1, SDR4, WRKY38</w:t>
      </w:r>
      <w:r w:rsidRPr="00440DEE">
        <w:t>), primary and secondary metabolism (</w:t>
      </w:r>
      <w:r w:rsidRPr="00440DEE">
        <w:rPr>
          <w:b/>
          <w:i/>
        </w:rPr>
        <w:t>At5g39090</w:t>
      </w:r>
      <w:r w:rsidRPr="00440DEE">
        <w:rPr>
          <w:i/>
        </w:rPr>
        <w:t xml:space="preserve">, BAHD1, GH3.4, IPT7, LAC7, UGT73D1, </w:t>
      </w:r>
      <w:r w:rsidRPr="00440DEE">
        <w:rPr>
          <w:b/>
          <w:i/>
        </w:rPr>
        <w:t>BSMT1</w:t>
      </w:r>
      <w:r w:rsidRPr="00440DEE">
        <w:rPr>
          <w:i/>
        </w:rPr>
        <w:t xml:space="preserve">, </w:t>
      </w:r>
      <w:r w:rsidRPr="00440DEE">
        <w:rPr>
          <w:b/>
          <w:i/>
        </w:rPr>
        <w:t>GPAT5</w:t>
      </w:r>
      <w:r w:rsidRPr="00440DEE">
        <w:t>), defence metabolism (</w:t>
      </w:r>
      <w:r w:rsidRPr="00440DEE">
        <w:rPr>
          <w:i/>
        </w:rPr>
        <w:t>PBS3</w:t>
      </w:r>
      <w:r w:rsidR="00FA032C">
        <w:t>), ROS-production or -</w:t>
      </w:r>
      <w:r w:rsidRPr="00440DEE">
        <w:t>scavenging (</w:t>
      </w:r>
      <w:r w:rsidRPr="00440DEE">
        <w:rPr>
          <w:b/>
          <w:i/>
        </w:rPr>
        <w:t>At1g26420</w:t>
      </w:r>
      <w:r w:rsidRPr="00440DEE">
        <w:rPr>
          <w:i/>
        </w:rPr>
        <w:t>, RBOHA</w:t>
      </w:r>
      <w:r w:rsidRPr="00440DEE">
        <w:t>), development (</w:t>
      </w:r>
      <w:r w:rsidRPr="00440DEE">
        <w:rPr>
          <w:i/>
        </w:rPr>
        <w:t>KNAT1</w:t>
      </w:r>
      <w:r w:rsidRPr="00440DEE">
        <w:t>), cell wall</w:t>
      </w:r>
      <w:r w:rsidR="00850277">
        <w:t xml:space="preserve">-related processes </w:t>
      </w:r>
      <w:r w:rsidRPr="00440DEE">
        <w:t>(</w:t>
      </w:r>
      <w:r w:rsidRPr="00440DEE">
        <w:rPr>
          <w:i/>
        </w:rPr>
        <w:t xml:space="preserve">COBL4, </w:t>
      </w:r>
      <w:r w:rsidRPr="00440DEE">
        <w:rPr>
          <w:b/>
          <w:i/>
        </w:rPr>
        <w:t>RABA1i</w:t>
      </w:r>
      <w:r w:rsidRPr="00440DEE">
        <w:t>), detoxification (</w:t>
      </w:r>
      <w:r w:rsidRPr="00440DEE">
        <w:rPr>
          <w:b/>
          <w:i/>
        </w:rPr>
        <w:t>GSTU1</w:t>
      </w:r>
      <w:r w:rsidRPr="00440DEE">
        <w:t>), and others (</w:t>
      </w:r>
      <w:r w:rsidRPr="00440DEE">
        <w:rPr>
          <w:i/>
        </w:rPr>
        <w:t>MRP7, At1g03660</w:t>
      </w:r>
      <w:r w:rsidRPr="00440DEE">
        <w:t>)</w:t>
      </w:r>
      <w:r w:rsidR="00FC450D">
        <w:t xml:space="preserve"> (Figure 27 D</w:t>
      </w:r>
      <w:r w:rsidR="008B05D0">
        <w:t>)</w:t>
      </w:r>
      <w:r w:rsidRPr="00440DEE">
        <w:t xml:space="preserve">. Among this group are only a few defence-related genes </w:t>
      </w:r>
      <w:r w:rsidRPr="00440DEE">
        <w:lastRenderedPageBreak/>
        <w:t xml:space="preserve">like the SA-receptors </w:t>
      </w:r>
      <w:r w:rsidRPr="00440DEE">
        <w:rPr>
          <w:i/>
        </w:rPr>
        <w:t>NPR1</w:t>
      </w:r>
      <w:r w:rsidRPr="00440DEE">
        <w:t xml:space="preserve"> (Wu </w:t>
      </w:r>
      <w:r w:rsidRPr="00440DEE">
        <w:rPr>
          <w:i/>
        </w:rPr>
        <w:t>et al</w:t>
      </w:r>
      <w:r w:rsidRPr="00440DEE">
        <w:t xml:space="preserve">., 2012) and </w:t>
      </w:r>
      <w:r w:rsidRPr="00440DEE">
        <w:rPr>
          <w:i/>
        </w:rPr>
        <w:t>NPR3</w:t>
      </w:r>
      <w:r w:rsidRPr="00440DEE">
        <w:t xml:space="preserve"> (Fu </w:t>
      </w:r>
      <w:r w:rsidRPr="00440DEE">
        <w:rPr>
          <w:i/>
        </w:rPr>
        <w:t>et al</w:t>
      </w:r>
      <w:r w:rsidRPr="00440DEE">
        <w:t xml:space="preserve">., 2012), the </w:t>
      </w:r>
      <w:r w:rsidR="003C79A5">
        <w:t>defence-related</w:t>
      </w:r>
      <w:r w:rsidRPr="00440DEE">
        <w:t xml:space="preserve"> </w:t>
      </w:r>
      <w:r w:rsidRPr="00440DEE">
        <w:rPr>
          <w:i/>
        </w:rPr>
        <w:t>PBS3</w:t>
      </w:r>
      <w:r w:rsidRPr="00440DEE">
        <w:t xml:space="preserve">, which </w:t>
      </w:r>
      <w:r w:rsidR="003C79A5">
        <w:t>was reported to conjugate</w:t>
      </w:r>
      <w:r w:rsidRPr="00440DEE">
        <w:t xml:space="preserve"> amino acids to benzoates (Okrent </w:t>
      </w:r>
      <w:r w:rsidRPr="00440DEE">
        <w:rPr>
          <w:i/>
        </w:rPr>
        <w:t>et al</w:t>
      </w:r>
      <w:r w:rsidRPr="00440DEE">
        <w:t xml:space="preserve">., 2009) and </w:t>
      </w:r>
      <w:r w:rsidRPr="00440DEE">
        <w:rPr>
          <w:i/>
        </w:rPr>
        <w:t>RABA1i,</w:t>
      </w:r>
      <w:r w:rsidRPr="00440DEE">
        <w:t xml:space="preserve"> which was sh</w:t>
      </w:r>
      <w:r w:rsidR="00FC450D">
        <w:t>own to be involved in cell wall-</w:t>
      </w:r>
      <w:r w:rsidRPr="00440DEE">
        <w:t xml:space="preserve">modification processes (Vernoud </w:t>
      </w:r>
      <w:r w:rsidRPr="00440DEE">
        <w:rPr>
          <w:i/>
        </w:rPr>
        <w:t>et al</w:t>
      </w:r>
      <w:r w:rsidR="00301015">
        <w:t xml:space="preserve">., 2003). </w:t>
      </w:r>
      <w:r w:rsidRPr="00440DEE">
        <w:t>It does make sense to find a majority of genes involved in defence</w:t>
      </w:r>
      <w:r w:rsidR="007167E2">
        <w:t>-related</w:t>
      </w:r>
      <w:r w:rsidRPr="00440DEE">
        <w:t xml:space="preserve"> processes primed, as this enables plants to react faster to subsequent threats without having to synthesize all needed components of defence </w:t>
      </w:r>
      <w:r w:rsidRPr="00440DEE">
        <w:rPr>
          <w:i/>
        </w:rPr>
        <w:t>de novo</w:t>
      </w:r>
      <w:r w:rsidRPr="00440DEE">
        <w:t xml:space="preserve"> upon infection. Among strongly primed genes several genes involved in camalexin biosynthesis an</w:t>
      </w:r>
      <w:r w:rsidR="00FC450D">
        <w:t>d cell wall-</w:t>
      </w:r>
      <w:r w:rsidRPr="00440DEE">
        <w:t xml:space="preserve">modification can be found, which gives credit to the hypothesis of broad-spectrum resistance conferred by SAR. On the other hand, it is not very surprising that products of many non-primed genes are involved in processes more related to growth and cell signalling. </w:t>
      </w:r>
      <w:r w:rsidR="0038107C">
        <w:t xml:space="preserve">As mentioned above, </w:t>
      </w:r>
      <w:r w:rsidR="003C79A5">
        <w:t>a large number</w:t>
      </w:r>
      <w:r w:rsidR="00C73F27">
        <w:t xml:space="preserve"> of</w:t>
      </w:r>
      <w:r w:rsidRPr="00440DEE">
        <w:t xml:space="preserve"> primed genes </w:t>
      </w:r>
      <w:r w:rsidR="007167E2">
        <w:t>exhibit</w:t>
      </w:r>
      <w:r w:rsidRPr="00440DEE">
        <w:t xml:space="preserve"> SA-i</w:t>
      </w:r>
      <w:r w:rsidR="0038107C">
        <w:t>ndependent</w:t>
      </w:r>
      <w:r w:rsidR="007167E2">
        <w:t xml:space="preserve"> expression</w:t>
      </w:r>
      <w:r w:rsidRPr="00440DEE">
        <w:t xml:space="preserve">, for instance critical </w:t>
      </w:r>
      <w:r w:rsidR="00FC450D">
        <w:t>defence regulators like the Pip-</w:t>
      </w:r>
      <w:r w:rsidRPr="00440DEE">
        <w:t xml:space="preserve">biosynthesis gene </w:t>
      </w:r>
      <w:r w:rsidRPr="00440DEE">
        <w:rPr>
          <w:i/>
        </w:rPr>
        <w:t>ALD1</w:t>
      </w:r>
      <w:r w:rsidRPr="00440DEE">
        <w:t xml:space="preserve"> (Návarová </w:t>
      </w:r>
      <w:r w:rsidRPr="00440DEE">
        <w:rPr>
          <w:i/>
        </w:rPr>
        <w:t>et al</w:t>
      </w:r>
      <w:r w:rsidRPr="00440DEE">
        <w:t xml:space="preserve">., 2012) and the flavin-dependent monooxygenase </w:t>
      </w:r>
      <w:r w:rsidRPr="00440DEE">
        <w:rPr>
          <w:i/>
        </w:rPr>
        <w:t>FMO1</w:t>
      </w:r>
      <w:r w:rsidRPr="00440DEE">
        <w:t xml:space="preserve"> (Mishina and Zeier, 2006), or the camalexin biosynthesis genes </w:t>
      </w:r>
      <w:r w:rsidRPr="00440DEE">
        <w:rPr>
          <w:i/>
        </w:rPr>
        <w:t>CYP71A13</w:t>
      </w:r>
      <w:r w:rsidRPr="00440DEE">
        <w:t xml:space="preserve"> (Nafisi </w:t>
      </w:r>
      <w:r w:rsidRPr="00440DEE">
        <w:rPr>
          <w:i/>
        </w:rPr>
        <w:t>et al.,</w:t>
      </w:r>
      <w:r w:rsidRPr="00440DEE">
        <w:t xml:space="preserve"> 2007) and </w:t>
      </w:r>
      <w:r w:rsidRPr="00440DEE">
        <w:rPr>
          <w:i/>
        </w:rPr>
        <w:t>PAD3</w:t>
      </w:r>
      <w:r w:rsidRPr="00440DEE">
        <w:t xml:space="preserve"> (Schuhegger </w:t>
      </w:r>
      <w:r w:rsidRPr="00440DEE">
        <w:rPr>
          <w:i/>
        </w:rPr>
        <w:t>et al</w:t>
      </w:r>
      <w:r w:rsidR="003C79A5">
        <w:t xml:space="preserve">., 2006). </w:t>
      </w:r>
      <w:r w:rsidR="00C73F27">
        <w:t xml:space="preserve">This enables the plant to react very fast to the subsequent threat, before accumulation of high SA-amounts, which is a quite slow process compared to Pip-accumulation. </w:t>
      </w:r>
      <w:r w:rsidR="003C79A5">
        <w:t>Many n</w:t>
      </w:r>
      <w:r w:rsidRPr="00440DEE">
        <w:t xml:space="preserve">on-primed genes, on the other hand, are </w:t>
      </w:r>
      <w:r w:rsidR="0038107C">
        <w:t>SA-dependent</w:t>
      </w:r>
      <w:r w:rsidRPr="00440DEE">
        <w:t xml:space="preserve"> with the exception of genes not involved in any defence-related process like </w:t>
      </w:r>
      <w:r w:rsidRPr="00440DEE">
        <w:rPr>
          <w:i/>
        </w:rPr>
        <w:t>At5g39090</w:t>
      </w:r>
      <w:r w:rsidRPr="00440DEE">
        <w:t xml:space="preserve">, which is involved in anthocyanin biosynthesis (Luo </w:t>
      </w:r>
      <w:r w:rsidRPr="00440DEE">
        <w:rPr>
          <w:i/>
        </w:rPr>
        <w:t>et al</w:t>
      </w:r>
      <w:r w:rsidR="00885488">
        <w:t>., 2007) or</w:t>
      </w:r>
      <w:r w:rsidRPr="00440DEE">
        <w:t xml:space="preserve"> </w:t>
      </w:r>
      <w:r w:rsidRPr="00440DEE">
        <w:rPr>
          <w:i/>
        </w:rPr>
        <w:t>LHY</w:t>
      </w:r>
      <w:r w:rsidRPr="00440DEE">
        <w:t xml:space="preserve">, an integral regulator in the circadian clock (Alabadi </w:t>
      </w:r>
      <w:r w:rsidRPr="00440DEE">
        <w:rPr>
          <w:i/>
        </w:rPr>
        <w:t>et al</w:t>
      </w:r>
      <w:r w:rsidR="00301015">
        <w:t xml:space="preserve">., 2001), respectively. </w:t>
      </w:r>
      <w:r w:rsidRPr="00440DEE">
        <w:t xml:space="preserve">In the mutant lines </w:t>
      </w:r>
      <w:r w:rsidRPr="00440DEE">
        <w:rPr>
          <w:i/>
        </w:rPr>
        <w:t>ald1</w:t>
      </w:r>
      <w:r w:rsidRPr="00440DEE">
        <w:t xml:space="preserve"> and </w:t>
      </w:r>
      <w:r w:rsidRPr="00440DEE">
        <w:rPr>
          <w:i/>
        </w:rPr>
        <w:t>fmo1</w:t>
      </w:r>
      <w:r w:rsidRPr="00440DEE">
        <w:t xml:space="preserve"> no </w:t>
      </w:r>
      <w:r w:rsidR="005A0977">
        <w:t xml:space="preserve">priming of </w:t>
      </w:r>
      <w:r w:rsidRPr="00440DEE">
        <w:t xml:space="preserve">gene expression was detected, except for </w:t>
      </w:r>
      <w:r w:rsidRPr="00440DEE">
        <w:rPr>
          <w:i/>
        </w:rPr>
        <w:t>ASK7</w:t>
      </w:r>
      <w:r w:rsidR="008B05D0">
        <w:rPr>
          <w:i/>
        </w:rPr>
        <w:t xml:space="preserve"> and UGT85A1</w:t>
      </w:r>
      <w:r w:rsidRPr="00440DEE">
        <w:t xml:space="preserve"> in </w:t>
      </w:r>
      <w:r w:rsidRPr="00440DEE">
        <w:rPr>
          <w:i/>
        </w:rPr>
        <w:t>ald1</w:t>
      </w:r>
      <w:r w:rsidRPr="00440DEE">
        <w:t xml:space="preserve"> and </w:t>
      </w:r>
      <w:r w:rsidRPr="00440DEE">
        <w:rPr>
          <w:i/>
        </w:rPr>
        <w:t>GSTU1</w:t>
      </w:r>
      <w:r w:rsidR="008B05D0">
        <w:rPr>
          <w:i/>
        </w:rPr>
        <w:t xml:space="preserve"> and TPPD</w:t>
      </w:r>
      <w:r w:rsidRPr="00440DEE">
        <w:t xml:space="preserve"> in </w:t>
      </w:r>
      <w:r w:rsidRPr="00440DEE">
        <w:rPr>
          <w:i/>
        </w:rPr>
        <w:t>fmo1</w:t>
      </w:r>
      <w:r w:rsidRPr="00440DEE">
        <w:t>, respectively (</w:t>
      </w:r>
      <w:r w:rsidR="001A7893">
        <w:t>T</w:t>
      </w:r>
      <w:r w:rsidRPr="00440DEE">
        <w:t xml:space="preserve">able 1). These findings support our theory and earlier findings that </w:t>
      </w:r>
      <w:r w:rsidRPr="00440DEE">
        <w:rPr>
          <w:i/>
        </w:rPr>
        <w:t>ALD1</w:t>
      </w:r>
      <w:r w:rsidRPr="00440DEE">
        <w:t xml:space="preserve"> and </w:t>
      </w:r>
      <w:r w:rsidRPr="00440DEE">
        <w:rPr>
          <w:i/>
        </w:rPr>
        <w:t>FMO1</w:t>
      </w:r>
      <w:r w:rsidRPr="00440DEE">
        <w:t xml:space="preserve"> are critical regulators of </w:t>
      </w:r>
      <w:r w:rsidR="00FC450D">
        <w:t>SAR</w:t>
      </w:r>
      <w:r w:rsidR="005A0977">
        <w:t xml:space="preserve"> and</w:t>
      </w:r>
      <w:r w:rsidRPr="00440DEE">
        <w:t xml:space="preserve"> the priming response in plants (Návarová </w:t>
      </w:r>
      <w:r w:rsidRPr="00440DEE">
        <w:rPr>
          <w:i/>
        </w:rPr>
        <w:t>et al.</w:t>
      </w:r>
      <w:r w:rsidRPr="00440DEE">
        <w:t>, 2012</w:t>
      </w:r>
      <w:r w:rsidR="00DB0373">
        <w:t>). We were able to show that</w:t>
      </w:r>
      <w:r w:rsidRPr="00440DEE">
        <w:t xml:space="preserve"> </w:t>
      </w:r>
      <w:r w:rsidR="00DB0373">
        <w:t>Pip-accumulation</w:t>
      </w:r>
      <w:r w:rsidRPr="00440DEE">
        <w:t xml:space="preserve"> in local leaves and the ensuing generation of a mobile signal leads to </w:t>
      </w:r>
      <w:r w:rsidR="00FC450D">
        <w:t>Pip-</w:t>
      </w:r>
      <w:r w:rsidRPr="00440DEE">
        <w:t xml:space="preserve">accumulation in leaves distal from the infection site, setting in motion a feedback amplification loop in which both </w:t>
      </w:r>
      <w:r w:rsidRPr="00440DEE">
        <w:rPr>
          <w:i/>
        </w:rPr>
        <w:t>ALD1</w:t>
      </w:r>
      <w:r w:rsidRPr="00440DEE">
        <w:t xml:space="preserve"> and </w:t>
      </w:r>
      <w:r w:rsidRPr="00440DEE">
        <w:rPr>
          <w:i/>
        </w:rPr>
        <w:t>FMO1</w:t>
      </w:r>
      <w:r w:rsidRPr="00440DEE">
        <w:t xml:space="preserve"> are key components to establish SAR </w:t>
      </w:r>
      <w:r w:rsidR="005A0977">
        <w:t xml:space="preserve">in plants (Figure 6; </w:t>
      </w:r>
      <w:r w:rsidRPr="00440DEE">
        <w:t xml:space="preserve">Návarová </w:t>
      </w:r>
      <w:r w:rsidRPr="00440DEE">
        <w:rPr>
          <w:i/>
        </w:rPr>
        <w:t>et al</w:t>
      </w:r>
      <w:r w:rsidR="00301015">
        <w:t xml:space="preserve">., 2012). </w:t>
      </w:r>
      <w:r w:rsidR="00D751EA">
        <w:t xml:space="preserve">Also, exogenous </w:t>
      </w:r>
      <w:r w:rsidR="00FC450D">
        <w:t>Pip-</w:t>
      </w:r>
      <w:r w:rsidR="00D751EA">
        <w:t xml:space="preserve">application primed gene expression of </w:t>
      </w:r>
      <w:r w:rsidR="00D751EA" w:rsidRPr="00D751EA">
        <w:rPr>
          <w:i/>
        </w:rPr>
        <w:t xml:space="preserve">ALD1 </w:t>
      </w:r>
      <w:r w:rsidR="00D751EA">
        <w:t xml:space="preserve">and </w:t>
      </w:r>
      <w:r w:rsidR="00D751EA" w:rsidRPr="00D751EA">
        <w:rPr>
          <w:i/>
        </w:rPr>
        <w:t>FMO1</w:t>
      </w:r>
      <w:r w:rsidR="00D751EA">
        <w:t xml:space="preserve">, as well as camalexin accumulation. </w:t>
      </w:r>
      <w:r w:rsidR="00D751EA" w:rsidRPr="00D751EA">
        <w:t xml:space="preserve">Several different approaches can be followed in future experiments to further dissect </w:t>
      </w:r>
      <w:r w:rsidR="00D751EA">
        <w:t xml:space="preserve">defence </w:t>
      </w:r>
      <w:r w:rsidR="00D751EA" w:rsidRPr="00D751EA">
        <w:t xml:space="preserve">priming in </w:t>
      </w:r>
      <w:r w:rsidR="00D751EA" w:rsidRPr="00D751EA">
        <w:rPr>
          <w:i/>
        </w:rPr>
        <w:t>Arabidopsis</w:t>
      </w:r>
      <w:r w:rsidR="00D751EA" w:rsidRPr="00D751EA">
        <w:t>. Gene expression tested in the biological priming experiment presented in this work would have to be re-tested, as the experiment was done only once due to the high cost of quantitative real-time PCR. A larger set of mutant lines could be used in this experiment</w:t>
      </w:r>
      <w:r w:rsidR="00FC450D">
        <w:t>,</w:t>
      </w:r>
      <w:r w:rsidR="00D751EA" w:rsidRPr="00D751EA">
        <w:t xml:space="preserve"> for example </w:t>
      </w:r>
      <w:r w:rsidR="00D751EA" w:rsidRPr="00D751EA">
        <w:rPr>
          <w:i/>
        </w:rPr>
        <w:t>sid2</w:t>
      </w:r>
      <w:r w:rsidR="00D751EA" w:rsidRPr="00D751EA">
        <w:t xml:space="preserve"> and </w:t>
      </w:r>
      <w:r w:rsidR="00D751EA" w:rsidRPr="00D751EA">
        <w:rPr>
          <w:i/>
        </w:rPr>
        <w:t>sid2 ald1</w:t>
      </w:r>
      <w:r w:rsidR="00D751EA" w:rsidRPr="00D751EA">
        <w:t xml:space="preserve"> in addition to </w:t>
      </w:r>
      <w:r w:rsidR="00D751EA" w:rsidRPr="00D751EA">
        <w:rPr>
          <w:i/>
        </w:rPr>
        <w:t>ald1</w:t>
      </w:r>
      <w:r w:rsidR="00D751EA" w:rsidRPr="00D751EA">
        <w:t xml:space="preserve"> and </w:t>
      </w:r>
      <w:r w:rsidR="00D751EA" w:rsidRPr="00D751EA">
        <w:rPr>
          <w:i/>
        </w:rPr>
        <w:t>fmo1</w:t>
      </w:r>
      <w:r w:rsidR="00D751EA" w:rsidRPr="00D751EA">
        <w:t xml:space="preserve">, as well as </w:t>
      </w:r>
      <w:r w:rsidR="00D751EA" w:rsidRPr="00D751EA">
        <w:rPr>
          <w:i/>
        </w:rPr>
        <w:t>npr1</w:t>
      </w:r>
      <w:r w:rsidR="00D751EA" w:rsidRPr="00D751EA">
        <w:t xml:space="preserve"> and </w:t>
      </w:r>
      <w:r w:rsidR="00D751EA" w:rsidRPr="00D751EA">
        <w:rPr>
          <w:i/>
        </w:rPr>
        <w:t>pad4</w:t>
      </w:r>
      <w:r w:rsidR="00D751EA" w:rsidRPr="00D751EA">
        <w:t xml:space="preserve">, which have been implicated to play a role in priming before (Conrath </w:t>
      </w:r>
      <w:r w:rsidR="00D751EA" w:rsidRPr="00D751EA">
        <w:rPr>
          <w:i/>
        </w:rPr>
        <w:t>et al</w:t>
      </w:r>
      <w:r w:rsidR="00D751EA" w:rsidRPr="00D751EA">
        <w:t xml:space="preserve">., 2001). Using </w:t>
      </w:r>
      <w:r w:rsidR="00D751EA" w:rsidRPr="00D751EA">
        <w:rPr>
          <w:i/>
        </w:rPr>
        <w:t>sid2</w:t>
      </w:r>
      <w:r w:rsidR="00D751EA" w:rsidRPr="00D751EA">
        <w:t xml:space="preserve"> and the </w:t>
      </w:r>
      <w:r w:rsidR="00D751EA" w:rsidRPr="00D751EA">
        <w:rPr>
          <w:i/>
        </w:rPr>
        <w:t>sid2 ald1</w:t>
      </w:r>
      <w:r w:rsidR="00D751EA" w:rsidRPr="00D751EA">
        <w:t xml:space="preserve"> double mutant would also </w:t>
      </w:r>
      <w:r w:rsidR="00FC450D">
        <w:t xml:space="preserve">shed further light on </w:t>
      </w:r>
      <w:r w:rsidR="00D751EA" w:rsidRPr="00D751EA">
        <w:t xml:space="preserve">the regulation of SA-independent and partially SA-dependent genes in priming. Furthermore, it would be interesting to analyse Pip-induced priming of the set of genes tested </w:t>
      </w:r>
      <w:r w:rsidR="00D751EA" w:rsidRPr="00D751EA">
        <w:lastRenderedPageBreak/>
        <w:t xml:space="preserve">so far to see to what extent defence priming and Pip-induced priming of gene expression overlap, this might also lead to discovering more SA-dependent genes primed in </w:t>
      </w:r>
      <w:r w:rsidR="00D751EA" w:rsidRPr="00D751EA">
        <w:rPr>
          <w:i/>
        </w:rPr>
        <w:t>ald1</w:t>
      </w:r>
      <w:r w:rsidR="00D751EA" w:rsidRPr="00D751EA">
        <w:t xml:space="preserve"> by exogenous</w:t>
      </w:r>
      <w:r w:rsidR="00DB0373">
        <w:t>ly supplied</w:t>
      </w:r>
      <w:r w:rsidR="00D751EA" w:rsidRPr="00D751EA">
        <w:t xml:space="preserve"> Pip.</w:t>
      </w:r>
    </w:p>
    <w:p w:rsidR="00B517AA" w:rsidRDefault="00B517AA" w:rsidP="00B517AA">
      <w:pPr>
        <w:pStyle w:val="berschrift2"/>
        <w:jc w:val="both"/>
        <w:rPr>
          <w:color w:val="000000" w:themeColor="text1"/>
        </w:rPr>
        <w:sectPr w:rsidR="00B517AA" w:rsidSect="00B517AA">
          <w:headerReference w:type="default" r:id="rId92"/>
          <w:headerReference w:type="first" r:id="rId93"/>
          <w:type w:val="continuous"/>
          <w:pgSz w:w="11906" w:h="16838"/>
          <w:pgMar w:top="1417" w:right="1417" w:bottom="1134" w:left="1417" w:header="708" w:footer="708" w:gutter="0"/>
          <w:cols w:space="708"/>
          <w:titlePg/>
          <w:docGrid w:linePitch="360"/>
        </w:sectPr>
      </w:pPr>
    </w:p>
    <w:p w:rsidR="00CF7A47" w:rsidRDefault="00563EC1" w:rsidP="00CF7A47">
      <w:pPr>
        <w:pStyle w:val="berschrift2"/>
        <w:jc w:val="both"/>
        <w:rPr>
          <w:color w:val="000000" w:themeColor="text1"/>
        </w:rPr>
      </w:pPr>
      <w:bookmarkStart w:id="111" w:name="_Toc435621253"/>
      <w:r>
        <w:rPr>
          <w:color w:val="000000" w:themeColor="text1"/>
        </w:rPr>
        <w:lastRenderedPageBreak/>
        <w:t xml:space="preserve">7.2 </w:t>
      </w:r>
      <w:r w:rsidR="00F32E71">
        <w:rPr>
          <w:color w:val="000000" w:themeColor="text1"/>
        </w:rPr>
        <w:t>Pip a</w:t>
      </w:r>
      <w:r w:rsidR="001A7893" w:rsidRPr="001A7893">
        <w:rPr>
          <w:color w:val="000000" w:themeColor="text1"/>
        </w:rPr>
        <w:t>s essential</w:t>
      </w:r>
      <w:r w:rsidR="00F32E71">
        <w:rPr>
          <w:color w:val="000000" w:themeColor="text1"/>
        </w:rPr>
        <w:t xml:space="preserve"> component</w:t>
      </w:r>
      <w:r w:rsidR="001A7893" w:rsidRPr="001A7893">
        <w:rPr>
          <w:color w:val="000000" w:themeColor="text1"/>
        </w:rPr>
        <w:t xml:space="preserve"> for p</w:t>
      </w:r>
      <w:r w:rsidR="00F32E71">
        <w:rPr>
          <w:color w:val="000000" w:themeColor="text1"/>
        </w:rPr>
        <w:t>riming</w:t>
      </w:r>
      <w:r w:rsidR="001A7893" w:rsidRPr="001A7893">
        <w:rPr>
          <w:color w:val="000000" w:themeColor="text1"/>
        </w:rPr>
        <w:t xml:space="preserve"> of SA-independent and</w:t>
      </w:r>
      <w:bookmarkEnd w:id="111"/>
      <w:r w:rsidR="00CF7A47">
        <w:rPr>
          <w:color w:val="000000" w:themeColor="text1"/>
        </w:rPr>
        <w:t xml:space="preserve"> </w:t>
      </w:r>
    </w:p>
    <w:p w:rsidR="001A7893" w:rsidRPr="001A7893" w:rsidRDefault="00FA032C" w:rsidP="00CF7A47">
      <w:pPr>
        <w:pStyle w:val="berschrift2"/>
        <w:spacing w:before="0" w:after="240"/>
        <w:jc w:val="both"/>
        <w:rPr>
          <w:color w:val="000000" w:themeColor="text1"/>
        </w:rPr>
      </w:pPr>
      <w:bookmarkStart w:id="112" w:name="_Toc435621254"/>
      <w:r>
        <w:rPr>
          <w:color w:val="000000" w:themeColor="text1"/>
        </w:rPr>
        <w:t>-</w:t>
      </w:r>
      <w:r w:rsidR="001A7893" w:rsidRPr="001A7893">
        <w:rPr>
          <w:color w:val="000000" w:themeColor="text1"/>
        </w:rPr>
        <w:t>dependent gene</w:t>
      </w:r>
      <w:r w:rsidR="00F32E71">
        <w:rPr>
          <w:color w:val="000000" w:themeColor="text1"/>
        </w:rPr>
        <w:t xml:space="preserve"> expression</w:t>
      </w:r>
      <w:bookmarkEnd w:id="112"/>
    </w:p>
    <w:p w:rsidR="00D83BE8" w:rsidRDefault="00D751EA" w:rsidP="00301015">
      <w:pPr>
        <w:spacing w:after="0" w:line="360" w:lineRule="auto"/>
        <w:jc w:val="both"/>
      </w:pPr>
      <w:r w:rsidRPr="00D751EA">
        <w:t xml:space="preserve">In our previous experiments, we found a partial SAR response in the SA-biosynthesis impaired mutant </w:t>
      </w:r>
      <w:r w:rsidRPr="00D751EA">
        <w:rPr>
          <w:i/>
        </w:rPr>
        <w:t>sid2</w:t>
      </w:r>
      <w:r w:rsidRPr="00D751EA">
        <w:t xml:space="preserve">, which apparently is a result of a SA-independent process. </w:t>
      </w:r>
      <w:r w:rsidR="00440DEE" w:rsidRPr="00440DEE">
        <w:t>To analyse this phenomenon more closely with respect to de</w:t>
      </w:r>
      <w:r w:rsidR="004C20DE">
        <w:t xml:space="preserve">fence and Pip-induced priming, </w:t>
      </w:r>
      <w:r w:rsidR="00440DEE" w:rsidRPr="00440DEE">
        <w:t xml:space="preserve">experiments with </w:t>
      </w:r>
      <w:r w:rsidR="00440DEE" w:rsidRPr="00440DEE">
        <w:rPr>
          <w:i/>
        </w:rPr>
        <w:t>sid2, ald1</w:t>
      </w:r>
      <w:r w:rsidR="00440DEE" w:rsidRPr="00440DEE">
        <w:t xml:space="preserve">, and the </w:t>
      </w:r>
      <w:r w:rsidR="00440DEE" w:rsidRPr="00440DEE">
        <w:rPr>
          <w:i/>
        </w:rPr>
        <w:t>sid2 ald1</w:t>
      </w:r>
      <w:r w:rsidR="00440DEE" w:rsidRPr="00440DEE">
        <w:t xml:space="preserve"> double mutant </w:t>
      </w:r>
      <w:r w:rsidR="00F32E71">
        <w:t xml:space="preserve">were carried out </w:t>
      </w:r>
      <w:r w:rsidR="00440DEE" w:rsidRPr="00440DEE">
        <w:t>and gene expression o</w:t>
      </w:r>
      <w:r w:rsidR="001A7893">
        <w:t>f select genes</w:t>
      </w:r>
      <w:r w:rsidR="00F32E71">
        <w:t xml:space="preserve"> was analysed</w:t>
      </w:r>
      <w:r w:rsidR="001A7893">
        <w:t xml:space="preserve"> (Figure 28</w:t>
      </w:r>
      <w:r w:rsidR="00440DEE" w:rsidRPr="00440DEE">
        <w:t xml:space="preserve">). The SA-independent genes </w:t>
      </w:r>
      <w:r w:rsidR="00440DEE" w:rsidRPr="00440DEE">
        <w:rPr>
          <w:i/>
        </w:rPr>
        <w:t>ALD1</w:t>
      </w:r>
      <w:r w:rsidR="00440DEE" w:rsidRPr="00440DEE">
        <w:t xml:space="preserve"> and </w:t>
      </w:r>
      <w:r w:rsidR="00440DEE" w:rsidRPr="00440DEE">
        <w:rPr>
          <w:i/>
        </w:rPr>
        <w:t>FMO1</w:t>
      </w:r>
      <w:r w:rsidR="00440DEE" w:rsidRPr="00440DEE">
        <w:t xml:space="preserve"> showed a strong priming response in Col-0 and </w:t>
      </w:r>
      <w:r w:rsidR="00440DEE" w:rsidRPr="00440DEE">
        <w:rPr>
          <w:i/>
        </w:rPr>
        <w:t>sid2</w:t>
      </w:r>
      <w:r w:rsidR="00440DEE" w:rsidRPr="00440DEE">
        <w:t xml:space="preserve">, but not in </w:t>
      </w:r>
      <w:r w:rsidR="00440DEE" w:rsidRPr="00440DEE">
        <w:rPr>
          <w:i/>
        </w:rPr>
        <w:t>ald1</w:t>
      </w:r>
      <w:r w:rsidR="00440DEE" w:rsidRPr="00440DEE">
        <w:t xml:space="preserve"> or </w:t>
      </w:r>
      <w:r w:rsidR="00440DEE" w:rsidRPr="00440DEE">
        <w:rPr>
          <w:i/>
        </w:rPr>
        <w:t>sid2 ald1</w:t>
      </w:r>
      <w:r w:rsidR="00440DEE" w:rsidRPr="00440DEE">
        <w:t xml:space="preserve">, respectively. Expression of the SA-dependent </w:t>
      </w:r>
      <w:r w:rsidR="00440DEE" w:rsidRPr="00440DEE">
        <w:rPr>
          <w:i/>
        </w:rPr>
        <w:t>PR-1</w:t>
      </w:r>
      <w:r w:rsidR="00440DEE" w:rsidRPr="00440DEE">
        <w:t xml:space="preserve"> gene was primed in WT plants, but abolished in all three mutant lines. The strong priming response of </w:t>
      </w:r>
      <w:r w:rsidR="00440DEE" w:rsidRPr="00440DEE">
        <w:rPr>
          <w:i/>
        </w:rPr>
        <w:t>ALD1</w:t>
      </w:r>
      <w:r w:rsidR="00440DEE" w:rsidRPr="00440DEE">
        <w:t xml:space="preserve"> and </w:t>
      </w:r>
      <w:r w:rsidR="00440DEE" w:rsidRPr="00440DEE">
        <w:rPr>
          <w:i/>
        </w:rPr>
        <w:t>FMO1</w:t>
      </w:r>
      <w:r w:rsidR="00440DEE" w:rsidRPr="00440DEE">
        <w:t xml:space="preserve"> in </w:t>
      </w:r>
      <w:r w:rsidR="00440DEE" w:rsidRPr="00440DEE">
        <w:rPr>
          <w:i/>
        </w:rPr>
        <w:t>sid2</w:t>
      </w:r>
      <w:r w:rsidR="00440DEE" w:rsidRPr="00440DEE">
        <w:t xml:space="preserve">, which was even stronger than in Col-0 for </w:t>
      </w:r>
      <w:r w:rsidR="00440DEE" w:rsidRPr="00440DEE">
        <w:rPr>
          <w:i/>
        </w:rPr>
        <w:t>FMO1</w:t>
      </w:r>
      <w:r w:rsidR="00440DEE" w:rsidRPr="00440DEE">
        <w:t xml:space="preserve"> in the biologi</w:t>
      </w:r>
      <w:r w:rsidR="005A0977">
        <w:t>c</w:t>
      </w:r>
      <w:r w:rsidR="001A7893">
        <w:t>al priming experiment (Figure 28</w:t>
      </w:r>
      <w:r w:rsidR="005A0977">
        <w:t xml:space="preserve"> B</w:t>
      </w:r>
      <w:r w:rsidR="00440DEE" w:rsidRPr="00440DEE">
        <w:t xml:space="preserve">) and for </w:t>
      </w:r>
      <w:r w:rsidR="00440DEE" w:rsidRPr="00440DEE">
        <w:rPr>
          <w:i/>
        </w:rPr>
        <w:t>ALD1</w:t>
      </w:r>
      <w:r w:rsidR="00440DEE" w:rsidRPr="00440DEE">
        <w:t xml:space="preserve"> and </w:t>
      </w:r>
      <w:r w:rsidR="00440DEE" w:rsidRPr="00440DEE">
        <w:rPr>
          <w:i/>
        </w:rPr>
        <w:t>FMO1</w:t>
      </w:r>
      <w:r w:rsidR="005A0977">
        <w:t xml:space="preserve"> in Pip-induced priming </w:t>
      </w:r>
      <w:r w:rsidR="001A7893">
        <w:t>(Figure 28 D; Figure 28</w:t>
      </w:r>
      <w:r w:rsidR="00E227EF">
        <w:t xml:space="preserve"> </w:t>
      </w:r>
      <w:r w:rsidR="005A0977">
        <w:t>E</w:t>
      </w:r>
      <w:r w:rsidR="00440DEE" w:rsidRPr="00440DEE">
        <w:t xml:space="preserve">), and the complete abolishment of this response in </w:t>
      </w:r>
      <w:r w:rsidR="00440DEE" w:rsidRPr="00440DEE">
        <w:rPr>
          <w:i/>
        </w:rPr>
        <w:t>ald1</w:t>
      </w:r>
      <w:r w:rsidR="00440DEE" w:rsidRPr="00440DEE">
        <w:t xml:space="preserve"> and the </w:t>
      </w:r>
      <w:r w:rsidR="00440DEE" w:rsidRPr="00440DEE">
        <w:rPr>
          <w:i/>
        </w:rPr>
        <w:t>sid2 ald1</w:t>
      </w:r>
      <w:r w:rsidR="00440DEE" w:rsidRPr="00440DEE">
        <w:t xml:space="preserve"> double mutant show clearly that </w:t>
      </w:r>
      <w:r w:rsidR="00440DEE" w:rsidRPr="00440DEE">
        <w:rPr>
          <w:i/>
        </w:rPr>
        <w:t>ALD1</w:t>
      </w:r>
      <w:r w:rsidR="00440DEE" w:rsidRPr="00440DEE">
        <w:t xml:space="preserve"> is an absolutely necessary regulator of the priming response and </w:t>
      </w:r>
      <w:r w:rsidR="00F32E71">
        <w:t>SA</w:t>
      </w:r>
      <w:r w:rsidR="00440DEE" w:rsidRPr="00440DEE">
        <w:t xml:space="preserve"> is needed for priming of SA-dependent genes. Exogenous</w:t>
      </w:r>
      <w:r w:rsidR="004C20DE">
        <w:t>ly</w:t>
      </w:r>
      <w:r w:rsidR="00440DEE" w:rsidRPr="00440DEE">
        <w:t xml:space="preserve"> applied Pip induced s</w:t>
      </w:r>
      <w:r w:rsidR="005A0977">
        <w:t>trong priming</w:t>
      </w:r>
      <w:r w:rsidR="00440DEE" w:rsidRPr="00440DEE">
        <w:t xml:space="preserve"> of </w:t>
      </w:r>
      <w:r w:rsidR="00440DEE" w:rsidRPr="00440DEE">
        <w:rPr>
          <w:i/>
        </w:rPr>
        <w:t>ALD1</w:t>
      </w:r>
      <w:r w:rsidR="00440DEE" w:rsidRPr="00440DEE">
        <w:t xml:space="preserve"> and </w:t>
      </w:r>
      <w:r w:rsidR="00440DEE" w:rsidRPr="00440DEE">
        <w:rPr>
          <w:i/>
        </w:rPr>
        <w:t>FMO1</w:t>
      </w:r>
      <w:r w:rsidR="00440DEE" w:rsidRPr="00440DEE">
        <w:t xml:space="preserve"> </w:t>
      </w:r>
      <w:r w:rsidR="005A0977">
        <w:t xml:space="preserve">expression </w:t>
      </w:r>
      <w:r w:rsidR="00440DEE" w:rsidRPr="00440DEE">
        <w:t xml:space="preserve">in Col-0 and </w:t>
      </w:r>
      <w:r w:rsidR="00440DEE" w:rsidRPr="00440DEE">
        <w:rPr>
          <w:i/>
        </w:rPr>
        <w:t>sid2</w:t>
      </w:r>
      <w:r w:rsidR="000A2A36">
        <w:t>, but not in the Pip-deficient</w:t>
      </w:r>
      <w:r w:rsidR="00440DEE" w:rsidRPr="00440DEE">
        <w:t xml:space="preserve"> </w:t>
      </w:r>
      <w:r w:rsidR="00440DEE" w:rsidRPr="00440DEE">
        <w:rPr>
          <w:i/>
        </w:rPr>
        <w:t>ald1</w:t>
      </w:r>
      <w:r w:rsidR="00440DEE" w:rsidRPr="00440DEE">
        <w:t xml:space="preserve"> and</w:t>
      </w:r>
      <w:r w:rsidR="000A2A36">
        <w:t xml:space="preserve"> the Pip- and SA-deficient</w:t>
      </w:r>
      <w:r w:rsidR="00440DEE" w:rsidRPr="00440DEE">
        <w:t xml:space="preserve"> </w:t>
      </w:r>
      <w:r w:rsidR="00440DEE" w:rsidRPr="00440DEE">
        <w:rPr>
          <w:i/>
        </w:rPr>
        <w:t>sid2 ald1</w:t>
      </w:r>
      <w:r w:rsidR="00440DEE" w:rsidRPr="00440DEE">
        <w:t xml:space="preserve"> </w:t>
      </w:r>
      <w:r w:rsidR="001A7893">
        <w:t>(Figure 28 D; Figure 28</w:t>
      </w:r>
      <w:r w:rsidR="00E227EF">
        <w:t xml:space="preserve"> </w:t>
      </w:r>
      <w:r w:rsidR="005A0977">
        <w:t>E). Priming of</w:t>
      </w:r>
      <w:r w:rsidR="00440DEE" w:rsidRPr="00440DEE">
        <w:t xml:space="preserve"> </w:t>
      </w:r>
      <w:r w:rsidR="00440DEE" w:rsidRPr="00440DEE">
        <w:rPr>
          <w:i/>
        </w:rPr>
        <w:t>PR-1</w:t>
      </w:r>
      <w:r w:rsidR="00440DEE" w:rsidRPr="00440DEE">
        <w:t xml:space="preserve"> </w:t>
      </w:r>
      <w:r w:rsidR="005A0977">
        <w:t xml:space="preserve">expression </w:t>
      </w:r>
      <w:r w:rsidR="004C20DE">
        <w:t>even reached almost WT-</w:t>
      </w:r>
      <w:r w:rsidR="00440DEE" w:rsidRPr="00440DEE">
        <w:t xml:space="preserve">levels in </w:t>
      </w:r>
      <w:r w:rsidR="00440DEE" w:rsidRPr="00440DEE">
        <w:rPr>
          <w:i/>
        </w:rPr>
        <w:t>ald1</w:t>
      </w:r>
      <w:r w:rsidR="00440DEE" w:rsidRPr="00440DEE">
        <w:t xml:space="preserve"> plants exogenously supplied with Pip, but not in the </w:t>
      </w:r>
      <w:r w:rsidR="00440DEE" w:rsidRPr="00440DEE">
        <w:rPr>
          <w:i/>
        </w:rPr>
        <w:t>sid2 ald1</w:t>
      </w:r>
      <w:r w:rsidR="00440DEE" w:rsidRPr="00440DEE">
        <w:t xml:space="preserve"> d</w:t>
      </w:r>
      <w:r w:rsidR="001A7893">
        <w:t>ouble mutant (Figure 28</w:t>
      </w:r>
      <w:r w:rsidR="005A0977">
        <w:t xml:space="preserve"> </w:t>
      </w:r>
      <w:r w:rsidR="00E227EF">
        <w:t>F</w:t>
      </w:r>
      <w:r w:rsidR="00440DEE" w:rsidRPr="00440DEE">
        <w:t xml:space="preserve">). This shows that in </w:t>
      </w:r>
      <w:r w:rsidR="00440DEE" w:rsidRPr="00440DEE">
        <w:rPr>
          <w:i/>
        </w:rPr>
        <w:t>ald1</w:t>
      </w:r>
      <w:r w:rsidR="005A0977">
        <w:t xml:space="preserve"> plants provided with </w:t>
      </w:r>
      <w:r w:rsidR="00F32E71">
        <w:t>Pip</w:t>
      </w:r>
      <w:r w:rsidR="005A0977">
        <w:t>,</w:t>
      </w:r>
      <w:r w:rsidR="00D33281">
        <w:t xml:space="preserve"> primed expression</w:t>
      </w:r>
      <w:r w:rsidR="00440DEE" w:rsidRPr="00440DEE">
        <w:t xml:space="preserve"> of </w:t>
      </w:r>
      <w:r w:rsidR="00D33281">
        <w:t xml:space="preserve">the SA-dependent </w:t>
      </w:r>
      <w:r w:rsidR="00D33281" w:rsidRPr="00D33281">
        <w:rPr>
          <w:i/>
        </w:rPr>
        <w:t>PR-1</w:t>
      </w:r>
      <w:r w:rsidR="00D33281">
        <w:t xml:space="preserve"> gene</w:t>
      </w:r>
      <w:r w:rsidR="00440DEE" w:rsidRPr="00440DEE">
        <w:t xml:space="preserve"> can be p</w:t>
      </w:r>
      <w:r w:rsidR="00FA032C">
        <w:t>artially</w:t>
      </w:r>
      <w:r w:rsidR="005A0977">
        <w:t xml:space="preserve"> restored. </w:t>
      </w:r>
      <w:r w:rsidR="00E90564">
        <w:t>These data allow the conclusion</w:t>
      </w:r>
      <w:r w:rsidR="00E90564" w:rsidRPr="00E90564">
        <w:t xml:space="preserve"> that Pip is essential for defence priming of</w:t>
      </w:r>
      <w:r w:rsidR="00F32E71">
        <w:t xml:space="preserve"> both</w:t>
      </w:r>
      <w:r w:rsidR="00E90564" w:rsidRPr="00E90564">
        <w:t xml:space="preserve"> the </w:t>
      </w:r>
      <w:r w:rsidR="00FA032C">
        <w:t>majority of SA-independent and -</w:t>
      </w:r>
      <w:r w:rsidR="00E90564" w:rsidRPr="00E90564">
        <w:t>dependen</w:t>
      </w:r>
      <w:r w:rsidR="00F32E71">
        <w:t>t defence-related genes, whereas SA-</w:t>
      </w:r>
      <w:r w:rsidR="00E90564" w:rsidRPr="00E90564">
        <w:t xml:space="preserve">accumulation is necessary for primed expression of SA-dependent genes. These data also show that for primed expression of certain SA-independent genes, for instance </w:t>
      </w:r>
      <w:r w:rsidR="00E90564" w:rsidRPr="00E90564">
        <w:rPr>
          <w:i/>
        </w:rPr>
        <w:t>FMO1</w:t>
      </w:r>
      <w:r w:rsidR="00E90564" w:rsidRPr="00E90564">
        <w:t>, the amount of exoge</w:t>
      </w:r>
      <w:r w:rsidR="00D83BE8">
        <w:t xml:space="preserve">nously applied </w:t>
      </w:r>
      <w:r w:rsidR="00F32E71">
        <w:t>Pip</w:t>
      </w:r>
      <w:r w:rsidR="00D83BE8">
        <w:t xml:space="preserve"> seems to be</w:t>
      </w:r>
      <w:r w:rsidR="00E90564" w:rsidRPr="00E90564">
        <w:t xml:space="preserve"> </w:t>
      </w:r>
      <w:r w:rsidR="00D83BE8">
        <w:t>in</w:t>
      </w:r>
      <w:r w:rsidR="00E90564" w:rsidRPr="00E90564">
        <w:t xml:space="preserve">sufficient and needs to be boosted by the feedback amplification loop consisting of </w:t>
      </w:r>
      <w:r w:rsidR="00E90564" w:rsidRPr="00E90564">
        <w:rPr>
          <w:i/>
        </w:rPr>
        <w:t>ALD1, FMO1</w:t>
      </w:r>
      <w:r w:rsidR="00E90564" w:rsidRPr="00E90564">
        <w:t xml:space="preserve">, and </w:t>
      </w:r>
      <w:r w:rsidR="00E90564" w:rsidRPr="00E90564">
        <w:rPr>
          <w:i/>
        </w:rPr>
        <w:t>ICS1</w:t>
      </w:r>
      <w:r w:rsidR="00E90564" w:rsidRPr="00E90564">
        <w:t xml:space="preserve"> (Figure 6). To shed more light on the role of interplay between Pip and SA in priming, a larger set of genes should be analysed in </w:t>
      </w:r>
      <w:r w:rsidR="00E90564" w:rsidRPr="00E90564">
        <w:rPr>
          <w:i/>
        </w:rPr>
        <w:t>ald1, sid2</w:t>
      </w:r>
      <w:r w:rsidR="00E90564" w:rsidRPr="00E90564">
        <w:t xml:space="preserve"> and </w:t>
      </w:r>
      <w:r w:rsidR="00E90564" w:rsidRPr="00E90564">
        <w:rPr>
          <w:i/>
        </w:rPr>
        <w:t>sid2 ald1</w:t>
      </w:r>
      <w:r w:rsidR="00E90564" w:rsidRPr="00E90564">
        <w:t xml:space="preserve"> in future experiments. This can be achieved by including </w:t>
      </w:r>
      <w:r w:rsidR="00E90564" w:rsidRPr="00E90564">
        <w:rPr>
          <w:i/>
        </w:rPr>
        <w:t>sid2</w:t>
      </w:r>
      <w:r w:rsidR="00E90564" w:rsidRPr="00E90564">
        <w:t xml:space="preserve"> and </w:t>
      </w:r>
      <w:r w:rsidR="00E90564" w:rsidRPr="00E90564">
        <w:rPr>
          <w:i/>
        </w:rPr>
        <w:t>sid2 ald1</w:t>
      </w:r>
      <w:r w:rsidR="00E90564" w:rsidRPr="00E90564">
        <w:t xml:space="preserve"> into the set of mutant lines analysed in defence and Pip-induced priming.</w:t>
      </w:r>
    </w:p>
    <w:p w:rsidR="00B517AA" w:rsidRDefault="00B517AA" w:rsidP="00443DBC">
      <w:pPr>
        <w:pStyle w:val="berschrift2"/>
        <w:jc w:val="both"/>
        <w:rPr>
          <w:color w:val="000000" w:themeColor="text1"/>
        </w:rPr>
      </w:pPr>
    </w:p>
    <w:p w:rsidR="00443DBC" w:rsidRPr="00443DBC" w:rsidRDefault="00443DBC" w:rsidP="00443DBC">
      <w:pPr>
        <w:sectPr w:rsidR="00443DBC" w:rsidRPr="00443DBC" w:rsidSect="00B517AA">
          <w:type w:val="continuous"/>
          <w:pgSz w:w="11906" w:h="16838"/>
          <w:pgMar w:top="1417" w:right="1417" w:bottom="1134" w:left="1417" w:header="708" w:footer="708" w:gutter="0"/>
          <w:cols w:space="708"/>
          <w:titlePg/>
          <w:docGrid w:linePitch="360"/>
        </w:sectPr>
      </w:pPr>
    </w:p>
    <w:p w:rsidR="001A7893" w:rsidRPr="001A7893" w:rsidRDefault="00563EC1" w:rsidP="001A7893">
      <w:pPr>
        <w:pStyle w:val="berschrift2"/>
        <w:spacing w:after="240"/>
        <w:jc w:val="both"/>
        <w:rPr>
          <w:color w:val="000000" w:themeColor="text1"/>
        </w:rPr>
      </w:pPr>
      <w:bookmarkStart w:id="113" w:name="_Toc435621255"/>
      <w:r>
        <w:rPr>
          <w:color w:val="000000" w:themeColor="text1"/>
        </w:rPr>
        <w:lastRenderedPageBreak/>
        <w:t xml:space="preserve">7.3 </w:t>
      </w:r>
      <w:r w:rsidR="001A7893" w:rsidRPr="001A7893">
        <w:rPr>
          <w:color w:val="000000" w:themeColor="text1"/>
        </w:rPr>
        <w:t xml:space="preserve">The flavin-dependent monoxygenase FMO1 is a crucial regulator of </w:t>
      </w:r>
      <w:r w:rsidR="00F32E71">
        <w:rPr>
          <w:color w:val="000000" w:themeColor="text1"/>
        </w:rPr>
        <w:t>Pip</w:t>
      </w:r>
      <w:r w:rsidR="001A7893" w:rsidRPr="001A7893">
        <w:rPr>
          <w:color w:val="000000" w:themeColor="text1"/>
        </w:rPr>
        <w:t>-induced priming of gene expression and camalexin accumulation</w:t>
      </w:r>
      <w:bookmarkEnd w:id="113"/>
    </w:p>
    <w:p w:rsidR="00440DEE" w:rsidRPr="00440DEE" w:rsidRDefault="005A0977" w:rsidP="00301015">
      <w:pPr>
        <w:spacing w:after="0" w:line="360" w:lineRule="auto"/>
        <w:jc w:val="both"/>
      </w:pPr>
      <w:r>
        <w:t>The flavin-dependent monooxygenase</w:t>
      </w:r>
      <w:r w:rsidR="00440DEE" w:rsidRPr="00440DEE">
        <w:t xml:space="preserve"> </w:t>
      </w:r>
      <w:r w:rsidR="00440DEE" w:rsidRPr="0013633D">
        <w:t>FMO1</w:t>
      </w:r>
      <w:r w:rsidR="00440DEE" w:rsidRPr="00440DEE">
        <w:t xml:space="preserve"> </w:t>
      </w:r>
      <w:r>
        <w:t xml:space="preserve">can be established </w:t>
      </w:r>
      <w:r w:rsidR="00440DEE" w:rsidRPr="00440DEE">
        <w:t>as the second critical regulator</w:t>
      </w:r>
      <w:r w:rsidR="00984E3F">
        <w:t xml:space="preserve">, besides </w:t>
      </w:r>
      <w:r w:rsidR="00984E3F" w:rsidRPr="00984E3F">
        <w:rPr>
          <w:i/>
        </w:rPr>
        <w:t>ALD1</w:t>
      </w:r>
      <w:r w:rsidR="00984E3F">
        <w:t>,</w:t>
      </w:r>
      <w:r w:rsidR="00440DEE" w:rsidRPr="00440DEE">
        <w:t xml:space="preserve"> for defence priming in </w:t>
      </w:r>
      <w:r w:rsidR="00440DEE" w:rsidRPr="00440DEE">
        <w:rPr>
          <w:i/>
        </w:rPr>
        <w:t>Arabidopsis</w:t>
      </w:r>
      <w:r w:rsidR="00440DEE" w:rsidRPr="00440DEE">
        <w:t xml:space="preserve">. </w:t>
      </w:r>
      <w:r w:rsidR="00A45EC1">
        <w:t>This function</w:t>
      </w:r>
      <w:r w:rsidR="00383EEF">
        <w:t xml:space="preserve"> can be expl</w:t>
      </w:r>
      <w:r w:rsidR="0013633D">
        <w:t>ained by the</w:t>
      </w:r>
      <w:r w:rsidR="00885488">
        <w:t xml:space="preserve"> hypothesis that </w:t>
      </w:r>
      <w:r w:rsidR="008D5995">
        <w:t>Pip</w:t>
      </w:r>
      <w:r w:rsidR="0013633D">
        <w:t xml:space="preserve"> is a substrate of</w:t>
      </w:r>
      <w:r w:rsidR="00383EEF">
        <w:t xml:space="preserve"> </w:t>
      </w:r>
      <w:r w:rsidR="00383EEF" w:rsidRPr="0013633D">
        <w:t>FMO1</w:t>
      </w:r>
      <w:r w:rsidR="00383EEF">
        <w:t>, leading to a modified and thus activated form of Pip (Zeier, 2013).</w:t>
      </w:r>
      <w:r w:rsidR="00301015">
        <w:t xml:space="preserve"> </w:t>
      </w:r>
      <w:r w:rsidR="006F1319">
        <w:t xml:space="preserve">As </w:t>
      </w:r>
      <w:r w:rsidR="008D5995">
        <w:t>Pip</w:t>
      </w:r>
      <w:r w:rsidR="00440DEE" w:rsidRPr="00440DEE">
        <w:t xml:space="preserve"> was able to restore priming of </w:t>
      </w:r>
      <w:r w:rsidR="00440DEE" w:rsidRPr="00440DEE">
        <w:rPr>
          <w:i/>
        </w:rPr>
        <w:t>PR-1</w:t>
      </w:r>
      <w:r w:rsidR="00440DEE" w:rsidRPr="00440DEE">
        <w:t xml:space="preserve"> expression in </w:t>
      </w:r>
      <w:r w:rsidR="00440DEE" w:rsidRPr="00440DEE">
        <w:rPr>
          <w:i/>
        </w:rPr>
        <w:t>ald1</w:t>
      </w:r>
      <w:r w:rsidR="00440DEE" w:rsidRPr="00440DEE">
        <w:t xml:space="preserve">, the possibility to restore Pip-induced priming in </w:t>
      </w:r>
      <w:r w:rsidR="00440DEE" w:rsidRPr="00440DEE">
        <w:rPr>
          <w:i/>
        </w:rPr>
        <w:t>fmo1</w:t>
      </w:r>
      <w:r w:rsidR="00E43710">
        <w:t xml:space="preserve"> was analysed </w:t>
      </w:r>
      <w:r w:rsidR="0013633D">
        <w:t xml:space="preserve">as well </w:t>
      </w:r>
      <w:r w:rsidR="00E43710">
        <w:t>(Figure 29</w:t>
      </w:r>
      <w:r w:rsidR="00440DEE" w:rsidRPr="00440DEE">
        <w:t xml:space="preserve">). Supplying </w:t>
      </w:r>
      <w:r w:rsidR="00440DEE" w:rsidRPr="00440DEE">
        <w:rPr>
          <w:i/>
        </w:rPr>
        <w:t>fmo1</w:t>
      </w:r>
      <w:r w:rsidR="00440DEE" w:rsidRPr="00440DEE">
        <w:t xml:space="preserve"> plants with Pip did not restore priming of gene expression of the SA-independent genes </w:t>
      </w:r>
      <w:r w:rsidR="00440DEE" w:rsidRPr="00440DEE">
        <w:rPr>
          <w:i/>
        </w:rPr>
        <w:t>ALD1</w:t>
      </w:r>
      <w:r w:rsidR="00E43710">
        <w:t xml:space="preserve"> (Figure 29</w:t>
      </w:r>
      <w:r w:rsidR="006F1319">
        <w:t xml:space="preserve"> A</w:t>
      </w:r>
      <w:r w:rsidR="00440DEE" w:rsidRPr="00440DEE">
        <w:t xml:space="preserve">) and </w:t>
      </w:r>
      <w:r w:rsidR="00440DEE" w:rsidRPr="00440DEE">
        <w:rPr>
          <w:i/>
        </w:rPr>
        <w:t>SAG13</w:t>
      </w:r>
      <w:r w:rsidR="00440DEE" w:rsidRPr="00440DEE">
        <w:t xml:space="preserve"> (Figure </w:t>
      </w:r>
      <w:r w:rsidR="00E43710">
        <w:t>29</w:t>
      </w:r>
      <w:r w:rsidR="006F1319">
        <w:t xml:space="preserve"> C</w:t>
      </w:r>
      <w:r w:rsidR="00440DEE" w:rsidRPr="00440DEE">
        <w:t xml:space="preserve">), as well as the SA-dependent gene </w:t>
      </w:r>
      <w:r w:rsidR="00440DEE" w:rsidRPr="00440DEE">
        <w:rPr>
          <w:i/>
        </w:rPr>
        <w:t>PR-1</w:t>
      </w:r>
      <w:r w:rsidR="00E43710">
        <w:t xml:space="preserve"> (Figure 29</w:t>
      </w:r>
      <w:r w:rsidR="006F1319">
        <w:t xml:space="preserve"> B</w:t>
      </w:r>
      <w:r w:rsidR="00440DEE" w:rsidRPr="00440DEE">
        <w:t xml:space="preserve">), respectively. Pip-induced priming of camalexin accumulation was also not possible in </w:t>
      </w:r>
      <w:r w:rsidR="00440DEE" w:rsidRPr="00440DEE">
        <w:rPr>
          <w:i/>
        </w:rPr>
        <w:t>fmo1</w:t>
      </w:r>
      <w:r w:rsidR="00E43710">
        <w:t xml:space="preserve"> plants (Figure 29</w:t>
      </w:r>
      <w:r w:rsidR="008D5995">
        <w:t xml:space="preserve"> E). These</w:t>
      </w:r>
      <w:r w:rsidR="006F1319">
        <w:t xml:space="preserve"> result</w:t>
      </w:r>
      <w:r w:rsidR="008D5995">
        <w:t>s strengthen</w:t>
      </w:r>
      <w:r w:rsidR="006F1319">
        <w:t xml:space="preserve"> the theory</w:t>
      </w:r>
      <w:r w:rsidR="00440DEE" w:rsidRPr="00440DEE">
        <w:t xml:space="preserve"> that </w:t>
      </w:r>
      <w:r w:rsidR="00440DEE" w:rsidRPr="00440DEE">
        <w:rPr>
          <w:i/>
        </w:rPr>
        <w:t>FMO1</w:t>
      </w:r>
      <w:r w:rsidR="00440DEE" w:rsidRPr="00440DEE">
        <w:t xml:space="preserve"> translates the Pip-generated signal into the actual priming response, as this process is no longer possible in the </w:t>
      </w:r>
      <w:r w:rsidR="00440DEE" w:rsidRPr="00440DEE">
        <w:rPr>
          <w:i/>
        </w:rPr>
        <w:t>fmo1</w:t>
      </w:r>
      <w:r w:rsidR="00301015">
        <w:t xml:space="preserve"> mutant line. </w:t>
      </w:r>
      <w:r w:rsidR="00175611">
        <w:t>An</w:t>
      </w:r>
      <w:r w:rsidR="00885488">
        <w:t xml:space="preserve"> important question</w:t>
      </w:r>
      <w:r w:rsidR="00175611">
        <w:t xml:space="preserve"> to find answer</w:t>
      </w:r>
      <w:r w:rsidR="00A45EC1">
        <w:t>s</w:t>
      </w:r>
      <w:r w:rsidR="00175611">
        <w:t xml:space="preserve"> for in future experiments</w:t>
      </w:r>
      <w:r w:rsidR="00A45EC1">
        <w:t xml:space="preserve"> besides the role of Pip- and SA-mediated signalling in defence </w:t>
      </w:r>
      <w:proofErr w:type="gramStart"/>
      <w:r w:rsidR="00A45EC1">
        <w:t>priming,</w:t>
      </w:r>
      <w:proofErr w:type="gramEnd"/>
      <w:r w:rsidR="00885488">
        <w:t xml:space="preserve"> is</w:t>
      </w:r>
      <w:r w:rsidR="00440DEE" w:rsidRPr="00440DEE">
        <w:t xml:space="preserve"> how the priming signal is stored in plant cells to be released so fast upon subsequent pathogen attack. Recently, attention moved more and more to</w:t>
      </w:r>
      <w:r w:rsidR="008D5995">
        <w:t>wards</w:t>
      </w:r>
      <w:r w:rsidR="00440DEE" w:rsidRPr="00440DEE">
        <w:t xml:space="preserve"> epigenetic changes to ensure a longer alert state for the plant than conferred by metabolic changes (Bruce </w:t>
      </w:r>
      <w:r w:rsidR="00440DEE" w:rsidRPr="00440DEE">
        <w:rPr>
          <w:i/>
        </w:rPr>
        <w:t>et al</w:t>
      </w:r>
      <w:r w:rsidR="00440DEE" w:rsidRPr="00440DEE">
        <w:t>., 2007). An example for such epigenetic changes without changing the DNA sequence is chromatin modification and remodelling (Conrath, 2011</w:t>
      </w:r>
      <w:r w:rsidR="009C7E13">
        <w:t xml:space="preserve">; Jaskiewicz </w:t>
      </w:r>
      <w:r w:rsidR="009C7E13" w:rsidRPr="009C7E13">
        <w:rPr>
          <w:i/>
        </w:rPr>
        <w:t>et al</w:t>
      </w:r>
      <w:r w:rsidR="009C7E13">
        <w:t>., 2011</w:t>
      </w:r>
      <w:r w:rsidR="00440DEE" w:rsidRPr="00440DEE">
        <w:t>). Genetic information in a cell is tightly packed in chromatin, with the basic chromatin structure being the nucleosome, a protein structure of eight histone proteins</w:t>
      </w:r>
      <w:r w:rsidR="009C7E13">
        <w:t xml:space="preserve"> the</w:t>
      </w:r>
      <w:r w:rsidR="00440DEE" w:rsidRPr="00440DEE">
        <w:t xml:space="preserve"> DNA is associated with. These histone proteins can be modified by acetylation of </w:t>
      </w:r>
      <w:r w:rsidR="008D5995">
        <w:t>Lys</w:t>
      </w:r>
      <w:r w:rsidR="00984E3F">
        <w:t>-</w:t>
      </w:r>
      <w:r w:rsidR="00440DEE" w:rsidRPr="00440DEE">
        <w:t xml:space="preserve"> and methylation of </w:t>
      </w:r>
      <w:r w:rsidR="008D5995">
        <w:t>Lys</w:t>
      </w:r>
      <w:r w:rsidR="00984E3F">
        <w:t>-</w:t>
      </w:r>
      <w:r w:rsidR="00440DEE" w:rsidRPr="00440DEE">
        <w:t xml:space="preserve"> and </w:t>
      </w:r>
      <w:r w:rsidR="008D5995">
        <w:t>Arg</w:t>
      </w:r>
      <w:r w:rsidR="00984E3F">
        <w:t>-</w:t>
      </w:r>
      <w:r w:rsidR="00440DEE" w:rsidRPr="00440DEE">
        <w:t xml:space="preserve">residues in the protein structure. Acetylation and triple methylation of </w:t>
      </w:r>
      <w:r w:rsidR="008D5995">
        <w:t>Lys</w:t>
      </w:r>
      <w:r w:rsidR="00984E3F">
        <w:t xml:space="preserve">-residues </w:t>
      </w:r>
      <w:r w:rsidR="00440DEE" w:rsidRPr="00440DEE">
        <w:t xml:space="preserve">was shown previously to be associated with active genes (Eberharter and Becker, 2002; Ruthenburg </w:t>
      </w:r>
      <w:r w:rsidR="00440DEE" w:rsidRPr="00440DEE">
        <w:rPr>
          <w:i/>
        </w:rPr>
        <w:t>et al</w:t>
      </w:r>
      <w:r w:rsidR="00440DEE" w:rsidRPr="00440DEE">
        <w:t xml:space="preserve">., 2007; Jaskiewicz </w:t>
      </w:r>
      <w:r w:rsidR="00440DEE" w:rsidRPr="00440DEE">
        <w:rPr>
          <w:i/>
        </w:rPr>
        <w:t>et al</w:t>
      </w:r>
      <w:r w:rsidR="00440DEE" w:rsidRPr="00440DEE">
        <w:t>., 2011). Genes showing these kinds of chromatin modification can be “ma</w:t>
      </w:r>
      <w:r w:rsidR="00885488">
        <w:t>rked” for fast transcription</w:t>
      </w:r>
      <w:r w:rsidR="008D5995">
        <w:t xml:space="preserve"> upon perception of pathogen-</w:t>
      </w:r>
      <w:r w:rsidR="009C7E13">
        <w:t>elicited signals by the plant cell</w:t>
      </w:r>
      <w:r w:rsidR="00440DEE" w:rsidRPr="00440DEE">
        <w:t xml:space="preserve"> (Jaskiewicz </w:t>
      </w:r>
      <w:r w:rsidR="00440DEE" w:rsidRPr="00440DEE">
        <w:rPr>
          <w:i/>
        </w:rPr>
        <w:t>et al</w:t>
      </w:r>
      <w:r w:rsidR="00440DEE" w:rsidRPr="00440DEE">
        <w:t xml:space="preserve">., 2011). It was also shown that epigenetic changes can be transferred vertically over several plant generations (Luna </w:t>
      </w:r>
      <w:r w:rsidR="00440DEE" w:rsidRPr="00440DEE">
        <w:rPr>
          <w:i/>
        </w:rPr>
        <w:t>et al.,</w:t>
      </w:r>
      <w:r w:rsidR="00440DEE" w:rsidRPr="00440DEE">
        <w:t xml:space="preserve"> 2012). Analysis of epigenetic changes in defence priming and Pip-induced priming in Col-0, </w:t>
      </w:r>
      <w:r w:rsidR="00440DEE" w:rsidRPr="00440DEE">
        <w:rPr>
          <w:i/>
        </w:rPr>
        <w:t>ald1, fmo1, sid2</w:t>
      </w:r>
      <w:r w:rsidR="00440DEE" w:rsidRPr="00440DEE">
        <w:t xml:space="preserve">, and </w:t>
      </w:r>
      <w:r w:rsidR="00440DEE" w:rsidRPr="00440DEE">
        <w:rPr>
          <w:i/>
        </w:rPr>
        <w:t>sid2 ald1</w:t>
      </w:r>
      <w:r w:rsidR="00440DEE" w:rsidRPr="00440DEE">
        <w:t xml:space="preserve"> would grant valuable insight into the mechanism of storing the priming signal. </w:t>
      </w:r>
      <w:r w:rsidR="00C806C8">
        <w:t xml:space="preserve">Singh </w:t>
      </w:r>
      <w:r w:rsidR="00C806C8" w:rsidRPr="00C806C8">
        <w:rPr>
          <w:i/>
        </w:rPr>
        <w:t>et al</w:t>
      </w:r>
      <w:r w:rsidR="00C806C8">
        <w:t xml:space="preserve">. </w:t>
      </w:r>
      <w:r w:rsidR="008D5995">
        <w:t xml:space="preserve">(2014) </w:t>
      </w:r>
      <w:r w:rsidR="00C806C8">
        <w:t xml:space="preserve">were </w:t>
      </w:r>
      <w:r w:rsidR="00984E3F">
        <w:t xml:space="preserve">also </w:t>
      </w:r>
      <w:r w:rsidR="00C806C8">
        <w:t xml:space="preserve">able to show that epigenetic markers on primed genes are modulated in a HISTONE ACETYLTRANSFERASE1-dependent manner and </w:t>
      </w:r>
      <w:r w:rsidR="00984E3F">
        <w:t xml:space="preserve">can </w:t>
      </w:r>
      <w:r w:rsidR="00C806C8">
        <w:t xml:space="preserve">influence defence mechanisms in that way. To find out if this mechanism also plays a role in Pip-dependent priming or Pip-induced defence priming, the </w:t>
      </w:r>
      <w:r w:rsidR="00C806C8" w:rsidRPr="00C806C8">
        <w:rPr>
          <w:i/>
        </w:rPr>
        <w:t>hac1-1</w:t>
      </w:r>
      <w:r w:rsidR="00C806C8">
        <w:t xml:space="preserve"> (</w:t>
      </w:r>
      <w:r w:rsidR="00C806C8" w:rsidRPr="00C806C8">
        <w:rPr>
          <w:i/>
        </w:rPr>
        <w:t>histone acetyltransferase1-1</w:t>
      </w:r>
      <w:r w:rsidR="00C806C8">
        <w:t xml:space="preserve">) mutant </w:t>
      </w:r>
      <w:r w:rsidR="008D5995">
        <w:t>could</w:t>
      </w:r>
      <w:r w:rsidR="00C806C8">
        <w:t xml:space="preserve"> be included in future studies.</w:t>
      </w:r>
    </w:p>
    <w:p w:rsidR="00443DBC" w:rsidRDefault="00443DBC" w:rsidP="00443DBC">
      <w:pPr>
        <w:pStyle w:val="berschrift2"/>
        <w:jc w:val="both"/>
        <w:rPr>
          <w:color w:val="auto"/>
        </w:rPr>
        <w:sectPr w:rsidR="00443DBC" w:rsidSect="00B517AA">
          <w:type w:val="continuous"/>
          <w:pgSz w:w="11906" w:h="16838"/>
          <w:pgMar w:top="1417" w:right="1417" w:bottom="1134" w:left="1417" w:header="708" w:footer="708" w:gutter="0"/>
          <w:cols w:space="708"/>
          <w:titlePg/>
          <w:docGrid w:linePitch="360"/>
        </w:sectPr>
      </w:pPr>
    </w:p>
    <w:p w:rsidR="00440DEE" w:rsidRPr="000D6F0C" w:rsidRDefault="00563EC1" w:rsidP="000D6F0C">
      <w:pPr>
        <w:pStyle w:val="berschrift2"/>
        <w:spacing w:after="240"/>
        <w:jc w:val="both"/>
        <w:rPr>
          <w:color w:val="auto"/>
        </w:rPr>
      </w:pPr>
      <w:bookmarkStart w:id="114" w:name="_Toc435621256"/>
      <w:r>
        <w:rPr>
          <w:color w:val="auto"/>
        </w:rPr>
        <w:lastRenderedPageBreak/>
        <w:t xml:space="preserve">7.4 </w:t>
      </w:r>
      <w:r w:rsidR="00DC0F58">
        <w:rPr>
          <w:color w:val="auto"/>
        </w:rPr>
        <w:t xml:space="preserve">A minor role for </w:t>
      </w:r>
      <w:r w:rsidR="00984E3F">
        <w:rPr>
          <w:color w:val="auto"/>
        </w:rPr>
        <w:t>MAPK</w:t>
      </w:r>
      <w:r w:rsidR="00DC0F58">
        <w:rPr>
          <w:color w:val="auto"/>
        </w:rPr>
        <w:t xml:space="preserve"> signalling </w:t>
      </w:r>
      <w:r w:rsidR="00440DEE" w:rsidRPr="000D6F0C">
        <w:rPr>
          <w:color w:val="auto"/>
        </w:rPr>
        <w:t>in defence priming</w:t>
      </w:r>
      <w:bookmarkEnd w:id="114"/>
    </w:p>
    <w:p w:rsidR="00A5297C" w:rsidRDefault="00440DEE" w:rsidP="00301015">
      <w:pPr>
        <w:spacing w:after="0" w:line="360" w:lineRule="auto"/>
        <w:jc w:val="both"/>
      </w:pPr>
      <w:r w:rsidRPr="00440DEE">
        <w:t xml:space="preserve">In 2009 Beckers </w:t>
      </w:r>
      <w:r w:rsidRPr="00440DEE">
        <w:rPr>
          <w:i/>
        </w:rPr>
        <w:t>et al</w:t>
      </w:r>
      <w:r w:rsidRPr="00440DEE">
        <w:t xml:space="preserve">. published results showing that </w:t>
      </w:r>
      <w:r w:rsidR="00DC0F58">
        <w:t>MPK3</w:t>
      </w:r>
      <w:r w:rsidRPr="00440DEE">
        <w:t xml:space="preserve"> and </w:t>
      </w:r>
      <w:r w:rsidR="00DC0F58">
        <w:t>MPK6</w:t>
      </w:r>
      <w:r w:rsidRPr="00440DEE">
        <w:t xml:space="preserve"> are required for full priming in </w:t>
      </w:r>
      <w:r w:rsidRPr="00440DEE">
        <w:rPr>
          <w:i/>
        </w:rPr>
        <w:t>Arabidopsis</w:t>
      </w:r>
      <w:r w:rsidRPr="00440DEE">
        <w:t>. They showed that mRNA</w:t>
      </w:r>
      <w:r w:rsidR="00984E3F">
        <w:t xml:space="preserve"> for</w:t>
      </w:r>
      <w:r w:rsidRPr="00440DEE">
        <w:t xml:space="preserve"> and inactive proteins of MPK</w:t>
      </w:r>
      <w:r w:rsidR="00984E3F">
        <w:t>3 and MPK6 accumulate after BTH-</w:t>
      </w:r>
      <w:r w:rsidRPr="00440DEE">
        <w:t>treatment, that priming of defence</w:t>
      </w:r>
      <w:r w:rsidR="00984E3F">
        <w:t>-related</w:t>
      </w:r>
      <w:r w:rsidRPr="00440DEE">
        <w:t xml:space="preserve"> gene expression (</w:t>
      </w:r>
      <w:r w:rsidRPr="00440DEE">
        <w:rPr>
          <w:i/>
        </w:rPr>
        <w:t>PR-1</w:t>
      </w:r>
      <w:r w:rsidRPr="00440DEE">
        <w:t xml:space="preserve"> and </w:t>
      </w:r>
      <w:r w:rsidRPr="00440DEE">
        <w:rPr>
          <w:i/>
        </w:rPr>
        <w:t>PAL1</w:t>
      </w:r>
      <w:r w:rsidRPr="00440DEE">
        <w:t xml:space="preserve">) and BTH-induced resistance are completely lost in </w:t>
      </w:r>
      <w:r w:rsidRPr="00440DEE">
        <w:rPr>
          <w:i/>
        </w:rPr>
        <w:t>mpk3</w:t>
      </w:r>
      <w:r w:rsidRPr="00440DEE">
        <w:t xml:space="preserve"> and </w:t>
      </w:r>
      <w:r w:rsidRPr="00440DEE">
        <w:rPr>
          <w:i/>
        </w:rPr>
        <w:t>mpk6</w:t>
      </w:r>
      <w:r w:rsidRPr="00440DEE">
        <w:t xml:space="preserve">, and that SAR is abolished in </w:t>
      </w:r>
      <w:r w:rsidRPr="00440DEE">
        <w:rPr>
          <w:i/>
        </w:rPr>
        <w:t>mpk3</w:t>
      </w:r>
      <w:r w:rsidR="00D201A2">
        <w:t>. In</w:t>
      </w:r>
      <w:r w:rsidR="00175611">
        <w:t xml:space="preserve"> experiments</w:t>
      </w:r>
      <w:r w:rsidR="00D201A2">
        <w:t xml:space="preserve"> done</w:t>
      </w:r>
      <w:r w:rsidR="00175611">
        <w:t xml:space="preserve"> for this work,</w:t>
      </w:r>
      <w:r w:rsidRPr="00440DEE">
        <w:t xml:space="preserve"> the same mutant lines</w:t>
      </w:r>
      <w:r w:rsidR="00175611">
        <w:t xml:space="preserve"> as in the Beckers </w:t>
      </w:r>
      <w:r w:rsidR="00175611" w:rsidRPr="00175611">
        <w:rPr>
          <w:i/>
        </w:rPr>
        <w:t>et al.</w:t>
      </w:r>
      <w:r w:rsidR="00175611">
        <w:t xml:space="preserve"> </w:t>
      </w:r>
      <w:r w:rsidR="00DC0F58">
        <w:t>(</w:t>
      </w:r>
      <w:r w:rsidR="00175611">
        <w:t>2009</w:t>
      </w:r>
      <w:r w:rsidR="00DC0F58">
        <w:t>)</w:t>
      </w:r>
      <w:r w:rsidR="00175611">
        <w:t xml:space="preserve"> publication</w:t>
      </w:r>
      <w:r w:rsidRPr="00440DEE">
        <w:t xml:space="preserve"> and </w:t>
      </w:r>
      <w:r w:rsidR="00175611">
        <w:t xml:space="preserve">additionally </w:t>
      </w:r>
      <w:r w:rsidRPr="00440DEE">
        <w:t xml:space="preserve">the </w:t>
      </w:r>
      <w:r w:rsidRPr="00440DEE">
        <w:rPr>
          <w:i/>
        </w:rPr>
        <w:t>mpk3 mpk6</w:t>
      </w:r>
      <w:r w:rsidRPr="00440DEE">
        <w:t xml:space="preserve"> </w:t>
      </w:r>
      <w:r w:rsidR="00DC0F58">
        <w:t xml:space="preserve">(+/-) </w:t>
      </w:r>
      <w:r w:rsidRPr="00440DEE">
        <w:t>double mu</w:t>
      </w:r>
      <w:r w:rsidR="00175611">
        <w:t>tant were used</w:t>
      </w:r>
      <w:r w:rsidR="00301015">
        <w:t xml:space="preserve">. </w:t>
      </w:r>
      <w:r w:rsidR="00D201A2">
        <w:t>A first step in the</w:t>
      </w:r>
      <w:r w:rsidRPr="00440DEE">
        <w:t xml:space="preserve"> analyses concerning the role of MAPKs in priming was to test the SAR response and Pip-induced resistance in these lines. </w:t>
      </w:r>
      <w:r w:rsidR="00DC0F58">
        <w:t>SAR</w:t>
      </w:r>
      <w:r w:rsidR="00D201A2">
        <w:t xml:space="preserve"> was not</w:t>
      </w:r>
      <w:r w:rsidRPr="00440DEE">
        <w:t xml:space="preserve"> impaired in </w:t>
      </w:r>
      <w:r w:rsidRPr="00440DEE">
        <w:rPr>
          <w:i/>
        </w:rPr>
        <w:t>mpk3</w:t>
      </w:r>
      <w:r w:rsidRPr="00440DEE">
        <w:t xml:space="preserve"> or </w:t>
      </w:r>
      <w:r w:rsidRPr="00440DEE">
        <w:rPr>
          <w:i/>
        </w:rPr>
        <w:t>mpk6</w:t>
      </w:r>
      <w:r w:rsidR="00984E3F">
        <w:t xml:space="preserve"> and only</w:t>
      </w:r>
      <w:r w:rsidRPr="00440DEE">
        <w:t xml:space="preserve"> slightly reduced in </w:t>
      </w:r>
      <w:r w:rsidRPr="00440DEE">
        <w:rPr>
          <w:i/>
        </w:rPr>
        <w:t>mpk3 mpk6</w:t>
      </w:r>
      <w:r w:rsidR="00D201A2">
        <w:t xml:space="preserve"> (Fi</w:t>
      </w:r>
      <w:r w:rsidR="00E43710">
        <w:t>gure 30</w:t>
      </w:r>
      <w:r w:rsidR="00D201A2">
        <w:t xml:space="preserve"> A</w:t>
      </w:r>
      <w:r w:rsidRPr="00440DEE">
        <w:t>). Analysis of Pip-</w:t>
      </w:r>
      <w:r w:rsidR="00984E3F">
        <w:t>IR</w:t>
      </w:r>
      <w:r w:rsidRPr="00440DEE">
        <w:t xml:space="preserve"> yielded no differences between Col-0 and the thr</w:t>
      </w:r>
      <w:r w:rsidR="00D201A2">
        <w:t>e</w:t>
      </w:r>
      <w:r w:rsidR="00E43710">
        <w:t>e mutant lines at all (Figure 30</w:t>
      </w:r>
      <w:r w:rsidR="00D201A2">
        <w:t xml:space="preserve"> B</w:t>
      </w:r>
      <w:r w:rsidR="00301015">
        <w:t xml:space="preserve">). </w:t>
      </w:r>
      <w:r w:rsidRPr="00440DEE">
        <w:t>Next, priming of defence</w:t>
      </w:r>
      <w:r w:rsidR="00984E3F">
        <w:t>-related</w:t>
      </w:r>
      <w:r w:rsidRPr="00440DEE">
        <w:t xml:space="preserve"> gene expression and metabolite accumulation was studied. </w:t>
      </w:r>
      <w:r w:rsidR="00DC0F58">
        <w:t>Pip</w:t>
      </w:r>
      <w:r w:rsidRPr="00440DEE">
        <w:t xml:space="preserve"> was found to be strongly primed in </w:t>
      </w:r>
      <w:r w:rsidRPr="00440DEE">
        <w:rPr>
          <w:i/>
        </w:rPr>
        <w:t xml:space="preserve">mpk6 </w:t>
      </w:r>
      <w:r w:rsidRPr="00440DEE">
        <w:t xml:space="preserve">and </w:t>
      </w:r>
      <w:r w:rsidRPr="00440DEE">
        <w:rPr>
          <w:i/>
        </w:rPr>
        <w:t>mpk3 mpk6</w:t>
      </w:r>
      <w:r w:rsidRPr="00440DEE">
        <w:t xml:space="preserve"> and accumulated to high levels also in </w:t>
      </w:r>
      <w:r w:rsidRPr="00440DEE">
        <w:rPr>
          <w:i/>
        </w:rPr>
        <w:t>mpk3</w:t>
      </w:r>
      <w:r w:rsidR="00E43710">
        <w:t xml:space="preserve"> (Figure 30</w:t>
      </w:r>
      <w:r w:rsidR="00E0632A">
        <w:t xml:space="preserve"> C</w:t>
      </w:r>
      <w:r w:rsidRPr="00440DEE">
        <w:t xml:space="preserve">). It was not possible to see priming of Pip accumulation in </w:t>
      </w:r>
      <w:r w:rsidRPr="00440DEE">
        <w:rPr>
          <w:i/>
        </w:rPr>
        <w:t>mpk3</w:t>
      </w:r>
      <w:r w:rsidR="00984E3F">
        <w:t xml:space="preserve"> in the first experiment</w:t>
      </w:r>
      <w:r w:rsidRPr="00440DEE">
        <w:t>, because the mutant li</w:t>
      </w:r>
      <w:r w:rsidR="00175611">
        <w:t xml:space="preserve">ne showed high </w:t>
      </w:r>
      <w:r w:rsidR="000B4D4B">
        <w:t>Pip-levels</w:t>
      </w:r>
      <w:r w:rsidR="00175611">
        <w:t xml:space="preserve"> in systemic leaves</w:t>
      </w:r>
      <w:r w:rsidRPr="00440DEE">
        <w:t xml:space="preserve"> (1°</w:t>
      </w:r>
      <w:r w:rsidRPr="00440DEE">
        <w:rPr>
          <w:i/>
        </w:rPr>
        <w:t>Psm</w:t>
      </w:r>
      <w:r w:rsidRPr="00440DEE">
        <w:t>/2°MgCl</w:t>
      </w:r>
      <w:r w:rsidRPr="00440DEE">
        <w:rPr>
          <w:vertAlign w:val="subscript"/>
        </w:rPr>
        <w:t>2</w:t>
      </w:r>
      <w:r w:rsidR="00301015">
        <w:t>).</w:t>
      </w:r>
      <w:r w:rsidR="00481917">
        <w:t xml:space="preserve"> A second experiment showed that </w:t>
      </w:r>
      <w:r w:rsidR="00DC0F58">
        <w:t>Pip-</w:t>
      </w:r>
      <w:r w:rsidR="00481917">
        <w:t xml:space="preserve">accumulation is primed in </w:t>
      </w:r>
      <w:r w:rsidR="00481917" w:rsidRPr="00481917">
        <w:rPr>
          <w:i/>
        </w:rPr>
        <w:t>mpk3</w:t>
      </w:r>
      <w:r w:rsidR="00481917">
        <w:t xml:space="preserve"> as well (see supplem</w:t>
      </w:r>
      <w:r w:rsidR="00A12E0B">
        <w:t>ental figure 11</w:t>
      </w:r>
      <w:r w:rsidR="00481917">
        <w:t>).</w:t>
      </w:r>
      <w:r w:rsidR="00301015">
        <w:t xml:space="preserve"> </w:t>
      </w:r>
      <w:r w:rsidRPr="00440DEE">
        <w:t xml:space="preserve">Analysis of camalexin accumulation showed strong priming in </w:t>
      </w:r>
      <w:r w:rsidRPr="00440DEE">
        <w:rPr>
          <w:i/>
        </w:rPr>
        <w:t>mpk3</w:t>
      </w:r>
      <w:r w:rsidR="00984E3F">
        <w:t>, more than WT-</w:t>
      </w:r>
      <w:r w:rsidRPr="00440DEE">
        <w:t xml:space="preserve">levels </w:t>
      </w:r>
      <w:r w:rsidR="00481917">
        <w:t xml:space="preserve">and priming </w:t>
      </w:r>
      <w:r w:rsidRPr="00440DEE">
        <w:t xml:space="preserve">in </w:t>
      </w:r>
      <w:r w:rsidRPr="00440DEE">
        <w:rPr>
          <w:i/>
        </w:rPr>
        <w:t>mpk6</w:t>
      </w:r>
      <w:r w:rsidRPr="00440DEE">
        <w:t xml:space="preserve">, and slightly decreased but primed levels in </w:t>
      </w:r>
      <w:r w:rsidRPr="00440DEE">
        <w:rPr>
          <w:i/>
        </w:rPr>
        <w:t>mpk3 mpk6</w:t>
      </w:r>
      <w:r w:rsidR="00E43710">
        <w:t xml:space="preserve"> (Figure 30</w:t>
      </w:r>
      <w:r w:rsidR="00E0632A">
        <w:t xml:space="preserve"> D</w:t>
      </w:r>
      <w:r w:rsidRPr="00440DEE">
        <w:t xml:space="preserve">). </w:t>
      </w:r>
      <w:r w:rsidR="00984E3F">
        <w:t>MPK</w:t>
      </w:r>
      <w:r w:rsidRPr="00440DEE">
        <w:t xml:space="preserve">3 and </w:t>
      </w:r>
      <w:r w:rsidR="00984E3F">
        <w:t>MPK</w:t>
      </w:r>
      <w:r w:rsidRPr="00440DEE">
        <w:t xml:space="preserve">6 have been reported as activators of camalexin biosynthesis upon infection of plants with the fungus </w:t>
      </w:r>
      <w:r w:rsidRPr="00440DEE">
        <w:rPr>
          <w:i/>
        </w:rPr>
        <w:t>B.</w:t>
      </w:r>
      <w:r w:rsidR="00DC0F58">
        <w:rPr>
          <w:i/>
        </w:rPr>
        <w:t xml:space="preserve"> </w:t>
      </w:r>
      <w:r w:rsidRPr="00440DEE">
        <w:rPr>
          <w:i/>
        </w:rPr>
        <w:t xml:space="preserve">cinerea, </w:t>
      </w:r>
      <w:r w:rsidRPr="00440DEE">
        <w:t xml:space="preserve">the authors´ results showing impaired camalexin accumulation in </w:t>
      </w:r>
      <w:r w:rsidRPr="00440DEE">
        <w:rPr>
          <w:i/>
        </w:rPr>
        <w:t>mpk3</w:t>
      </w:r>
      <w:r w:rsidRPr="00440DEE">
        <w:t xml:space="preserve"> and complete abolishment in </w:t>
      </w:r>
      <w:r w:rsidRPr="00440DEE">
        <w:rPr>
          <w:i/>
        </w:rPr>
        <w:t>mpk3 mpk6</w:t>
      </w:r>
      <w:r w:rsidRPr="00440DEE">
        <w:t xml:space="preserve"> (Ren </w:t>
      </w:r>
      <w:r w:rsidRPr="00440DEE">
        <w:rPr>
          <w:i/>
        </w:rPr>
        <w:t>et al</w:t>
      </w:r>
      <w:r w:rsidRPr="00440DEE">
        <w:t xml:space="preserve">., 2008). These results </w:t>
      </w:r>
      <w:r w:rsidR="00DC0F58">
        <w:t>differed from</w:t>
      </w:r>
      <w:r w:rsidRPr="00440DEE">
        <w:t xml:space="preserve"> camalexin accumulation</w:t>
      </w:r>
      <w:r w:rsidR="00DC0F58">
        <w:t xml:space="preserve"> measurements</w:t>
      </w:r>
      <w:r w:rsidRPr="00440DEE">
        <w:t xml:space="preserve"> in MAPK mutant lines upon infection with the bacterium </w:t>
      </w:r>
      <w:r w:rsidR="00DC0F58">
        <w:rPr>
          <w:i/>
        </w:rPr>
        <w:t>Psm</w:t>
      </w:r>
      <w:r w:rsidRPr="00440DEE">
        <w:rPr>
          <w:i/>
        </w:rPr>
        <w:t xml:space="preserve"> </w:t>
      </w:r>
      <w:r w:rsidR="00E0632A">
        <w:t>presented in this work</w:t>
      </w:r>
      <w:r w:rsidR="00175611">
        <w:t>, as camalexi</w:t>
      </w:r>
      <w:r w:rsidR="00984E3F">
        <w:t>n was found to accumulate to WT-</w:t>
      </w:r>
      <w:r w:rsidR="00175611">
        <w:t xml:space="preserve">levels in </w:t>
      </w:r>
      <w:r w:rsidR="00175611" w:rsidRPr="00175611">
        <w:rPr>
          <w:i/>
        </w:rPr>
        <w:t>mpk3</w:t>
      </w:r>
      <w:r w:rsidR="00175611">
        <w:t xml:space="preserve"> and </w:t>
      </w:r>
      <w:r w:rsidR="00175611" w:rsidRPr="00175611">
        <w:rPr>
          <w:i/>
        </w:rPr>
        <w:t>mpk3 mpk6</w:t>
      </w:r>
      <w:r w:rsidR="00175611">
        <w:t xml:space="preserve">, </w:t>
      </w:r>
      <w:r w:rsidR="00DC0F58">
        <w:t xml:space="preserve">and </w:t>
      </w:r>
      <w:r w:rsidR="00175611">
        <w:t>to</w:t>
      </w:r>
      <w:r w:rsidR="00DC0F58">
        <w:t xml:space="preserve"> levels</w:t>
      </w:r>
      <w:r w:rsidR="00175611">
        <w:t xml:space="preserve"> </w:t>
      </w:r>
      <w:r w:rsidR="00481917">
        <w:t xml:space="preserve">even </w:t>
      </w:r>
      <w:r w:rsidR="00175611">
        <w:t>higher than</w:t>
      </w:r>
      <w:r w:rsidR="00DC0F58">
        <w:t xml:space="preserve"> in</w:t>
      </w:r>
      <w:r w:rsidR="00175611">
        <w:t xml:space="preserve"> WT in </w:t>
      </w:r>
      <w:r w:rsidR="00175611" w:rsidRPr="00175611">
        <w:rPr>
          <w:i/>
        </w:rPr>
        <w:t>mpk6</w:t>
      </w:r>
      <w:r w:rsidR="00175611">
        <w:t xml:space="preserve">, and </w:t>
      </w:r>
      <w:r w:rsidR="00DC0F58">
        <w:t xml:space="preserve">this camalexin production </w:t>
      </w:r>
      <w:r w:rsidR="00175611">
        <w:t xml:space="preserve">was </w:t>
      </w:r>
      <w:r w:rsidR="00DC0F58">
        <w:t xml:space="preserve">also found to be </w:t>
      </w:r>
      <w:r w:rsidR="00175611">
        <w:t>primed in all three lines (Figure 30 D)</w:t>
      </w:r>
      <w:r w:rsidR="00301015">
        <w:t xml:space="preserve">. </w:t>
      </w:r>
    </w:p>
    <w:p w:rsidR="00440DEE" w:rsidRPr="00440DEE" w:rsidRDefault="00440DEE" w:rsidP="00A5297C">
      <w:pPr>
        <w:spacing w:after="0" w:line="360" w:lineRule="auto"/>
        <w:ind w:firstLine="708"/>
        <w:jc w:val="both"/>
      </w:pPr>
      <w:r w:rsidRPr="00440DEE">
        <w:t>For the analysis of gene expression</w:t>
      </w:r>
      <w:r w:rsidR="00E0632A">
        <w:t>,</w:t>
      </w:r>
      <w:r w:rsidRPr="00440DEE">
        <w:t xml:space="preserve"> the priming regulators </w:t>
      </w:r>
      <w:r w:rsidRPr="00440DEE">
        <w:rPr>
          <w:i/>
        </w:rPr>
        <w:t>ALD1</w:t>
      </w:r>
      <w:r w:rsidRPr="00440DEE">
        <w:t xml:space="preserve"> and </w:t>
      </w:r>
      <w:r w:rsidRPr="00440DEE">
        <w:rPr>
          <w:i/>
        </w:rPr>
        <w:t>FMO1</w:t>
      </w:r>
      <w:r w:rsidRPr="00440DEE">
        <w:t xml:space="preserve"> were chosen. Priming of </w:t>
      </w:r>
      <w:r w:rsidRPr="00440DEE">
        <w:rPr>
          <w:i/>
        </w:rPr>
        <w:t>ALD1</w:t>
      </w:r>
      <w:r w:rsidRPr="00440DEE">
        <w:t xml:space="preserve"> expression was observed in Col-0, to a comparable degree in </w:t>
      </w:r>
      <w:r w:rsidRPr="00440DEE">
        <w:rPr>
          <w:i/>
        </w:rPr>
        <w:t>mpk3</w:t>
      </w:r>
      <w:r w:rsidRPr="00440DEE">
        <w:t xml:space="preserve">, and even stronger in </w:t>
      </w:r>
      <w:r w:rsidRPr="00440DEE">
        <w:rPr>
          <w:i/>
        </w:rPr>
        <w:t>mpk6</w:t>
      </w:r>
      <w:r w:rsidRPr="00440DEE">
        <w:t xml:space="preserve"> and </w:t>
      </w:r>
      <w:r w:rsidRPr="00440DEE">
        <w:rPr>
          <w:i/>
        </w:rPr>
        <w:t>mpk3 mpk6</w:t>
      </w:r>
      <w:r w:rsidR="00E43710">
        <w:t xml:space="preserve"> (Figure 30</w:t>
      </w:r>
      <w:r w:rsidR="00E0632A">
        <w:t xml:space="preserve"> E</w:t>
      </w:r>
      <w:r w:rsidRPr="00440DEE">
        <w:t xml:space="preserve">). </w:t>
      </w:r>
      <w:r w:rsidR="00984E3F">
        <w:t>P</w:t>
      </w:r>
      <w:r w:rsidR="00984E3F" w:rsidRPr="00440DEE">
        <w:t>riming</w:t>
      </w:r>
      <w:r w:rsidR="00984E3F">
        <w:t xml:space="preserve"> of</w:t>
      </w:r>
      <w:r w:rsidR="00984E3F" w:rsidRPr="00440DEE">
        <w:rPr>
          <w:i/>
        </w:rPr>
        <w:t xml:space="preserve"> </w:t>
      </w:r>
      <w:r w:rsidRPr="00440DEE">
        <w:rPr>
          <w:i/>
        </w:rPr>
        <w:t>FMO1</w:t>
      </w:r>
      <w:r w:rsidRPr="00440DEE">
        <w:t xml:space="preserve"> </w:t>
      </w:r>
      <w:r w:rsidR="00984E3F">
        <w:t xml:space="preserve">expression </w:t>
      </w:r>
      <w:r w:rsidRPr="00440DEE">
        <w:t xml:space="preserve">was similar in Col-0, </w:t>
      </w:r>
      <w:r w:rsidRPr="00440DEE">
        <w:rPr>
          <w:i/>
        </w:rPr>
        <w:t>mpk6</w:t>
      </w:r>
      <w:r w:rsidRPr="00440DEE">
        <w:t xml:space="preserve">, and </w:t>
      </w:r>
      <w:r w:rsidRPr="00440DEE">
        <w:rPr>
          <w:i/>
        </w:rPr>
        <w:t>mpk3 mpk6</w:t>
      </w:r>
      <w:r w:rsidR="00E0632A">
        <w:t xml:space="preserve"> and slightly weaker (approximately</w:t>
      </w:r>
      <w:r w:rsidRPr="00440DEE">
        <w:t xml:space="preserve"> half as strong as in Col-0) in </w:t>
      </w:r>
      <w:r w:rsidRPr="00440DEE">
        <w:rPr>
          <w:i/>
        </w:rPr>
        <w:t>mpk3</w:t>
      </w:r>
      <w:r w:rsidR="00E43710">
        <w:t xml:space="preserve"> (Figure 30</w:t>
      </w:r>
      <w:r w:rsidR="00E0632A">
        <w:t xml:space="preserve"> F</w:t>
      </w:r>
      <w:r w:rsidR="00301015">
        <w:t xml:space="preserve">). </w:t>
      </w:r>
      <w:r w:rsidRPr="00440DEE">
        <w:t xml:space="preserve">Closer perusal of the publication by Beckers </w:t>
      </w:r>
      <w:r w:rsidRPr="00440DEE">
        <w:rPr>
          <w:i/>
        </w:rPr>
        <w:t>et al.</w:t>
      </w:r>
      <w:r w:rsidR="00E43710">
        <w:t xml:space="preserve"> </w:t>
      </w:r>
      <w:r w:rsidR="00A5297C">
        <w:t xml:space="preserve">(2009) </w:t>
      </w:r>
      <w:r w:rsidR="00E43710">
        <w:t>showed several</w:t>
      </w:r>
      <w:r w:rsidRPr="00440DEE">
        <w:t xml:space="preserve"> differences in </w:t>
      </w:r>
      <w:r w:rsidR="00FA032C">
        <w:t xml:space="preserve">the </w:t>
      </w:r>
      <w:r w:rsidR="00984E3F">
        <w:t>experimental setup</w:t>
      </w:r>
      <w:r w:rsidRPr="00440DEE">
        <w:t xml:space="preserve">. The same mutant lines were used for the experiments, </w:t>
      </w:r>
      <w:r w:rsidR="00E0632A">
        <w:t xml:space="preserve">but </w:t>
      </w:r>
      <w:r w:rsidRPr="00440DEE">
        <w:t xml:space="preserve">the authors used </w:t>
      </w:r>
      <w:r w:rsidR="00481917">
        <w:rPr>
          <w:i/>
        </w:rPr>
        <w:t>P.</w:t>
      </w:r>
      <w:r w:rsidR="00A5297C">
        <w:rPr>
          <w:i/>
        </w:rPr>
        <w:t xml:space="preserve"> </w:t>
      </w:r>
      <w:r w:rsidR="00481917">
        <w:rPr>
          <w:i/>
        </w:rPr>
        <w:t xml:space="preserve">syringae </w:t>
      </w:r>
      <w:proofErr w:type="gramStart"/>
      <w:r w:rsidR="00481917" w:rsidRPr="00481917">
        <w:t>pv</w:t>
      </w:r>
      <w:proofErr w:type="gramEnd"/>
      <w:r w:rsidR="00481917" w:rsidRPr="00481917">
        <w:t>.</w:t>
      </w:r>
      <w:r w:rsidR="00481917">
        <w:rPr>
          <w:i/>
        </w:rPr>
        <w:t xml:space="preserve"> tomato</w:t>
      </w:r>
      <w:r w:rsidRPr="00440DEE">
        <w:rPr>
          <w:i/>
        </w:rPr>
        <w:t xml:space="preserve"> avrRpt2</w:t>
      </w:r>
      <w:r w:rsidRPr="00440DEE">
        <w:t xml:space="preserve"> </w:t>
      </w:r>
      <w:r w:rsidR="00481917">
        <w:t>(</w:t>
      </w:r>
      <w:r w:rsidR="00481917" w:rsidRPr="00481917">
        <w:rPr>
          <w:i/>
        </w:rPr>
        <w:t>Pst</w:t>
      </w:r>
      <w:r w:rsidR="00481917">
        <w:t xml:space="preserve">) </w:t>
      </w:r>
      <w:r w:rsidRPr="00440DEE">
        <w:t xml:space="preserve">as trigger for the SAR response and </w:t>
      </w:r>
      <w:r w:rsidRPr="00440DEE">
        <w:rPr>
          <w:i/>
        </w:rPr>
        <w:t>Pst</w:t>
      </w:r>
      <w:r w:rsidR="00481917">
        <w:t xml:space="preserve"> DC3000 for the </w:t>
      </w:r>
      <w:r w:rsidRPr="00440DEE">
        <w:t>c</w:t>
      </w:r>
      <w:r w:rsidR="00E0632A">
        <w:t>hallenge infection, while in the experiments presented here,</w:t>
      </w:r>
      <w:r w:rsidRPr="00440DEE">
        <w:t xml:space="preserve"> the virulent </w:t>
      </w:r>
      <w:r w:rsidR="00A3662D">
        <w:rPr>
          <w:i/>
        </w:rPr>
        <w:t>Psm</w:t>
      </w:r>
      <w:r w:rsidRPr="00440DEE">
        <w:t xml:space="preserve"> strain</w:t>
      </w:r>
      <w:r w:rsidR="00E0632A">
        <w:t xml:space="preserve"> was used</w:t>
      </w:r>
      <w:r w:rsidRPr="00440DEE">
        <w:t xml:space="preserve"> that triggers a robust SAR response </w:t>
      </w:r>
      <w:r w:rsidR="00A3662D">
        <w:t xml:space="preserve">at </w:t>
      </w:r>
      <w:r w:rsidRPr="00440DEE">
        <w:t xml:space="preserve">2 dpi in </w:t>
      </w:r>
      <w:r w:rsidRPr="00E0632A">
        <w:rPr>
          <w:i/>
        </w:rPr>
        <w:t>Arabidopsis</w:t>
      </w:r>
      <w:r w:rsidRPr="00440DEE">
        <w:t xml:space="preserve"> (Mishina and Zeier, 2007) for both infections. </w:t>
      </w:r>
      <w:r w:rsidRPr="00440DEE">
        <w:lastRenderedPageBreak/>
        <w:t>Also the challenge infection was done 48 hrs af</w:t>
      </w:r>
      <w:r w:rsidR="00E0632A">
        <w:t>ter the first infiltration in the</w:t>
      </w:r>
      <w:r w:rsidRPr="00440DEE">
        <w:t xml:space="preserve"> experiments</w:t>
      </w:r>
      <w:r w:rsidR="00E0632A">
        <w:t xml:space="preserve"> for this work</w:t>
      </w:r>
      <w:r w:rsidRPr="00440DEE">
        <w:t>, in contrast to 3 days between inoculations</w:t>
      </w:r>
      <w:r w:rsidR="00A5297C">
        <w:t xml:space="preserve"> used</w:t>
      </w:r>
      <w:r w:rsidRPr="00440DEE">
        <w:t xml:space="preserve"> in the publication by Beckers </w:t>
      </w:r>
      <w:r w:rsidRPr="00440DEE">
        <w:rPr>
          <w:i/>
        </w:rPr>
        <w:t>et al</w:t>
      </w:r>
      <w:r w:rsidRPr="00440DEE">
        <w:t>.</w:t>
      </w:r>
      <w:r w:rsidR="00A5297C">
        <w:t xml:space="preserve"> (2009).</w:t>
      </w:r>
      <w:r w:rsidRPr="00440DEE">
        <w:t xml:space="preserve"> These differences in experiment</w:t>
      </w:r>
      <w:r w:rsidR="00A3662D">
        <w:t>al</w:t>
      </w:r>
      <w:r w:rsidRPr="00440DEE">
        <w:t xml:space="preserve"> execution might be responsible for the discrepanc</w:t>
      </w:r>
      <w:r w:rsidR="00E0632A">
        <w:t xml:space="preserve">ies between published </w:t>
      </w:r>
      <w:r w:rsidR="00A5297C">
        <w:t xml:space="preserve">results </w:t>
      </w:r>
      <w:r w:rsidR="00E0632A">
        <w:t>and</w:t>
      </w:r>
      <w:r w:rsidR="00A5297C">
        <w:t xml:space="preserve"> those</w:t>
      </w:r>
      <w:r w:rsidR="00E0632A">
        <w:t xml:space="preserve"> presented here</w:t>
      </w:r>
      <w:r w:rsidRPr="00440DEE">
        <w:t xml:space="preserve">. Especially the pathogen chosen for first infiltration seems to be very important for MAPK signalling, as Tsuda </w:t>
      </w:r>
      <w:r w:rsidRPr="00440DEE">
        <w:rPr>
          <w:i/>
        </w:rPr>
        <w:t>et al</w:t>
      </w:r>
      <w:r w:rsidRPr="00440DEE">
        <w:t>. show</w:t>
      </w:r>
      <w:r w:rsidR="00A5297C">
        <w:t>ed</w:t>
      </w:r>
      <w:r w:rsidRPr="00440DEE">
        <w:t xml:space="preserve"> in 2013. The authors provided data that showed a much more robu</w:t>
      </w:r>
      <w:r w:rsidR="003250EC">
        <w:t>st and longer MAPK activation if</w:t>
      </w:r>
      <w:r w:rsidRPr="00440DEE">
        <w:t xml:space="preserve"> ETI</w:t>
      </w:r>
      <w:r w:rsidR="00A5297C">
        <w:t xml:space="preserve"> was</w:t>
      </w:r>
      <w:r w:rsidRPr="00440DEE">
        <w:t xml:space="preserve"> triggered by </w:t>
      </w:r>
      <w:proofErr w:type="gramStart"/>
      <w:r w:rsidRPr="00440DEE">
        <w:rPr>
          <w:i/>
        </w:rPr>
        <w:t>Pst</w:t>
      </w:r>
      <w:proofErr w:type="gramEnd"/>
      <w:r w:rsidRPr="00440DEE">
        <w:rPr>
          <w:i/>
        </w:rPr>
        <w:t xml:space="preserve"> avrRpt2</w:t>
      </w:r>
      <w:r w:rsidR="00A5297C">
        <w:rPr>
          <w:i/>
        </w:rPr>
        <w:t>,</w:t>
      </w:r>
      <w:r w:rsidR="00A5297C">
        <w:t xml:space="preserve"> compared to the</w:t>
      </w:r>
      <w:r w:rsidRPr="00440DEE">
        <w:t xml:space="preserve"> PTI triggered by </w:t>
      </w:r>
      <w:r w:rsidRPr="00440DEE">
        <w:rPr>
          <w:i/>
        </w:rPr>
        <w:t>Pst</w:t>
      </w:r>
      <w:r w:rsidRPr="00440DEE">
        <w:t xml:space="preserve"> containing an empty vector. In plants treated with </w:t>
      </w:r>
      <w:proofErr w:type="gramStart"/>
      <w:r w:rsidRPr="00440DEE">
        <w:rPr>
          <w:i/>
        </w:rPr>
        <w:t>Pst</w:t>
      </w:r>
      <w:proofErr w:type="gramEnd"/>
      <w:r w:rsidRPr="00440DEE">
        <w:rPr>
          <w:i/>
        </w:rPr>
        <w:t xml:space="preserve"> avrRpt2</w:t>
      </w:r>
      <w:r w:rsidR="00A5297C">
        <w:rPr>
          <w:i/>
        </w:rPr>
        <w:t>,</w:t>
      </w:r>
      <w:r w:rsidRPr="00440DEE">
        <w:t xml:space="preserve"> MAPK activation was detectable for up to 12 hours after treatment, whereas </w:t>
      </w:r>
      <w:r w:rsidR="00A5297C">
        <w:t xml:space="preserve">MAPK activity after </w:t>
      </w:r>
      <w:r w:rsidRPr="00440DEE">
        <w:t xml:space="preserve">treatment with </w:t>
      </w:r>
      <w:r w:rsidRPr="00440DEE">
        <w:rPr>
          <w:i/>
        </w:rPr>
        <w:t>Pst</w:t>
      </w:r>
      <w:r w:rsidRPr="00440DEE">
        <w:t xml:space="preserve"> </w:t>
      </w:r>
      <w:r w:rsidR="00A5297C">
        <w:t>lasted only approximately</w:t>
      </w:r>
      <w:r w:rsidRPr="00440DEE">
        <w:t xml:space="preserve"> an hour (Tsuda </w:t>
      </w:r>
      <w:r w:rsidRPr="00E43710">
        <w:rPr>
          <w:i/>
        </w:rPr>
        <w:t>et a</w:t>
      </w:r>
      <w:r w:rsidR="00E43710" w:rsidRPr="00E43710">
        <w:rPr>
          <w:i/>
        </w:rPr>
        <w:t>l</w:t>
      </w:r>
      <w:r w:rsidRPr="00440DEE">
        <w:t xml:space="preserve">., 2013). Glazebrook and Ausubel also described differences in camalexin accumulation depending on the pathogen used for inoculation. Plants inoculated with virulent </w:t>
      </w:r>
      <w:r w:rsidRPr="00440DEE">
        <w:rPr>
          <w:i/>
        </w:rPr>
        <w:t>Psm</w:t>
      </w:r>
      <w:r w:rsidRPr="00440DEE">
        <w:t xml:space="preserve"> and avirulent </w:t>
      </w:r>
      <w:r w:rsidRPr="00440DEE">
        <w:rPr>
          <w:i/>
        </w:rPr>
        <w:t xml:space="preserve">Psm </w:t>
      </w:r>
      <w:r w:rsidRPr="00440DEE">
        <w:t xml:space="preserve">strains </w:t>
      </w:r>
      <w:r w:rsidRPr="00440DEE">
        <w:rPr>
          <w:i/>
        </w:rPr>
        <w:t>avrRpm1</w:t>
      </w:r>
      <w:r w:rsidRPr="00440DEE">
        <w:t xml:space="preserve"> and </w:t>
      </w:r>
      <w:r w:rsidRPr="00440DEE">
        <w:rPr>
          <w:i/>
        </w:rPr>
        <w:t>Psm avrRpt2</w:t>
      </w:r>
      <w:r w:rsidRPr="00440DEE">
        <w:t xml:space="preserve">, respectively, showed no differences in camalexin accumulation. However, camalexin accumulation was more rapid in plants inoculated with avirulent </w:t>
      </w:r>
      <w:r w:rsidRPr="00440DEE">
        <w:rPr>
          <w:i/>
        </w:rPr>
        <w:t>Pst</w:t>
      </w:r>
      <w:r w:rsidRPr="00440DEE">
        <w:t xml:space="preserve"> DC3000 </w:t>
      </w:r>
      <w:r w:rsidRPr="00440DEE">
        <w:rPr>
          <w:i/>
        </w:rPr>
        <w:t>avrRpt2</w:t>
      </w:r>
      <w:r w:rsidRPr="00440DEE">
        <w:t xml:space="preserve"> than with virulent </w:t>
      </w:r>
      <w:r w:rsidRPr="00440DEE">
        <w:rPr>
          <w:i/>
        </w:rPr>
        <w:t>Pst</w:t>
      </w:r>
      <w:r w:rsidRPr="00440DEE">
        <w:t xml:space="preserve"> DC3000</w:t>
      </w:r>
      <w:r w:rsidR="00140E7F">
        <w:t xml:space="preserve"> (Glazebrook and Ausubel, 1994)</w:t>
      </w:r>
      <w:r w:rsidRPr="00440DEE">
        <w:t>. The best way to solve this problem would be to repeat the SAR</w:t>
      </w:r>
      <w:r w:rsidR="00A5297C">
        <w:t>-</w:t>
      </w:r>
      <w:r w:rsidRPr="00440DEE">
        <w:t>, Pip-IR</w:t>
      </w:r>
      <w:r w:rsidR="00A5297C">
        <w:t>-, and priming-</w:t>
      </w:r>
      <w:r w:rsidRPr="00440DEE">
        <w:t xml:space="preserve">experiments using not only </w:t>
      </w:r>
      <w:r w:rsidRPr="00440DEE">
        <w:rPr>
          <w:i/>
        </w:rPr>
        <w:t>Psm</w:t>
      </w:r>
      <w:r w:rsidRPr="00440DEE">
        <w:t xml:space="preserve"> but also </w:t>
      </w:r>
      <w:r w:rsidRPr="00440DEE">
        <w:rPr>
          <w:i/>
        </w:rPr>
        <w:t>Psm avrRpm1</w:t>
      </w:r>
      <w:r w:rsidRPr="00440DEE">
        <w:t xml:space="preserve"> and/or </w:t>
      </w:r>
      <w:proofErr w:type="gramStart"/>
      <w:r w:rsidRPr="00440DEE">
        <w:rPr>
          <w:i/>
        </w:rPr>
        <w:t>Pst</w:t>
      </w:r>
      <w:proofErr w:type="gramEnd"/>
      <w:r w:rsidRPr="00440DEE">
        <w:rPr>
          <w:i/>
        </w:rPr>
        <w:t xml:space="preserve"> avrRpt2</w:t>
      </w:r>
      <w:r w:rsidR="00301015">
        <w:t xml:space="preserve"> as inducing pathogen</w:t>
      </w:r>
      <w:r w:rsidR="00A3662D">
        <w:t>s</w:t>
      </w:r>
      <w:r w:rsidR="00301015">
        <w:t xml:space="preserve">. </w:t>
      </w:r>
      <w:r w:rsidRPr="00440DEE">
        <w:t>Involvement of MPK3 and MPK6 in plant innate immunity signalling was analys</w:t>
      </w:r>
      <w:r w:rsidR="00A3662D">
        <w:t>ed by Asai and colleagues (</w:t>
      </w:r>
      <w:r w:rsidRPr="00440DEE">
        <w:t xml:space="preserve">2002), who presented data describing activation of MPK3 and MPK6 upon flg22 perception in protoplasts of </w:t>
      </w:r>
      <w:r w:rsidRPr="00440DEE">
        <w:rPr>
          <w:i/>
        </w:rPr>
        <w:t>Arabidopis</w:t>
      </w:r>
      <w:r w:rsidR="00A5297C">
        <w:t>. If MAPK</w:t>
      </w:r>
      <w:r w:rsidRPr="00440DEE">
        <w:t xml:space="preserve"> activation played a </w:t>
      </w:r>
      <w:r w:rsidR="00A5297C">
        <w:t xml:space="preserve">major </w:t>
      </w:r>
      <w:r w:rsidRPr="00440DEE">
        <w:t>role in defence and priming, activation of MAPKs upon infection with either virulent or avirulent bacteria</w:t>
      </w:r>
      <w:r w:rsidR="00E0632A">
        <w:t xml:space="preserve"> would be expected</w:t>
      </w:r>
      <w:r w:rsidRPr="00440DEE">
        <w:t xml:space="preserve">, as well as a changed activation pattern in </w:t>
      </w:r>
      <w:r w:rsidRPr="00440DEE">
        <w:rPr>
          <w:i/>
        </w:rPr>
        <w:t>ald1</w:t>
      </w:r>
      <w:r w:rsidRPr="00440DEE">
        <w:t xml:space="preserve"> and </w:t>
      </w:r>
      <w:r w:rsidRPr="00440DEE">
        <w:rPr>
          <w:i/>
        </w:rPr>
        <w:t>fmo1</w:t>
      </w:r>
      <w:r w:rsidRPr="00440DEE">
        <w:t xml:space="preserve">. Detection of MAPK activity was possible in local leaves of Col-0, </w:t>
      </w:r>
      <w:r w:rsidRPr="00440DEE">
        <w:rPr>
          <w:i/>
        </w:rPr>
        <w:t>ald1</w:t>
      </w:r>
      <w:r w:rsidRPr="00440DEE">
        <w:t xml:space="preserve"> and </w:t>
      </w:r>
      <w:r w:rsidRPr="00440DEE">
        <w:rPr>
          <w:i/>
        </w:rPr>
        <w:t>fmo1</w:t>
      </w:r>
      <w:r w:rsidRPr="00440DEE">
        <w:t xml:space="preserve"> 6 hours after infection with </w:t>
      </w:r>
      <w:r w:rsidRPr="00440DEE">
        <w:rPr>
          <w:i/>
        </w:rPr>
        <w:t>Psm avrRpm1</w:t>
      </w:r>
      <w:r w:rsidRPr="00440DEE">
        <w:t xml:space="preserve"> and 48 hours after infection with </w:t>
      </w:r>
      <w:r w:rsidRPr="00440DEE">
        <w:rPr>
          <w:i/>
        </w:rPr>
        <w:t>Psm</w:t>
      </w:r>
      <w:r w:rsidRPr="00440DEE">
        <w:t xml:space="preserve"> and </w:t>
      </w:r>
      <w:r w:rsidRPr="00440DEE">
        <w:rPr>
          <w:i/>
        </w:rPr>
        <w:t>Psm avrRpm1</w:t>
      </w:r>
      <w:r w:rsidRPr="00440DEE">
        <w:t xml:space="preserve"> (Figure </w:t>
      </w:r>
      <w:r w:rsidR="00E43710">
        <w:t>31</w:t>
      </w:r>
      <w:r w:rsidRPr="00440DEE">
        <w:t xml:space="preserve">). Activation of MPK3 and MPK6 seemed to be slightly less pronounced in </w:t>
      </w:r>
      <w:r w:rsidRPr="00440DEE">
        <w:rPr>
          <w:i/>
        </w:rPr>
        <w:t>ald1</w:t>
      </w:r>
      <w:r w:rsidRPr="00440DEE">
        <w:t xml:space="preserve"> and </w:t>
      </w:r>
      <w:r w:rsidRPr="00440DEE">
        <w:rPr>
          <w:i/>
        </w:rPr>
        <w:t>fmo1</w:t>
      </w:r>
      <w:r w:rsidRPr="00440DEE">
        <w:t xml:space="preserve">. Except for </w:t>
      </w:r>
      <w:r w:rsidRPr="00440DEE">
        <w:rPr>
          <w:i/>
        </w:rPr>
        <w:t>ald1</w:t>
      </w:r>
      <w:r w:rsidRPr="00440DEE">
        <w:t xml:space="preserve"> treated with </w:t>
      </w:r>
      <w:r w:rsidRPr="00440DEE">
        <w:rPr>
          <w:i/>
        </w:rPr>
        <w:t>Psm avrRpm1</w:t>
      </w:r>
      <w:r w:rsidRPr="00440DEE">
        <w:t xml:space="preserve">, no systemic activation of MAPKs </w:t>
      </w:r>
      <w:r w:rsidR="00E0632A">
        <w:t>was</w:t>
      </w:r>
      <w:r w:rsidR="00301015">
        <w:t xml:space="preserve"> detected. </w:t>
      </w:r>
      <w:r w:rsidRPr="00440DEE">
        <w:t xml:space="preserve">It was also not possible to detect systemic accumulation of free SA and Pip in transgenic plants expressing MKK4, the MAP kinase kinase responsible for phosphorylation and subsequent activation of MPK3 and MPK6, under the control of a DEX-inducible promoter </w:t>
      </w:r>
      <w:r w:rsidR="00E43710">
        <w:t>(Figure 32</w:t>
      </w:r>
      <w:r w:rsidRPr="00440DEE">
        <w:t>). These results back up our hypothesis that MAPK signalling is not as strongly involved in defence priming as cl</w:t>
      </w:r>
      <w:r w:rsidR="00301015">
        <w:t>aimed in earlier publications</w:t>
      </w:r>
      <w:r w:rsidR="00A5297C">
        <w:t xml:space="preserve"> (Asai </w:t>
      </w:r>
      <w:r w:rsidR="00A5297C" w:rsidRPr="00A5297C">
        <w:rPr>
          <w:i/>
        </w:rPr>
        <w:t>et al</w:t>
      </w:r>
      <w:r w:rsidR="00A5297C">
        <w:t xml:space="preserve">., 2002; Beckers </w:t>
      </w:r>
      <w:r w:rsidR="00A5297C" w:rsidRPr="00A5297C">
        <w:rPr>
          <w:i/>
        </w:rPr>
        <w:t>et al</w:t>
      </w:r>
      <w:r w:rsidR="00A5297C">
        <w:t>., 2009)</w:t>
      </w:r>
      <w:r w:rsidR="00301015">
        <w:t xml:space="preserve">. </w:t>
      </w:r>
      <w:r w:rsidRPr="00440DEE">
        <w:t>To be able to confirm our results that MAPK signalling is not involved in defence priming, several other experiments come to mind. A</w:t>
      </w:r>
      <w:r w:rsidR="00A5297C">
        <w:t>s MAPK</w:t>
      </w:r>
      <w:r w:rsidR="00140E7F">
        <w:t xml:space="preserve"> activation is one of the earliest responses in plants upon infection, a</w:t>
      </w:r>
      <w:r w:rsidRPr="00440DEE">
        <w:t xml:space="preserve"> time course with more and earlier time points would be a possibility to test MAPK activation in local and systemic leaves of Col-0, </w:t>
      </w:r>
      <w:r w:rsidRPr="00440DEE">
        <w:rPr>
          <w:i/>
        </w:rPr>
        <w:t>ald1, fmo1, sid2</w:t>
      </w:r>
      <w:r w:rsidRPr="00440DEE">
        <w:t xml:space="preserve">, and </w:t>
      </w:r>
      <w:r w:rsidRPr="00440DEE">
        <w:rPr>
          <w:i/>
        </w:rPr>
        <w:t>sid2 ald1</w:t>
      </w:r>
      <w:r w:rsidRPr="00440DEE">
        <w:t xml:space="preserve"> after infection with </w:t>
      </w:r>
      <w:r w:rsidRPr="00440DEE">
        <w:rPr>
          <w:i/>
        </w:rPr>
        <w:t>Psm</w:t>
      </w:r>
      <w:r w:rsidRPr="00440DEE">
        <w:t xml:space="preserve"> and </w:t>
      </w:r>
      <w:r w:rsidRPr="00440DEE">
        <w:rPr>
          <w:i/>
        </w:rPr>
        <w:t>Psm avrRpm1</w:t>
      </w:r>
      <w:r w:rsidRPr="00440DEE">
        <w:t>. It would al</w:t>
      </w:r>
      <w:r w:rsidR="00AD075B">
        <w:t>so make sense</w:t>
      </w:r>
      <w:r w:rsidRPr="00440DEE">
        <w:t xml:space="preserve"> to include </w:t>
      </w:r>
      <w:proofErr w:type="gramStart"/>
      <w:r w:rsidRPr="00440DEE">
        <w:rPr>
          <w:i/>
        </w:rPr>
        <w:t>Pst</w:t>
      </w:r>
      <w:proofErr w:type="gramEnd"/>
      <w:r w:rsidRPr="00440DEE">
        <w:rPr>
          <w:i/>
        </w:rPr>
        <w:t xml:space="preserve"> avrRpt2</w:t>
      </w:r>
      <w:r w:rsidRPr="00440DEE">
        <w:t xml:space="preserve"> in this experiment, as this pathogen was shown to stabilize MAPK activation in </w:t>
      </w:r>
      <w:r w:rsidRPr="00440DEE">
        <w:rPr>
          <w:i/>
        </w:rPr>
        <w:t>Arabidopsis</w:t>
      </w:r>
      <w:r w:rsidRPr="00440DEE">
        <w:t xml:space="preserve"> </w:t>
      </w:r>
      <w:r w:rsidRPr="00440DEE">
        <w:lastRenderedPageBreak/>
        <w:t xml:space="preserve">(Tsuda </w:t>
      </w:r>
      <w:r w:rsidRPr="00440DEE">
        <w:rPr>
          <w:i/>
        </w:rPr>
        <w:t>et al</w:t>
      </w:r>
      <w:r w:rsidRPr="00440DEE">
        <w:t>., 2013). The next step would be to test MAPK activation in defence priming by using the setup for the priming experiment as described, but take samples for analysis of MAPK activity at different time points after challenge infection (e.g. 2 hpi, 4 hpi, 6 hpi, 8 hpi, 12 hpi, 24 hpi, and 48 hpi) and not only at 10 hpi. Another important experiment still missing is the analys</w:t>
      </w:r>
      <w:r w:rsidR="00A5297C">
        <w:t>is of MAPK activation after Pip-</w:t>
      </w:r>
      <w:r w:rsidRPr="00440DEE">
        <w:t xml:space="preserve">treatment, a time course </w:t>
      </w:r>
      <w:r w:rsidR="00A5297C">
        <w:t>after Pip-</w:t>
      </w:r>
      <w:r w:rsidRPr="00440DEE">
        <w:t xml:space="preserve">feeding would serve this purpose well. Concerning further experiments to analyse defence priming in Col-0, </w:t>
      </w:r>
      <w:r w:rsidRPr="00440DEE">
        <w:rPr>
          <w:i/>
        </w:rPr>
        <w:t>ald1</w:t>
      </w:r>
      <w:r w:rsidRPr="00440DEE">
        <w:t xml:space="preserve">, and </w:t>
      </w:r>
      <w:r w:rsidRPr="00440DEE">
        <w:rPr>
          <w:i/>
        </w:rPr>
        <w:t>fmo1</w:t>
      </w:r>
      <w:r w:rsidRPr="00440DEE">
        <w:t xml:space="preserve">, gene expression analysis of </w:t>
      </w:r>
      <w:r w:rsidRPr="00440DEE">
        <w:rPr>
          <w:i/>
        </w:rPr>
        <w:t>MPK3</w:t>
      </w:r>
      <w:r w:rsidRPr="00440DEE">
        <w:t xml:space="preserve"> and </w:t>
      </w:r>
      <w:r w:rsidRPr="00440DEE">
        <w:rPr>
          <w:i/>
        </w:rPr>
        <w:t>MPK6</w:t>
      </w:r>
      <w:r w:rsidRPr="00440DEE">
        <w:t xml:space="preserve"> would be important to see if these two genes might play a role in priming</w:t>
      </w:r>
      <w:r w:rsidR="00140E7F">
        <w:t xml:space="preserve"> or are being primed after infection</w:t>
      </w:r>
      <w:r w:rsidRPr="00440DEE">
        <w:t xml:space="preserve">. </w:t>
      </w:r>
    </w:p>
    <w:p w:rsidR="00443DBC" w:rsidRDefault="00443DBC" w:rsidP="00443DBC">
      <w:pPr>
        <w:pStyle w:val="berschrift2"/>
        <w:jc w:val="both"/>
        <w:rPr>
          <w:color w:val="auto"/>
        </w:rPr>
        <w:sectPr w:rsidR="00443DBC" w:rsidSect="00B517AA">
          <w:headerReference w:type="default" r:id="rId94"/>
          <w:type w:val="continuous"/>
          <w:pgSz w:w="11906" w:h="16838"/>
          <w:pgMar w:top="1417" w:right="1417" w:bottom="1134" w:left="1417" w:header="708" w:footer="708" w:gutter="0"/>
          <w:cols w:space="708"/>
          <w:titlePg/>
          <w:docGrid w:linePitch="360"/>
        </w:sectPr>
      </w:pPr>
    </w:p>
    <w:p w:rsidR="00440DEE" w:rsidRPr="008A036D" w:rsidRDefault="00563EC1" w:rsidP="000D6F0C">
      <w:pPr>
        <w:pStyle w:val="berschrift2"/>
        <w:spacing w:after="240"/>
        <w:jc w:val="both"/>
        <w:rPr>
          <w:i/>
          <w:color w:val="auto"/>
        </w:rPr>
      </w:pPr>
      <w:bookmarkStart w:id="115" w:name="_Toc435621257"/>
      <w:r>
        <w:rPr>
          <w:color w:val="auto"/>
        </w:rPr>
        <w:lastRenderedPageBreak/>
        <w:t xml:space="preserve">7.5 </w:t>
      </w:r>
      <w:r w:rsidR="008A036D">
        <w:rPr>
          <w:color w:val="auto"/>
        </w:rPr>
        <w:t xml:space="preserve">The role of </w:t>
      </w:r>
      <w:r w:rsidR="00754DB4">
        <w:rPr>
          <w:color w:val="auto"/>
        </w:rPr>
        <w:t>Pip</w:t>
      </w:r>
      <w:r w:rsidR="008A036D">
        <w:rPr>
          <w:color w:val="auto"/>
        </w:rPr>
        <w:t xml:space="preserve"> in the interaction of </w:t>
      </w:r>
      <w:r w:rsidR="008A036D" w:rsidRPr="008A036D">
        <w:rPr>
          <w:i/>
          <w:color w:val="auto"/>
        </w:rPr>
        <w:t>A</w:t>
      </w:r>
      <w:r w:rsidR="00572C89">
        <w:rPr>
          <w:i/>
          <w:color w:val="auto"/>
        </w:rPr>
        <w:t>.</w:t>
      </w:r>
      <w:r w:rsidR="008A036D" w:rsidRPr="008A036D">
        <w:rPr>
          <w:i/>
          <w:color w:val="auto"/>
        </w:rPr>
        <w:t xml:space="preserve"> thaliana</w:t>
      </w:r>
      <w:r w:rsidR="008A036D">
        <w:rPr>
          <w:color w:val="auto"/>
        </w:rPr>
        <w:t xml:space="preserve"> with the necrotrophic fungus </w:t>
      </w:r>
      <w:r w:rsidR="008A036D" w:rsidRPr="008A036D">
        <w:rPr>
          <w:i/>
          <w:color w:val="auto"/>
        </w:rPr>
        <w:t>B</w:t>
      </w:r>
      <w:r w:rsidR="00572C89">
        <w:rPr>
          <w:i/>
          <w:color w:val="auto"/>
        </w:rPr>
        <w:t>.</w:t>
      </w:r>
      <w:r w:rsidR="008A036D" w:rsidRPr="008A036D">
        <w:rPr>
          <w:i/>
          <w:color w:val="auto"/>
        </w:rPr>
        <w:t xml:space="preserve"> cinerea</w:t>
      </w:r>
      <w:bookmarkEnd w:id="115"/>
    </w:p>
    <w:p w:rsidR="00A65127" w:rsidRDefault="00440DEE" w:rsidP="00A65127">
      <w:pPr>
        <w:spacing w:after="0" w:line="360" w:lineRule="auto"/>
        <w:jc w:val="both"/>
      </w:pPr>
      <w:r w:rsidRPr="00440DEE">
        <w:t xml:space="preserve">The first step for studying the interaction of </w:t>
      </w:r>
      <w:r w:rsidRPr="00440DEE">
        <w:rPr>
          <w:i/>
        </w:rPr>
        <w:t>Arabidopsis</w:t>
      </w:r>
      <w:r w:rsidRPr="00440DEE">
        <w:t xml:space="preserve"> with a pathogen following a necrotrophic lifestyle was a comparative analysis of metabolite accumulation after infection. To achieve this, a</w:t>
      </w:r>
      <w:r w:rsidR="002A2935">
        <w:t xml:space="preserve"> time course experiment was performed</w:t>
      </w:r>
      <w:r w:rsidRPr="00440DEE">
        <w:t xml:space="preserve"> and metabolite accumulat</w:t>
      </w:r>
      <w:r w:rsidR="00824C19">
        <w:t>ion quantified (Figure 33</w:t>
      </w:r>
      <w:r w:rsidRPr="00440DEE">
        <w:t xml:space="preserve">). As described before (Govrin and Levine, 2002), no significant induction of </w:t>
      </w:r>
      <w:r w:rsidR="00754DB4">
        <w:t>SA-accumulation was</w:t>
      </w:r>
      <w:r w:rsidRPr="00440DEE">
        <w:t xml:space="preserve"> observed in plants after </w:t>
      </w:r>
      <w:r w:rsidRPr="00440DEE">
        <w:rPr>
          <w:i/>
        </w:rPr>
        <w:t>B.</w:t>
      </w:r>
      <w:r w:rsidR="00754DB4">
        <w:rPr>
          <w:i/>
        </w:rPr>
        <w:t xml:space="preserve"> </w:t>
      </w:r>
      <w:r w:rsidRPr="00440DEE">
        <w:rPr>
          <w:i/>
        </w:rPr>
        <w:t>cinerea</w:t>
      </w:r>
      <w:r w:rsidR="00572C89">
        <w:t>-</w:t>
      </w:r>
      <w:r w:rsidRPr="00440DEE">
        <w:t>infection at chosen time points (Fig</w:t>
      </w:r>
      <w:r w:rsidR="00824C19">
        <w:t>ure 33</w:t>
      </w:r>
      <w:r w:rsidR="00687091">
        <w:t xml:space="preserve"> A</w:t>
      </w:r>
      <w:r w:rsidR="00836B1A">
        <w:t>). The tryptophan</w:t>
      </w:r>
      <w:r w:rsidRPr="00440DEE">
        <w:t xml:space="preserve">-derived camalexin and its intermediate </w:t>
      </w:r>
      <w:r w:rsidR="00754DB4">
        <w:t>ICA</w:t>
      </w:r>
      <w:r w:rsidRPr="00440DEE">
        <w:t xml:space="preserve"> (Böttcher </w:t>
      </w:r>
      <w:r w:rsidRPr="00440DEE">
        <w:rPr>
          <w:i/>
        </w:rPr>
        <w:t>et al</w:t>
      </w:r>
      <w:r w:rsidR="00CA2A00">
        <w:t>., 2014)</w:t>
      </w:r>
      <w:r w:rsidRPr="00440DEE">
        <w:t xml:space="preserve"> on the other hand</w:t>
      </w:r>
      <w:r w:rsidR="005B6042">
        <w:t>,</w:t>
      </w:r>
      <w:r w:rsidRPr="00440DEE">
        <w:t xml:space="preserve"> showed strong accumulation from day</w:t>
      </w:r>
      <w:r w:rsidR="00687091">
        <w:t xml:space="preserve"> </w:t>
      </w:r>
      <w:r w:rsidR="00824C19">
        <w:t>three of infection on (Figure 33</w:t>
      </w:r>
      <w:r w:rsidR="00687091">
        <w:t xml:space="preserve"> </w:t>
      </w:r>
      <w:r w:rsidR="00824C19">
        <w:t>B; Figure 33</w:t>
      </w:r>
      <w:r w:rsidR="008C765A">
        <w:t xml:space="preserve"> </w:t>
      </w:r>
      <w:r w:rsidR="00687091">
        <w:t>D</w:t>
      </w:r>
      <w:r w:rsidRPr="00440DEE">
        <w:t xml:space="preserve">). Camalexin exhibits potent antifungal activity, as it was shown to limit lesion development in </w:t>
      </w:r>
      <w:r w:rsidRPr="00440DEE">
        <w:rPr>
          <w:i/>
        </w:rPr>
        <w:t>Arabidopsis</w:t>
      </w:r>
      <w:r w:rsidRPr="00440DEE">
        <w:t xml:space="preserve"> infected with </w:t>
      </w:r>
      <w:r w:rsidRPr="00440DEE">
        <w:rPr>
          <w:i/>
        </w:rPr>
        <w:t>B.</w:t>
      </w:r>
      <w:r w:rsidR="00754DB4">
        <w:rPr>
          <w:i/>
        </w:rPr>
        <w:t xml:space="preserve"> </w:t>
      </w:r>
      <w:r w:rsidRPr="00440DEE">
        <w:rPr>
          <w:i/>
        </w:rPr>
        <w:t>cinerea</w:t>
      </w:r>
      <w:r w:rsidRPr="00440DEE">
        <w:t xml:space="preserve"> in a dose-dependent manner (Ferrari </w:t>
      </w:r>
      <w:r w:rsidRPr="00440DEE">
        <w:rPr>
          <w:i/>
        </w:rPr>
        <w:t>et al</w:t>
      </w:r>
      <w:r w:rsidRPr="00440DEE">
        <w:t xml:space="preserve">., 2003) and reveals a ten times lower inhibitory concentration for sensitive fungi than for Gram negative bacteria like </w:t>
      </w:r>
      <w:r w:rsidR="00754DB4">
        <w:rPr>
          <w:i/>
        </w:rPr>
        <w:t>Psm</w:t>
      </w:r>
      <w:r w:rsidRPr="00440DEE">
        <w:t xml:space="preserve"> (Glawischnig, 2007). The importance of camalexin accumulation upon </w:t>
      </w:r>
      <w:r w:rsidRPr="00440DEE">
        <w:rPr>
          <w:i/>
        </w:rPr>
        <w:t>Botrytis</w:t>
      </w:r>
      <w:r w:rsidR="00572C89">
        <w:t>-</w:t>
      </w:r>
      <w:r w:rsidRPr="00440DEE">
        <w:t xml:space="preserve">infection is also emphasised by the high susceptibility of the phytoalexin-deficient mutant lines </w:t>
      </w:r>
      <w:r w:rsidRPr="00440DEE">
        <w:rPr>
          <w:i/>
        </w:rPr>
        <w:t>pad2</w:t>
      </w:r>
      <w:r w:rsidRPr="00440DEE">
        <w:t xml:space="preserve"> and </w:t>
      </w:r>
      <w:r w:rsidRPr="00440DEE">
        <w:rPr>
          <w:i/>
        </w:rPr>
        <w:t>pad3</w:t>
      </w:r>
      <w:r w:rsidRPr="00440DEE">
        <w:t xml:space="preserve"> towards </w:t>
      </w:r>
      <w:r w:rsidRPr="00440DEE">
        <w:rPr>
          <w:i/>
        </w:rPr>
        <w:t>Botrytis</w:t>
      </w:r>
      <w:r w:rsidR="00572C89">
        <w:t>-</w:t>
      </w:r>
      <w:r w:rsidRPr="00440DEE">
        <w:t xml:space="preserve">infection (Glazebrook and Ausubel, 1994; Ferrari </w:t>
      </w:r>
      <w:r w:rsidRPr="00440DEE">
        <w:rPr>
          <w:i/>
        </w:rPr>
        <w:t>et al</w:t>
      </w:r>
      <w:r w:rsidRPr="00440DEE">
        <w:t xml:space="preserve">., 2003). The oxylipin derivative </w:t>
      </w:r>
      <w:r w:rsidR="00754DB4">
        <w:t>JA</w:t>
      </w:r>
      <w:r w:rsidRPr="00440DEE">
        <w:t xml:space="preserve"> was also found to accumulate in </w:t>
      </w:r>
      <w:r w:rsidRPr="00440DEE">
        <w:rPr>
          <w:i/>
        </w:rPr>
        <w:t>Botrytis-</w:t>
      </w:r>
      <w:r w:rsidRPr="00440DEE">
        <w:t xml:space="preserve">infected plants (Figure </w:t>
      </w:r>
      <w:r w:rsidR="00824C19">
        <w:t>33</w:t>
      </w:r>
      <w:r w:rsidR="00687091">
        <w:t xml:space="preserve"> C</w:t>
      </w:r>
      <w:r w:rsidRPr="00440DEE">
        <w:t>) simultaneously with ongoi</w:t>
      </w:r>
      <w:r w:rsidR="00301015">
        <w:t xml:space="preserve">ng destruction of leaf tissue. </w:t>
      </w:r>
      <w:r w:rsidRPr="00440DEE">
        <w:t>Plants infected with the fungus also exhibited moderate accumulation</w:t>
      </w:r>
      <w:r w:rsidR="005A1E49">
        <w:t xml:space="preserve"> of </w:t>
      </w:r>
      <w:r w:rsidR="00754DB4">
        <w:t>Pip</w:t>
      </w:r>
      <w:r w:rsidR="00824C19">
        <w:t xml:space="preserve"> (Figure 33</w:t>
      </w:r>
      <w:r w:rsidR="005A1E49">
        <w:t xml:space="preserve"> </w:t>
      </w:r>
      <w:r w:rsidRPr="00440DEE">
        <w:t xml:space="preserve">E), </w:t>
      </w:r>
      <w:r w:rsidR="00754DB4">
        <w:t>GABA</w:t>
      </w:r>
      <w:r w:rsidR="00824C19">
        <w:t xml:space="preserve"> </w:t>
      </w:r>
      <w:r w:rsidR="00754DB4">
        <w:t>(</w:t>
      </w:r>
      <w:r w:rsidR="00824C19">
        <w:t>Figure 33</w:t>
      </w:r>
      <w:r w:rsidR="005A1E49">
        <w:t xml:space="preserve"> </w:t>
      </w:r>
      <w:r w:rsidRPr="00440DEE">
        <w:t>F), and a number of not yet ident</w:t>
      </w:r>
      <w:r w:rsidR="00824C19">
        <w:t xml:space="preserve">ified compounds </w:t>
      </w:r>
      <w:r w:rsidR="00572C89">
        <w:t xml:space="preserve">at 3 dpi </w:t>
      </w:r>
      <w:r w:rsidR="00824C19">
        <w:t>(Table 2</w:t>
      </w:r>
      <w:r w:rsidRPr="00440DEE">
        <w:t xml:space="preserve">). </w:t>
      </w:r>
      <w:r w:rsidR="001A49D9">
        <w:t xml:space="preserve">The results from this experiment show that </w:t>
      </w:r>
      <w:r w:rsidR="00754DB4">
        <w:t>Pip</w:t>
      </w:r>
      <w:r w:rsidR="001A49D9">
        <w:t xml:space="preserve"> does not exclusively accumulate after infection with the bacterium </w:t>
      </w:r>
      <w:r w:rsidR="00754DB4">
        <w:rPr>
          <w:i/>
        </w:rPr>
        <w:t>Psm</w:t>
      </w:r>
      <w:r w:rsidR="001A49D9">
        <w:t xml:space="preserve">, but also with the fungus </w:t>
      </w:r>
      <w:r w:rsidR="001A49D9" w:rsidRPr="001A49D9">
        <w:rPr>
          <w:i/>
        </w:rPr>
        <w:t>B.</w:t>
      </w:r>
      <w:r w:rsidR="00754DB4">
        <w:rPr>
          <w:i/>
        </w:rPr>
        <w:t xml:space="preserve"> </w:t>
      </w:r>
      <w:r w:rsidR="001A49D9" w:rsidRPr="001A49D9">
        <w:rPr>
          <w:i/>
        </w:rPr>
        <w:t>cinerea</w:t>
      </w:r>
      <w:r w:rsidR="001A49D9">
        <w:t>. This allows the conclusion that this critical compound is not only involved in defence agai</w:t>
      </w:r>
      <w:r w:rsidR="00572C89">
        <w:t>nst hemibiotrophic, but may also</w:t>
      </w:r>
      <w:r w:rsidR="001A49D9">
        <w:t xml:space="preserve"> play a role in defence against necrotrophic pathogens. </w:t>
      </w:r>
      <w:r w:rsidRPr="00440DEE">
        <w:t>For GABA</w:t>
      </w:r>
      <w:r w:rsidR="005A1E49">
        <w:t>,</w:t>
      </w:r>
      <w:r w:rsidRPr="00440DEE">
        <w:t xml:space="preserve"> a very important role in defence against necrotrophic pathogens was shown before: In ABA-deficient tomato (</w:t>
      </w:r>
      <w:r w:rsidRPr="00440DEE">
        <w:rPr>
          <w:i/>
        </w:rPr>
        <w:t>Solanum lycopersicum</w:t>
      </w:r>
      <w:r w:rsidRPr="00440DEE">
        <w:t xml:space="preserve">) </w:t>
      </w:r>
      <w:r w:rsidRPr="00440DEE">
        <w:rPr>
          <w:i/>
        </w:rPr>
        <w:t>sitiens</w:t>
      </w:r>
      <w:r w:rsidRPr="00440DEE">
        <w:t xml:space="preserve"> plants, survival of cells around the pathogen-invaded tissue was preserv</w:t>
      </w:r>
      <w:r w:rsidR="00754DB4">
        <w:t>ed by changes in C</w:t>
      </w:r>
      <w:proofErr w:type="gramStart"/>
      <w:r w:rsidR="00754DB4">
        <w:t>:N</w:t>
      </w:r>
      <w:proofErr w:type="gramEnd"/>
      <w:r w:rsidR="00754DB4">
        <w:t xml:space="preserve"> metabolism</w:t>
      </w:r>
      <w:r w:rsidRPr="00440DEE">
        <w:t xml:space="preserve"> via over-activation of the GS/GOGAT </w:t>
      </w:r>
      <w:r w:rsidR="00754DB4">
        <w:t>(</w:t>
      </w:r>
      <w:r w:rsidR="00754DB4" w:rsidRPr="00754DB4">
        <w:t>Glutamine synthetase/glutamate synthase</w:t>
      </w:r>
      <w:r w:rsidR="00754DB4">
        <w:t xml:space="preserve">) </w:t>
      </w:r>
      <w:r w:rsidRPr="00440DEE">
        <w:t>cycle and GABA shunt, leading to a slowing-down of pathogen-induced sene</w:t>
      </w:r>
      <w:r w:rsidR="00572C89">
        <w:t>s</w:t>
      </w:r>
      <w:r w:rsidRPr="00440DEE">
        <w:t xml:space="preserve">cence </w:t>
      </w:r>
      <w:r w:rsidR="00C16CE3">
        <w:t>on</w:t>
      </w:r>
      <w:r w:rsidRPr="00440DEE">
        <w:t xml:space="preserve"> the site of </w:t>
      </w:r>
      <w:r w:rsidRPr="00440DEE">
        <w:lastRenderedPageBreak/>
        <w:t xml:space="preserve">primary invasion (Seifi </w:t>
      </w:r>
      <w:r w:rsidRPr="00440DEE">
        <w:rPr>
          <w:i/>
        </w:rPr>
        <w:t>et al</w:t>
      </w:r>
      <w:r w:rsidR="00754DB4">
        <w:t>., 2013). GABA-</w:t>
      </w:r>
      <w:r w:rsidRPr="00440DEE">
        <w:t>accumulation was shown to be induced by several biotic and abiotic stresses, which implies several roles for this compound, for example in regulation of cytosolic pH, protection against oxidative stress, and signalling (Roberts, 2007). In mammals, GABA is a very prominent neurotransmitter, which negatively regulates excitability of</w:t>
      </w:r>
      <w:r w:rsidR="003250EC">
        <w:t xml:space="preserve"> the nervous system. In insects</w:t>
      </w:r>
      <w:r w:rsidRPr="00440DEE">
        <w:t xml:space="preserve"> it was shown to participate in both stimulating and repressing activities in regulation of muscle activity and of certain glands (</w:t>
      </w:r>
      <w:r w:rsidR="00742C4D" w:rsidRPr="00742C4D">
        <w:t xml:space="preserve">Ffrench-Constant </w:t>
      </w:r>
      <w:r w:rsidR="00742C4D" w:rsidRPr="00742C4D">
        <w:rPr>
          <w:i/>
        </w:rPr>
        <w:t>et al</w:t>
      </w:r>
      <w:r w:rsidR="00742C4D" w:rsidRPr="00742C4D">
        <w:t>., 1993</w:t>
      </w:r>
      <w:r w:rsidR="00742C4D">
        <w:t xml:space="preserve">; </w:t>
      </w:r>
      <w:r w:rsidRPr="00440DEE">
        <w:t xml:space="preserve">Watanabe </w:t>
      </w:r>
      <w:r w:rsidRPr="00824C19">
        <w:rPr>
          <w:i/>
        </w:rPr>
        <w:t>et al</w:t>
      </w:r>
      <w:r w:rsidRPr="00440DEE">
        <w:t>., 2002</w:t>
      </w:r>
      <w:r w:rsidR="00301015">
        <w:t>).</w:t>
      </w:r>
      <w:r w:rsidR="00572C89">
        <w:t xml:space="preserve"> It is possible that GABA plays a role in plant signalling as well, comparable to its role in animals.</w:t>
      </w:r>
      <w:r w:rsidR="00301015">
        <w:t xml:space="preserve"> </w:t>
      </w:r>
      <w:r w:rsidRPr="00440DEE">
        <w:t xml:space="preserve">Infection of </w:t>
      </w:r>
      <w:r w:rsidR="00CF4875">
        <w:rPr>
          <w:i/>
        </w:rPr>
        <w:t>A.</w:t>
      </w:r>
      <w:r w:rsidR="00C16CE3">
        <w:rPr>
          <w:i/>
        </w:rPr>
        <w:t xml:space="preserve"> thaliana</w:t>
      </w:r>
      <w:r w:rsidRPr="00440DEE">
        <w:t xml:space="preserve"> with </w:t>
      </w:r>
      <w:r w:rsidRPr="00440DEE">
        <w:rPr>
          <w:i/>
        </w:rPr>
        <w:t>B.</w:t>
      </w:r>
      <w:r w:rsidR="00754DB4">
        <w:rPr>
          <w:i/>
        </w:rPr>
        <w:t xml:space="preserve"> </w:t>
      </w:r>
      <w:r w:rsidRPr="00440DEE">
        <w:rPr>
          <w:i/>
        </w:rPr>
        <w:t>cinerea</w:t>
      </w:r>
      <w:r w:rsidRPr="00440DEE">
        <w:t xml:space="preserve"> not only lead to an increase in levels of known metabolites, but also induced accumulation of so </w:t>
      </w:r>
      <w:r w:rsidR="00742C4D">
        <w:t>far un</w:t>
      </w:r>
      <w:r w:rsidR="00824C19">
        <w:t>identified substances (T</w:t>
      </w:r>
      <w:r w:rsidRPr="00440DEE">
        <w:t>ab</w:t>
      </w:r>
      <w:r w:rsidR="00824C19">
        <w:t>le 2</w:t>
      </w:r>
      <w:r w:rsidRPr="00440DEE">
        <w:t xml:space="preserve">). A few of these metabolites, namely </w:t>
      </w:r>
      <w:r w:rsidR="00754DB4">
        <w:t>“</w:t>
      </w:r>
      <w:r w:rsidRPr="00440DEE">
        <w:t>unknown 3</w:t>
      </w:r>
      <w:r w:rsidR="00754DB4">
        <w:t>”</w:t>
      </w:r>
      <w:r w:rsidRPr="00440DEE">
        <w:t xml:space="preserve">, </w:t>
      </w:r>
      <w:r w:rsidR="00754DB4">
        <w:t>“</w:t>
      </w:r>
      <w:r w:rsidRPr="00440DEE">
        <w:t>unknown 9</w:t>
      </w:r>
      <w:r w:rsidR="00754DB4">
        <w:t>”</w:t>
      </w:r>
      <w:r w:rsidRPr="00440DEE">
        <w:t xml:space="preserve">, and </w:t>
      </w:r>
      <w:r w:rsidR="00754DB4">
        <w:t>“</w:t>
      </w:r>
      <w:r w:rsidRPr="00440DEE">
        <w:t>unknown 13</w:t>
      </w:r>
      <w:r w:rsidR="00754DB4">
        <w:t>”</w:t>
      </w:r>
      <w:r w:rsidRPr="00440DEE">
        <w:t xml:space="preserve"> (</w:t>
      </w:r>
      <w:r w:rsidR="00824C19">
        <w:t>Figure 34</w:t>
      </w:r>
      <w:r w:rsidRPr="00440DEE">
        <w:t xml:space="preserve">) showed very high fold changes of accumulation, from barely detectable in mock-treated plants to </w:t>
      </w:r>
      <w:r w:rsidR="00742C4D">
        <w:t>comparatively high</w:t>
      </w:r>
      <w:r w:rsidRPr="00440DEE">
        <w:t xml:space="preserve"> amounts in infected plants, and were not present in plants after infection with other pat</w:t>
      </w:r>
      <w:r w:rsidR="00824C19">
        <w:t>hogens analysed (Table 5</w:t>
      </w:r>
      <w:r w:rsidR="00301015">
        <w:t xml:space="preserve">). </w:t>
      </w:r>
    </w:p>
    <w:p w:rsidR="00E07D2C" w:rsidRDefault="003250EC" w:rsidP="00A65127">
      <w:pPr>
        <w:spacing w:after="0" w:line="360" w:lineRule="auto"/>
        <w:ind w:firstLine="708"/>
        <w:jc w:val="both"/>
      </w:pPr>
      <w:r>
        <w:t>After establishing 3 dpi</w:t>
      </w:r>
      <w:r w:rsidR="00440DEE" w:rsidRPr="00440DEE">
        <w:t xml:space="preserve"> </w:t>
      </w:r>
      <w:r>
        <w:t>–</w:t>
      </w:r>
      <w:r w:rsidR="00440DEE" w:rsidRPr="00440DEE">
        <w:t>when plants show distinct lesions, b</w:t>
      </w:r>
      <w:r>
        <w:t>ut leaves are not macerated yet–</w:t>
      </w:r>
      <w:r w:rsidR="00440DEE" w:rsidRPr="00440DEE">
        <w:t xml:space="preserve"> as the most suitable time point for further experiments, metabolite analyses in Col-0 and a set of </w:t>
      </w:r>
      <w:r w:rsidR="00440DEE" w:rsidRPr="00440DEE">
        <w:rPr>
          <w:i/>
        </w:rPr>
        <w:t>Arabidopsis</w:t>
      </w:r>
      <w:r w:rsidR="00440DEE" w:rsidRPr="00440DEE">
        <w:t xml:space="preserve"> mutants impaired in different signalling or biosynthesis pathways were conducted (Figure </w:t>
      </w:r>
      <w:r w:rsidR="00824C19">
        <w:t>35</w:t>
      </w:r>
      <w:r w:rsidR="00440DEE" w:rsidRPr="00440DEE">
        <w:t xml:space="preserve">). </w:t>
      </w:r>
      <w:r w:rsidR="005A1E49">
        <w:t xml:space="preserve">No </w:t>
      </w:r>
      <w:r w:rsidR="00754DB4">
        <w:t>SA-</w:t>
      </w:r>
      <w:r w:rsidR="00440DEE" w:rsidRPr="00440DEE">
        <w:t xml:space="preserve">accumulation in infected leaves was observed in Col-0, </w:t>
      </w:r>
      <w:r w:rsidR="00440DEE" w:rsidRPr="00440DEE">
        <w:rPr>
          <w:i/>
        </w:rPr>
        <w:t>ald1</w:t>
      </w:r>
      <w:r w:rsidR="00440DEE" w:rsidRPr="00440DEE">
        <w:t xml:space="preserve">, the phytoalexin-deficient </w:t>
      </w:r>
      <w:r w:rsidR="00440DEE" w:rsidRPr="00440DEE">
        <w:rPr>
          <w:i/>
        </w:rPr>
        <w:t>pad2</w:t>
      </w:r>
      <w:r w:rsidR="00440DEE" w:rsidRPr="00440DEE">
        <w:t xml:space="preserve"> and </w:t>
      </w:r>
      <w:r w:rsidR="00440DEE" w:rsidRPr="00440DEE">
        <w:rPr>
          <w:i/>
        </w:rPr>
        <w:t>pad3</w:t>
      </w:r>
      <w:r w:rsidR="00440DEE" w:rsidRPr="00440DEE">
        <w:t xml:space="preserve">, the ethylene receptor mutant </w:t>
      </w:r>
      <w:r w:rsidR="00440DEE" w:rsidRPr="00440DEE">
        <w:rPr>
          <w:i/>
        </w:rPr>
        <w:t>etr1-1</w:t>
      </w:r>
      <w:r w:rsidR="00440DEE" w:rsidRPr="00440DEE">
        <w:t xml:space="preserve">, and also not in </w:t>
      </w:r>
      <w:r w:rsidR="00440DEE" w:rsidRPr="00440DEE">
        <w:rPr>
          <w:i/>
        </w:rPr>
        <w:t>sid2</w:t>
      </w:r>
      <w:r w:rsidR="00440DEE" w:rsidRPr="00440DEE">
        <w:t xml:space="preserve"> (</w:t>
      </w:r>
      <w:r w:rsidR="00824C19">
        <w:t>Figure 35</w:t>
      </w:r>
      <w:r w:rsidR="005A1E49">
        <w:t xml:space="preserve"> A</w:t>
      </w:r>
      <w:r w:rsidR="00CF4875">
        <w:t>). A slight increase in SA-</w:t>
      </w:r>
      <w:r w:rsidR="00440DEE" w:rsidRPr="00440DEE">
        <w:t xml:space="preserve">levels exhibited the JA-insensitive </w:t>
      </w:r>
      <w:r w:rsidR="00440DEE" w:rsidRPr="00440DEE">
        <w:rPr>
          <w:i/>
        </w:rPr>
        <w:t>coi1</w:t>
      </w:r>
      <w:r w:rsidR="00440DEE" w:rsidRPr="00440DEE">
        <w:t xml:space="preserve"> mutant and in </w:t>
      </w:r>
      <w:r w:rsidR="00440DEE" w:rsidRPr="00440DEE">
        <w:rPr>
          <w:i/>
        </w:rPr>
        <w:t>fmo1</w:t>
      </w:r>
      <w:r w:rsidR="00440DEE" w:rsidRPr="00440DEE">
        <w:t xml:space="preserve"> a consid</w:t>
      </w:r>
      <w:r w:rsidR="00C16CE3">
        <w:t xml:space="preserve">erable increase was found for </w:t>
      </w:r>
      <w:r w:rsidR="00754DB4">
        <w:t>SA</w:t>
      </w:r>
      <w:r w:rsidR="00440DEE" w:rsidRPr="00440DEE">
        <w:t xml:space="preserve">. The ethylene insensitive mutant </w:t>
      </w:r>
      <w:r w:rsidR="00440DEE" w:rsidRPr="00440DEE">
        <w:rPr>
          <w:i/>
        </w:rPr>
        <w:t>ein2-1</w:t>
      </w:r>
      <w:r w:rsidR="00440DEE" w:rsidRPr="00440DEE">
        <w:t xml:space="preserve"> displayed four times more </w:t>
      </w:r>
      <w:r w:rsidR="00754DB4">
        <w:t>SA</w:t>
      </w:r>
      <w:r w:rsidR="00440DEE" w:rsidRPr="00440DEE">
        <w:t xml:space="preserve"> than Col-0 in mock-treated lea</w:t>
      </w:r>
      <w:r w:rsidR="00CF4875">
        <w:t>ves and showed a decrease in SA-</w:t>
      </w:r>
      <w:r w:rsidR="00440DEE" w:rsidRPr="00440DEE">
        <w:t xml:space="preserve">levels upon infection with </w:t>
      </w:r>
      <w:r w:rsidR="00440DEE" w:rsidRPr="00440DEE">
        <w:rPr>
          <w:i/>
        </w:rPr>
        <w:t>B.</w:t>
      </w:r>
      <w:r w:rsidR="00754DB4">
        <w:rPr>
          <w:i/>
        </w:rPr>
        <w:t xml:space="preserve"> </w:t>
      </w:r>
      <w:r w:rsidR="00440DEE" w:rsidRPr="00440DEE">
        <w:rPr>
          <w:i/>
        </w:rPr>
        <w:t>cinerea</w:t>
      </w:r>
      <w:r w:rsidR="00440DEE" w:rsidRPr="00440DEE">
        <w:t>. Previously, EI</w:t>
      </w:r>
      <w:r w:rsidR="005A1E49">
        <w:t>N3</w:t>
      </w:r>
      <w:r w:rsidR="00742C4D">
        <w:t>,</w:t>
      </w:r>
      <w:r w:rsidR="005A1E49">
        <w:t xml:space="preserve"> in combination with EIL1</w:t>
      </w:r>
      <w:r w:rsidR="00742C4D">
        <w:t>,</w:t>
      </w:r>
      <w:r w:rsidR="005A1E49">
        <w:t xml:space="preserve"> was</w:t>
      </w:r>
      <w:r w:rsidR="00440DEE" w:rsidRPr="00440DEE">
        <w:t xml:space="preserve"> </w:t>
      </w:r>
      <w:r w:rsidR="00754DB4">
        <w:t>shown to negatively regulate SA-</w:t>
      </w:r>
      <w:r w:rsidR="00440DEE" w:rsidRPr="00440DEE">
        <w:t xml:space="preserve">biosynthesis by repressing </w:t>
      </w:r>
      <w:r w:rsidR="00440DEE" w:rsidRPr="00440DEE">
        <w:rPr>
          <w:i/>
        </w:rPr>
        <w:t>SID2</w:t>
      </w:r>
      <w:r w:rsidR="00CF4875">
        <w:t xml:space="preserve"> </w:t>
      </w:r>
      <w:r w:rsidR="00440DEE" w:rsidRPr="00440DEE">
        <w:t xml:space="preserve">expression, and the </w:t>
      </w:r>
      <w:r w:rsidR="00440DEE" w:rsidRPr="00440DEE">
        <w:rPr>
          <w:i/>
        </w:rPr>
        <w:t>ein3-1 eil1-1</w:t>
      </w:r>
      <w:r w:rsidR="00440DEE" w:rsidRPr="00440DEE">
        <w:t xml:space="preserve"> double mutant was also shown to constitutively accumulate SA in the absence of </w:t>
      </w:r>
      <w:r w:rsidR="00754DB4">
        <w:rPr>
          <w:i/>
        </w:rPr>
        <w:t>Psm</w:t>
      </w:r>
      <w:r w:rsidR="00440DEE" w:rsidRPr="00440DEE">
        <w:t xml:space="preserve"> (Chen </w:t>
      </w:r>
      <w:r w:rsidR="00440DEE" w:rsidRPr="00440DEE">
        <w:rPr>
          <w:i/>
        </w:rPr>
        <w:t>et al</w:t>
      </w:r>
      <w:r w:rsidR="00440DEE" w:rsidRPr="00440DEE">
        <w:t xml:space="preserve">., 2009). As </w:t>
      </w:r>
      <w:r w:rsidR="00440DEE" w:rsidRPr="00440DEE">
        <w:rPr>
          <w:i/>
        </w:rPr>
        <w:t xml:space="preserve">ein2-1 </w:t>
      </w:r>
      <w:r w:rsidR="00440DEE" w:rsidRPr="00440DEE">
        <w:t xml:space="preserve">also accumulated high </w:t>
      </w:r>
      <w:r w:rsidR="00754DB4">
        <w:t>SA-</w:t>
      </w:r>
      <w:r w:rsidR="00CF4875">
        <w:t>amounts</w:t>
      </w:r>
      <w:r w:rsidR="00440DEE" w:rsidRPr="00440DEE">
        <w:t xml:space="preserve"> in the absence of </w:t>
      </w:r>
      <w:r w:rsidR="00440DEE" w:rsidRPr="00440DEE">
        <w:rPr>
          <w:i/>
        </w:rPr>
        <w:t>B.</w:t>
      </w:r>
      <w:r w:rsidR="00754DB4">
        <w:rPr>
          <w:i/>
        </w:rPr>
        <w:t xml:space="preserve"> </w:t>
      </w:r>
      <w:r w:rsidR="00440DEE" w:rsidRPr="00440DEE">
        <w:rPr>
          <w:i/>
        </w:rPr>
        <w:t>cinerea</w:t>
      </w:r>
      <w:r w:rsidR="00440DEE" w:rsidRPr="00440DEE">
        <w:t>, a similar role might be possible for this gene in the interacti</w:t>
      </w:r>
      <w:r w:rsidR="00301015">
        <w:t xml:space="preserve">on of plants with necrotrophs. </w:t>
      </w:r>
      <w:r w:rsidR="00440DEE" w:rsidRPr="00440DEE">
        <w:t xml:space="preserve">Camalexin accumulated to moderate levels in Col-0, </w:t>
      </w:r>
      <w:r w:rsidR="00440DEE" w:rsidRPr="00440DEE">
        <w:rPr>
          <w:i/>
        </w:rPr>
        <w:t>ald1, etr1-1</w:t>
      </w:r>
      <w:r w:rsidR="00440DEE" w:rsidRPr="00440DEE">
        <w:t xml:space="preserve">, and in </w:t>
      </w:r>
      <w:r w:rsidR="00440DEE" w:rsidRPr="00440DEE">
        <w:rPr>
          <w:i/>
        </w:rPr>
        <w:t xml:space="preserve">ein2-1 </w:t>
      </w:r>
      <w:r w:rsidR="00824C19">
        <w:t>(Figure 35</w:t>
      </w:r>
      <w:r w:rsidR="009C3FB5">
        <w:t xml:space="preserve"> B</w:t>
      </w:r>
      <w:r w:rsidR="00824C19">
        <w:t>). No c</w:t>
      </w:r>
      <w:r w:rsidR="00440DEE" w:rsidRPr="00440DEE">
        <w:t xml:space="preserve">amalexin accumulation was observed for </w:t>
      </w:r>
      <w:r w:rsidR="00440DEE" w:rsidRPr="00440DEE">
        <w:rPr>
          <w:i/>
        </w:rPr>
        <w:t xml:space="preserve">coi1, </w:t>
      </w:r>
      <w:r w:rsidR="00440DEE" w:rsidRPr="00440DEE">
        <w:t xml:space="preserve">as well as for </w:t>
      </w:r>
      <w:r w:rsidR="00440DEE" w:rsidRPr="00440DEE">
        <w:rPr>
          <w:i/>
        </w:rPr>
        <w:t>pad2</w:t>
      </w:r>
      <w:r w:rsidR="00440DEE" w:rsidRPr="00440DEE">
        <w:t xml:space="preserve"> and </w:t>
      </w:r>
      <w:r w:rsidR="00440DEE" w:rsidRPr="00440DEE">
        <w:rPr>
          <w:i/>
        </w:rPr>
        <w:t>pad3</w:t>
      </w:r>
      <w:r w:rsidR="00440DEE" w:rsidRPr="00440DEE">
        <w:t xml:space="preserve">, and significantly higher </w:t>
      </w:r>
      <w:r w:rsidR="00754DB4">
        <w:t xml:space="preserve">camalexin </w:t>
      </w:r>
      <w:r w:rsidR="00440DEE" w:rsidRPr="00440DEE">
        <w:t xml:space="preserve">levels </w:t>
      </w:r>
      <w:r w:rsidR="00754DB4">
        <w:t>were quantified</w:t>
      </w:r>
      <w:r w:rsidR="00440DEE" w:rsidRPr="00440DEE">
        <w:t xml:space="preserve"> in </w:t>
      </w:r>
      <w:r w:rsidR="00440DEE" w:rsidRPr="00440DEE">
        <w:rPr>
          <w:i/>
        </w:rPr>
        <w:t>fmo1</w:t>
      </w:r>
      <w:r w:rsidR="00440DEE" w:rsidRPr="00440DEE">
        <w:t xml:space="preserve"> and </w:t>
      </w:r>
      <w:r w:rsidR="00440DEE" w:rsidRPr="00440DEE">
        <w:rPr>
          <w:i/>
        </w:rPr>
        <w:t>sid2</w:t>
      </w:r>
      <w:r w:rsidR="00440DEE" w:rsidRPr="00440DEE">
        <w:t>. It w</w:t>
      </w:r>
      <w:r w:rsidR="00824C19">
        <w:t>as quite surprising to find c</w:t>
      </w:r>
      <w:r w:rsidR="00440DEE" w:rsidRPr="00440DEE">
        <w:t>amalexin</w:t>
      </w:r>
      <w:r w:rsidR="00824C19">
        <w:t xml:space="preserve"> not</w:t>
      </w:r>
      <w:r w:rsidR="00440DEE" w:rsidRPr="00440DEE">
        <w:t xml:space="preserve"> a</w:t>
      </w:r>
      <w:r w:rsidR="00824C19">
        <w:t>ccumulating</w:t>
      </w:r>
      <w:r w:rsidR="00440DEE" w:rsidRPr="00440DEE">
        <w:t xml:space="preserve"> in </w:t>
      </w:r>
      <w:r w:rsidR="00440DEE" w:rsidRPr="00440DEE">
        <w:rPr>
          <w:i/>
        </w:rPr>
        <w:t>coi1</w:t>
      </w:r>
      <w:r w:rsidR="00440DEE" w:rsidRPr="00440DEE">
        <w:t xml:space="preserve"> upon </w:t>
      </w:r>
      <w:r w:rsidR="00440DEE" w:rsidRPr="00440DEE">
        <w:rPr>
          <w:i/>
        </w:rPr>
        <w:t>Botrytis</w:t>
      </w:r>
      <w:r w:rsidR="00754DB4">
        <w:t>-</w:t>
      </w:r>
      <w:r w:rsidR="00440DEE" w:rsidRPr="00440DEE">
        <w:t xml:space="preserve">infection, as this mutant was not described as lacking camalexin before and </w:t>
      </w:r>
      <w:r w:rsidR="00440DEE" w:rsidRPr="00440DEE">
        <w:rPr>
          <w:i/>
        </w:rPr>
        <w:t>PAD3</w:t>
      </w:r>
      <w:r w:rsidR="00754DB4">
        <w:t>-</w:t>
      </w:r>
      <w:r w:rsidR="00440DEE" w:rsidRPr="00440DEE">
        <w:t xml:space="preserve">expression was found to be not impaired by </w:t>
      </w:r>
      <w:r w:rsidR="00440DEE" w:rsidRPr="00440DEE">
        <w:rPr>
          <w:i/>
        </w:rPr>
        <w:t>coi1</w:t>
      </w:r>
      <w:r w:rsidR="00440DEE" w:rsidRPr="00440DEE">
        <w:t xml:space="preserve">, </w:t>
      </w:r>
      <w:r w:rsidR="00754DB4">
        <w:t xml:space="preserve">resulting in </w:t>
      </w:r>
      <w:r w:rsidR="00440DEE" w:rsidRPr="00440DEE">
        <w:rPr>
          <w:i/>
        </w:rPr>
        <w:t>PAD3</w:t>
      </w:r>
      <w:r w:rsidR="00754DB4">
        <w:t xml:space="preserve"> expression </w:t>
      </w:r>
      <w:r w:rsidR="00446933">
        <w:t xml:space="preserve">being </w:t>
      </w:r>
      <w:r w:rsidR="00754DB4">
        <w:t>independent of JA-</w:t>
      </w:r>
      <w:r w:rsidR="00440DEE" w:rsidRPr="00440DEE">
        <w:t xml:space="preserve">signalling in the </w:t>
      </w:r>
      <w:r w:rsidR="00440DEE" w:rsidRPr="00440DEE">
        <w:rPr>
          <w:i/>
        </w:rPr>
        <w:t>Arabidopsis-Botrytis</w:t>
      </w:r>
      <w:r w:rsidR="00440DEE" w:rsidRPr="00440DEE">
        <w:t xml:space="preserve"> interaction (Ferrari </w:t>
      </w:r>
      <w:r w:rsidR="00440DEE" w:rsidRPr="00440DEE">
        <w:rPr>
          <w:i/>
        </w:rPr>
        <w:t>et al</w:t>
      </w:r>
      <w:r w:rsidR="00440DEE" w:rsidRPr="00440DEE">
        <w:t xml:space="preserve">., 2007). The ability of </w:t>
      </w:r>
      <w:r w:rsidR="00440DEE" w:rsidRPr="00440DEE">
        <w:rPr>
          <w:i/>
        </w:rPr>
        <w:t>coi1</w:t>
      </w:r>
      <w:r w:rsidR="00440DEE" w:rsidRPr="00440DEE">
        <w:t xml:space="preserve"> to synthesize camalexin upon </w:t>
      </w:r>
      <w:r w:rsidR="00440DEE" w:rsidRPr="00440DEE">
        <w:rPr>
          <w:i/>
        </w:rPr>
        <w:t>Botrytis</w:t>
      </w:r>
      <w:r w:rsidR="00CF4875">
        <w:t>-</w:t>
      </w:r>
      <w:r w:rsidR="00440DEE" w:rsidRPr="00440DEE">
        <w:t>infection will have to be v</w:t>
      </w:r>
      <w:r w:rsidR="00301015">
        <w:t xml:space="preserve">erified in future experiments. </w:t>
      </w:r>
      <w:r w:rsidR="00440DEE" w:rsidRPr="00440DEE">
        <w:t xml:space="preserve">Analysis of </w:t>
      </w:r>
      <w:r w:rsidR="00446933">
        <w:t>Pip-</w:t>
      </w:r>
      <w:r w:rsidR="00440DEE" w:rsidRPr="00440DEE">
        <w:t>accumulation yiel</w:t>
      </w:r>
      <w:r w:rsidR="00446933">
        <w:t xml:space="preserve">ded comparatively </w:t>
      </w:r>
      <w:r w:rsidR="00E011FF">
        <w:t>low increases</w:t>
      </w:r>
      <w:r w:rsidR="00440DEE" w:rsidRPr="00440DEE">
        <w:t xml:space="preserve"> in Col-0, </w:t>
      </w:r>
      <w:r w:rsidR="00440DEE" w:rsidRPr="00440DEE">
        <w:rPr>
          <w:i/>
        </w:rPr>
        <w:t>fmo1, pad2, pad3</w:t>
      </w:r>
      <w:r w:rsidR="00440DEE" w:rsidRPr="00440DEE">
        <w:t xml:space="preserve">, and </w:t>
      </w:r>
      <w:r w:rsidR="00440DEE" w:rsidRPr="00440DEE">
        <w:rPr>
          <w:i/>
        </w:rPr>
        <w:t>sid2</w:t>
      </w:r>
      <w:r w:rsidR="00446933">
        <w:t>, and n</w:t>
      </w:r>
      <w:r w:rsidR="00440DEE" w:rsidRPr="00440DEE">
        <w:t>o</w:t>
      </w:r>
      <w:r w:rsidR="00E011FF">
        <w:t>ne</w:t>
      </w:r>
      <w:r w:rsidR="00440DEE" w:rsidRPr="00440DEE">
        <w:t xml:space="preserve"> in the Pip-biosynthesis mutant </w:t>
      </w:r>
      <w:r w:rsidR="00440DEE" w:rsidRPr="00440DEE">
        <w:rPr>
          <w:i/>
        </w:rPr>
        <w:t>ald1</w:t>
      </w:r>
      <w:r w:rsidR="00446933">
        <w:rPr>
          <w:i/>
        </w:rPr>
        <w:t xml:space="preserve"> </w:t>
      </w:r>
      <w:r w:rsidR="00446933">
        <w:t>(Figure 35 C).</w:t>
      </w:r>
      <w:r w:rsidR="00C16CE3">
        <w:t xml:space="preserve"> </w:t>
      </w:r>
      <w:r w:rsidR="00446933">
        <w:t xml:space="preserve">Interestingly, </w:t>
      </w:r>
      <w:r w:rsidR="00C16CE3">
        <w:t>moderate</w:t>
      </w:r>
      <w:r w:rsidR="00446933">
        <w:t xml:space="preserve"> to strong</w:t>
      </w:r>
      <w:r w:rsidR="00C16CE3">
        <w:t xml:space="preserve"> </w:t>
      </w:r>
      <w:r w:rsidR="00446933">
        <w:lastRenderedPageBreak/>
        <w:t>Pip-</w:t>
      </w:r>
      <w:r w:rsidR="00C16CE3">
        <w:t>accum</w:t>
      </w:r>
      <w:r w:rsidR="00446933">
        <w:t>ulation was observed in</w:t>
      </w:r>
      <w:r w:rsidR="00440DEE" w:rsidRPr="00440DEE">
        <w:t xml:space="preserve"> </w:t>
      </w:r>
      <w:r w:rsidR="00440DEE" w:rsidRPr="00440DEE">
        <w:rPr>
          <w:i/>
        </w:rPr>
        <w:t>coi1</w:t>
      </w:r>
      <w:r w:rsidR="00446933">
        <w:t xml:space="preserve">, </w:t>
      </w:r>
      <w:r w:rsidR="00440DEE" w:rsidRPr="00440DEE">
        <w:rPr>
          <w:i/>
        </w:rPr>
        <w:t>etr1-1</w:t>
      </w:r>
      <w:r w:rsidR="00440DEE" w:rsidRPr="00440DEE">
        <w:t xml:space="preserve"> and </w:t>
      </w:r>
      <w:r w:rsidR="00440DEE" w:rsidRPr="00440DEE">
        <w:rPr>
          <w:i/>
        </w:rPr>
        <w:t>ein2-1</w:t>
      </w:r>
      <w:r w:rsidR="00446933">
        <w:rPr>
          <w:i/>
        </w:rPr>
        <w:t xml:space="preserve"> </w:t>
      </w:r>
      <w:r w:rsidR="00446933">
        <w:t>(Figure 35 C)</w:t>
      </w:r>
      <w:r w:rsidR="00440DEE" w:rsidRPr="00440DEE">
        <w:t xml:space="preserve">. </w:t>
      </w:r>
      <w:r w:rsidR="00096F03">
        <w:t>This</w:t>
      </w:r>
      <w:r w:rsidR="00446933">
        <w:t xml:space="preserve"> strong increase in Pip-</w:t>
      </w:r>
      <w:r w:rsidR="00096F03" w:rsidRPr="00440DEE">
        <w:t xml:space="preserve">levels in </w:t>
      </w:r>
      <w:r w:rsidR="00096F03" w:rsidRPr="00440DEE">
        <w:rPr>
          <w:i/>
        </w:rPr>
        <w:t>coi1, etr1-1</w:t>
      </w:r>
      <w:r w:rsidR="00096F03" w:rsidRPr="00440DEE">
        <w:t xml:space="preserve">, and especially in </w:t>
      </w:r>
      <w:r w:rsidR="00096F03" w:rsidRPr="00440DEE">
        <w:rPr>
          <w:i/>
        </w:rPr>
        <w:t>ein2-1</w:t>
      </w:r>
      <w:r w:rsidR="00096F03" w:rsidRPr="00440DEE">
        <w:t xml:space="preserve"> after infection with </w:t>
      </w:r>
      <w:r w:rsidR="00096F03" w:rsidRPr="00440DEE">
        <w:rPr>
          <w:i/>
        </w:rPr>
        <w:t>Botrytis</w:t>
      </w:r>
      <w:r w:rsidR="00096F03" w:rsidRPr="00440DEE">
        <w:t xml:space="preserve"> hint at negative regulation of </w:t>
      </w:r>
      <w:r w:rsidR="00446933">
        <w:t>Pip</w:t>
      </w:r>
      <w:r w:rsidR="00CF4875">
        <w:t>-biosynthesis</w:t>
      </w:r>
      <w:r w:rsidR="00096F03" w:rsidRPr="00440DEE">
        <w:t xml:space="preserve"> by the </w:t>
      </w:r>
      <w:r w:rsidR="00446933">
        <w:t>ET/JA-</w:t>
      </w:r>
      <w:r w:rsidR="00096F03" w:rsidRPr="00440DEE">
        <w:t xml:space="preserve">signalling pathway. It was shown before that for expression of the </w:t>
      </w:r>
      <w:r w:rsidR="00096F03" w:rsidRPr="00440DEE">
        <w:rPr>
          <w:i/>
        </w:rPr>
        <w:t>Botrytis</w:t>
      </w:r>
      <w:r w:rsidR="00096F03" w:rsidRPr="00440DEE">
        <w:t xml:space="preserve">-induced defensin gene </w:t>
      </w:r>
      <w:r w:rsidR="00096F03" w:rsidRPr="00440DEE">
        <w:rPr>
          <w:i/>
        </w:rPr>
        <w:t>PDF1.2</w:t>
      </w:r>
      <w:r w:rsidR="00096F03" w:rsidRPr="00440DEE">
        <w:t xml:space="preserve"> the functional components of </w:t>
      </w:r>
      <w:r w:rsidR="00446933">
        <w:t>ET-</w:t>
      </w:r>
      <w:r w:rsidR="00096F03" w:rsidRPr="00440DEE">
        <w:t xml:space="preserve">signalling, </w:t>
      </w:r>
      <w:r w:rsidR="00096F03" w:rsidRPr="00440DEE">
        <w:rPr>
          <w:i/>
        </w:rPr>
        <w:t>EIN2</w:t>
      </w:r>
      <w:r w:rsidR="00096F03" w:rsidRPr="00440DEE">
        <w:t xml:space="preserve"> and </w:t>
      </w:r>
      <w:r w:rsidR="00096F03" w:rsidRPr="00440DEE">
        <w:rPr>
          <w:i/>
        </w:rPr>
        <w:t>ETR1</w:t>
      </w:r>
      <w:r w:rsidR="00096F03" w:rsidRPr="00440DEE">
        <w:t xml:space="preserve">, and </w:t>
      </w:r>
      <w:r w:rsidR="00446933">
        <w:t>JA-</w:t>
      </w:r>
      <w:r w:rsidR="00096F03" w:rsidRPr="00440DEE">
        <w:t xml:space="preserve">signalling, </w:t>
      </w:r>
      <w:r w:rsidR="00096F03" w:rsidRPr="00440DEE">
        <w:rPr>
          <w:i/>
        </w:rPr>
        <w:t>COI1</w:t>
      </w:r>
      <w:r w:rsidR="00096F03" w:rsidRPr="00440DEE">
        <w:t xml:space="preserve">, are needed and that those two pathways have to be activated in combination for successful induction of </w:t>
      </w:r>
      <w:r w:rsidR="00096F03" w:rsidRPr="00440DEE">
        <w:rPr>
          <w:i/>
        </w:rPr>
        <w:t>PDF1.2</w:t>
      </w:r>
      <w:r w:rsidR="00096F03" w:rsidRPr="00440DEE">
        <w:t xml:space="preserve"> expression (</w:t>
      </w:r>
      <w:r w:rsidR="00096F03" w:rsidRPr="004D06C6">
        <w:t>Penninc</w:t>
      </w:r>
      <w:r w:rsidR="00096F03">
        <w:t>k</w:t>
      </w:r>
      <w:r w:rsidR="00096F03" w:rsidRPr="004D06C6">
        <w:t xml:space="preserve">x </w:t>
      </w:r>
      <w:r w:rsidR="00096F03" w:rsidRPr="004D06C6">
        <w:rPr>
          <w:i/>
        </w:rPr>
        <w:t>et al</w:t>
      </w:r>
      <w:r w:rsidR="00096F03" w:rsidRPr="004D06C6">
        <w:t>., 1998</w:t>
      </w:r>
      <w:r w:rsidR="00096F03">
        <w:t xml:space="preserve">; </w:t>
      </w:r>
      <w:r w:rsidR="00096F03" w:rsidRPr="00440DEE">
        <w:t xml:space="preserve">Thomma </w:t>
      </w:r>
      <w:r w:rsidR="00096F03" w:rsidRPr="00440DEE">
        <w:rPr>
          <w:i/>
        </w:rPr>
        <w:t>et al</w:t>
      </w:r>
      <w:r w:rsidR="00096F03">
        <w:t>., 1999</w:t>
      </w:r>
      <w:r w:rsidR="00096F03" w:rsidRPr="00440DEE">
        <w:t>). It is possible that a similar</w:t>
      </w:r>
      <w:r w:rsidR="00096F03">
        <w:t>, possibly repressive,</w:t>
      </w:r>
      <w:r w:rsidR="00096F03" w:rsidRPr="00440DEE">
        <w:t xml:space="preserve"> mechanism exists for </w:t>
      </w:r>
      <w:r w:rsidR="00096F03">
        <w:t xml:space="preserve">regulation of </w:t>
      </w:r>
      <w:r w:rsidR="00E011FF">
        <w:t>Pip-</w:t>
      </w:r>
      <w:r w:rsidR="00096F03" w:rsidRPr="00440DEE">
        <w:t xml:space="preserve">function in </w:t>
      </w:r>
      <w:r w:rsidR="00096F03" w:rsidRPr="00440DEE">
        <w:rPr>
          <w:i/>
        </w:rPr>
        <w:t>Arabidopsis</w:t>
      </w:r>
      <w:r w:rsidR="00096F03" w:rsidRPr="00440DEE">
        <w:t xml:space="preserve"> interactions with necrotrophic fungi. </w:t>
      </w:r>
      <w:r w:rsidR="00C16CE3">
        <w:t xml:space="preserve">Basal levels for </w:t>
      </w:r>
      <w:r w:rsidR="00E011FF">
        <w:t>Pip</w:t>
      </w:r>
      <w:r w:rsidR="00C16CE3">
        <w:t xml:space="preserve"> were found to be quite high in the time course experiment and comparab</w:t>
      </w:r>
      <w:r w:rsidR="00E011FF">
        <w:t xml:space="preserve">le to levels found in </w:t>
      </w:r>
      <w:r w:rsidR="00E011FF" w:rsidRPr="00E011FF">
        <w:rPr>
          <w:i/>
        </w:rPr>
        <w:t>B. cinerea</w:t>
      </w:r>
      <w:r w:rsidR="00E011FF">
        <w:t>-infected leaves</w:t>
      </w:r>
      <w:r w:rsidR="00CF4875">
        <w:t xml:space="preserve"> in the metabolite profliling using</w:t>
      </w:r>
      <w:r w:rsidR="00C16CE3">
        <w:t xml:space="preserve"> mutant lines. These are conflicting results and </w:t>
      </w:r>
      <w:r w:rsidR="00C16CE3" w:rsidRPr="00C16CE3">
        <w:t>one</w:t>
      </w:r>
      <w:r w:rsidR="00C16CE3">
        <w:rPr>
          <w:color w:val="FF0000"/>
        </w:rPr>
        <w:t xml:space="preserve"> </w:t>
      </w:r>
      <w:r w:rsidR="00440DEE" w:rsidRPr="00440DEE">
        <w:t xml:space="preserve">logical explanation for these differences between the two experiments might lie in experimental conditions after infection. It is possible that the spore distribution on leaves later harvested for amino acid analysis was not as uniform as on leaves harvested for analysis of SA and camalexin. Furthermore, too little humidity might impair growth of the fungus, which needs very high air humidity to grow and proliferate on </w:t>
      </w:r>
      <w:r w:rsidR="00440DEE" w:rsidRPr="00440DEE">
        <w:rPr>
          <w:i/>
        </w:rPr>
        <w:t>Arabidopsis</w:t>
      </w:r>
      <w:r w:rsidR="00C16CE3">
        <w:t xml:space="preserve"> and this high air humidity might influence </w:t>
      </w:r>
      <w:r w:rsidR="000B4D4B">
        <w:t>Pip-levels</w:t>
      </w:r>
      <w:r w:rsidR="00C16CE3">
        <w:t xml:space="preserve"> in control plants. </w:t>
      </w:r>
      <w:r w:rsidR="00440DEE" w:rsidRPr="00440DEE">
        <w:t xml:space="preserve">No significant differences in accumulation of GABA and </w:t>
      </w:r>
      <w:r w:rsidR="00E011FF">
        <w:t>Orn</w:t>
      </w:r>
      <w:r w:rsidR="00440DEE" w:rsidRPr="00440DEE">
        <w:t xml:space="preserve"> between Col</w:t>
      </w:r>
      <w:r w:rsidR="00D55B4E">
        <w:t>-0 and mutant lines became</w:t>
      </w:r>
      <w:r w:rsidR="00440DEE" w:rsidRPr="00440DEE">
        <w:t xml:space="preserve"> apparent upo</w:t>
      </w:r>
      <w:r w:rsidR="00824C19">
        <w:t>n metabolite analysis (Figure 35</w:t>
      </w:r>
      <w:r w:rsidR="00D55B4E">
        <w:t xml:space="preserve"> </w:t>
      </w:r>
      <w:r w:rsidR="00824C19">
        <w:t>D; Figure 35</w:t>
      </w:r>
      <w:r w:rsidR="008C765A">
        <w:t xml:space="preserve"> </w:t>
      </w:r>
      <w:r w:rsidR="00D55B4E">
        <w:t>E</w:t>
      </w:r>
      <w:r w:rsidR="00440DEE" w:rsidRPr="00440DEE">
        <w:t>), the conclusion being that GABA</w:t>
      </w:r>
      <w:r w:rsidR="00E011FF">
        <w:t>-</w:t>
      </w:r>
      <w:r w:rsidR="00440DEE" w:rsidRPr="00440DEE">
        <w:t xml:space="preserve"> and Orn</w:t>
      </w:r>
      <w:r w:rsidR="00E011FF">
        <w:t>-</w:t>
      </w:r>
      <w:r w:rsidR="00440DEE" w:rsidRPr="00440DEE">
        <w:t xml:space="preserve">accumulation after </w:t>
      </w:r>
      <w:r w:rsidR="00440DEE" w:rsidRPr="00440DEE">
        <w:rPr>
          <w:i/>
        </w:rPr>
        <w:t>Botrytis</w:t>
      </w:r>
      <w:r w:rsidR="00E011FF">
        <w:t>-</w:t>
      </w:r>
      <w:r w:rsidR="00440DEE" w:rsidRPr="00440DEE">
        <w:t>infection are not regulated by Pip, JA, ET, or SA. As described</w:t>
      </w:r>
      <w:r w:rsidR="00E011FF">
        <w:t xml:space="preserve"> above, possible roles for GABA-</w:t>
      </w:r>
      <w:r w:rsidR="00440DEE" w:rsidRPr="00440DEE">
        <w:t>involvement in the interaction between plants and necrotrophs involve retaining viability of cells surrounding infected tissue, as well as part</w:t>
      </w:r>
      <w:r w:rsidR="00301015">
        <w:t xml:space="preserve">icipating in plant signalling. </w:t>
      </w:r>
      <w:r w:rsidR="00E011FF">
        <w:t>Orn</w:t>
      </w:r>
      <w:r w:rsidR="00440DEE" w:rsidRPr="00440DEE">
        <w:t xml:space="preserve"> can be decarboxylated by </w:t>
      </w:r>
      <w:proofErr w:type="gramStart"/>
      <w:r w:rsidR="00CF4875">
        <w:t>a</w:t>
      </w:r>
      <w:proofErr w:type="gramEnd"/>
      <w:r w:rsidR="00CF4875">
        <w:t xml:space="preserve"> </w:t>
      </w:r>
      <w:r w:rsidR="00440DEE" w:rsidRPr="00440DEE">
        <w:t>Orn decarboxylase to form the polyamine putrescine, which in turn serves as precursor for other polyamines like spermine or spermidine (Zeier, 2013). Polyamines p</w:t>
      </w:r>
      <w:r w:rsidR="00E011FF">
        <w:t>lay a role in regulation of ROS-</w:t>
      </w:r>
      <w:r w:rsidR="00440DEE" w:rsidRPr="00440DEE">
        <w:t>production in path</w:t>
      </w:r>
      <w:r w:rsidR="00E011FF">
        <w:t>ogen-</w:t>
      </w:r>
      <w:r w:rsidR="00440DEE" w:rsidRPr="00440DEE">
        <w:t>challenged plants and were also</w:t>
      </w:r>
      <w:r w:rsidR="00E011FF">
        <w:t xml:space="preserve"> shown to be able to induce ROS-</w:t>
      </w:r>
      <w:r w:rsidR="00440DEE" w:rsidRPr="00440DEE">
        <w:t xml:space="preserve">production when applied exogenously. Production of </w:t>
      </w:r>
      <w:r w:rsidR="00CF4875">
        <w:t>ROS</w:t>
      </w:r>
      <w:r w:rsidR="00440DEE" w:rsidRPr="00440DEE">
        <w:t xml:space="preserve">, followed by </w:t>
      </w:r>
      <w:r w:rsidR="00E011FF">
        <w:t>HR-induced</w:t>
      </w:r>
      <w:r w:rsidR="00440DEE" w:rsidRPr="00440DEE">
        <w:t xml:space="preserve"> cell death, is a strategy used by </w:t>
      </w:r>
      <w:r w:rsidR="00440DEE" w:rsidRPr="00440DEE">
        <w:rPr>
          <w:i/>
        </w:rPr>
        <w:t>B</w:t>
      </w:r>
      <w:r w:rsidR="00E011FF">
        <w:rPr>
          <w:i/>
        </w:rPr>
        <w:t>.</w:t>
      </w:r>
      <w:r w:rsidR="00D55B4E">
        <w:rPr>
          <w:i/>
        </w:rPr>
        <w:t xml:space="preserve"> cinerea</w:t>
      </w:r>
      <w:r w:rsidR="00440DEE" w:rsidRPr="00440DEE">
        <w:t xml:space="preserve"> to facilitate infection. It was shown that the degree of </w:t>
      </w:r>
      <w:r w:rsidR="00440DEE" w:rsidRPr="00440DEE">
        <w:rPr>
          <w:i/>
        </w:rPr>
        <w:t>B.</w:t>
      </w:r>
      <w:r w:rsidR="00E011FF">
        <w:rPr>
          <w:i/>
        </w:rPr>
        <w:t xml:space="preserve"> </w:t>
      </w:r>
      <w:r w:rsidR="00440DEE" w:rsidRPr="00440DEE">
        <w:rPr>
          <w:i/>
        </w:rPr>
        <w:t>cinerea</w:t>
      </w:r>
      <w:r w:rsidR="00E011FF">
        <w:t>-</w:t>
      </w:r>
      <w:r w:rsidR="00440DEE" w:rsidRPr="00440DEE">
        <w:t>pathogenecity directly c</w:t>
      </w:r>
      <w:r w:rsidR="00E011FF">
        <w:t>orrelated with the level of ROS-</w:t>
      </w:r>
      <w:r w:rsidR="00440DEE" w:rsidRPr="00440DEE">
        <w:t xml:space="preserve">production and that the fungus actively triggers a </w:t>
      </w:r>
      <w:r w:rsidR="00CF4875">
        <w:t>HR</w:t>
      </w:r>
      <w:r w:rsidR="00440DEE" w:rsidRPr="00440DEE">
        <w:t xml:space="preserve"> to aggravate infection (Govrin and </w:t>
      </w:r>
      <w:r w:rsidR="00E011FF">
        <w:t>Levine, 2000). Induction of Orn-</w:t>
      </w:r>
      <w:r w:rsidR="00440DEE" w:rsidRPr="00440DEE">
        <w:t>accumulation and following conversion of the amino ac</w:t>
      </w:r>
      <w:r w:rsidR="00E011FF">
        <w:t>id to polyamines to trigger ROS-</w:t>
      </w:r>
      <w:r w:rsidR="00440DEE" w:rsidRPr="00440DEE">
        <w:t xml:space="preserve">production might be one way for </w:t>
      </w:r>
      <w:r w:rsidR="00440DEE" w:rsidRPr="00440DEE">
        <w:rPr>
          <w:i/>
        </w:rPr>
        <w:t>B.</w:t>
      </w:r>
      <w:r w:rsidR="00E011FF">
        <w:rPr>
          <w:i/>
        </w:rPr>
        <w:t xml:space="preserve"> </w:t>
      </w:r>
      <w:r w:rsidR="00440DEE" w:rsidRPr="00440DEE">
        <w:rPr>
          <w:i/>
        </w:rPr>
        <w:t>cinerea</w:t>
      </w:r>
      <w:r w:rsidR="00440DEE" w:rsidRPr="00440DEE">
        <w:t xml:space="preserve"> to achi</w:t>
      </w:r>
      <w:r w:rsidR="00301015">
        <w:t xml:space="preserve">eve facilitation of infection. </w:t>
      </w:r>
      <w:r w:rsidR="00440DEE" w:rsidRPr="00440DEE">
        <w:t xml:space="preserve">The unknown compound 13 showed moderate accumulation after </w:t>
      </w:r>
      <w:r w:rsidR="00440DEE" w:rsidRPr="00440DEE">
        <w:rPr>
          <w:i/>
        </w:rPr>
        <w:t>B.</w:t>
      </w:r>
      <w:r w:rsidR="00E011FF">
        <w:rPr>
          <w:i/>
        </w:rPr>
        <w:t xml:space="preserve"> </w:t>
      </w:r>
      <w:r w:rsidR="00440DEE" w:rsidRPr="00440DEE">
        <w:rPr>
          <w:i/>
        </w:rPr>
        <w:t>cinerea</w:t>
      </w:r>
      <w:r w:rsidR="00505906">
        <w:t>-</w:t>
      </w:r>
      <w:r w:rsidR="00440DEE" w:rsidRPr="00440DEE">
        <w:t>infection in Col-0</w:t>
      </w:r>
      <w:r w:rsidR="00E011FF">
        <w:t>,</w:t>
      </w:r>
      <w:r w:rsidR="00440DEE" w:rsidRPr="00440DEE">
        <w:t xml:space="preserve"> </w:t>
      </w:r>
      <w:r w:rsidR="00440DEE" w:rsidRPr="00440DEE">
        <w:rPr>
          <w:i/>
        </w:rPr>
        <w:t>ald1, fmo1, pad2,</w:t>
      </w:r>
      <w:r w:rsidR="00440DEE" w:rsidRPr="00440DEE">
        <w:t xml:space="preserve"> and </w:t>
      </w:r>
      <w:r w:rsidR="00440DEE" w:rsidRPr="00440DEE">
        <w:rPr>
          <w:i/>
        </w:rPr>
        <w:t>sid2</w:t>
      </w:r>
      <w:r w:rsidR="00D55B4E">
        <w:t xml:space="preserve"> (Fig</w:t>
      </w:r>
      <w:r w:rsidR="00824C19">
        <w:t>ure 35</w:t>
      </w:r>
      <w:r w:rsidR="00D55B4E">
        <w:t xml:space="preserve"> F</w:t>
      </w:r>
      <w:r w:rsidR="00440DEE" w:rsidRPr="00440DEE">
        <w:t xml:space="preserve">), was strongly reduced in </w:t>
      </w:r>
      <w:r w:rsidR="00440DEE" w:rsidRPr="00440DEE">
        <w:rPr>
          <w:i/>
        </w:rPr>
        <w:t>ein2-1</w:t>
      </w:r>
      <w:r w:rsidR="00440DEE" w:rsidRPr="00440DEE">
        <w:t xml:space="preserve"> and not detectable in </w:t>
      </w:r>
      <w:r w:rsidR="00440DEE" w:rsidRPr="00440DEE">
        <w:rPr>
          <w:i/>
        </w:rPr>
        <w:t>coi1, etr1-1</w:t>
      </w:r>
      <w:r w:rsidR="00440DEE" w:rsidRPr="00440DEE">
        <w:t xml:space="preserve">, and </w:t>
      </w:r>
      <w:r w:rsidR="00440DEE" w:rsidRPr="00440DEE">
        <w:rPr>
          <w:i/>
        </w:rPr>
        <w:t>pad3</w:t>
      </w:r>
      <w:r w:rsidR="00440DEE" w:rsidRPr="00440DEE">
        <w:t xml:space="preserve">. This substance seems to be a very specific metabolite, as it was only detected in </w:t>
      </w:r>
      <w:r w:rsidR="00440DEE" w:rsidRPr="00440DEE">
        <w:rPr>
          <w:i/>
        </w:rPr>
        <w:t>B.</w:t>
      </w:r>
      <w:r w:rsidR="00E011FF">
        <w:rPr>
          <w:i/>
        </w:rPr>
        <w:t xml:space="preserve"> </w:t>
      </w:r>
      <w:r w:rsidR="00440DEE" w:rsidRPr="00440DEE">
        <w:rPr>
          <w:i/>
        </w:rPr>
        <w:t>cinerea</w:t>
      </w:r>
      <w:r w:rsidR="00E011FF">
        <w:t>-</w:t>
      </w:r>
      <w:r w:rsidR="00440DEE" w:rsidRPr="00440DEE">
        <w:t>infe</w:t>
      </w:r>
      <w:r w:rsidR="00824C19">
        <w:t>cted plants (Table 5</w:t>
      </w:r>
      <w:r w:rsidR="00E011FF">
        <w:t>). From this metabolite</w:t>
      </w:r>
      <w:r w:rsidR="00440DEE" w:rsidRPr="00440DEE">
        <w:t xml:space="preserve"> being missing in </w:t>
      </w:r>
      <w:r w:rsidR="00440DEE" w:rsidRPr="00440DEE">
        <w:rPr>
          <w:i/>
        </w:rPr>
        <w:t>coi1</w:t>
      </w:r>
      <w:r w:rsidR="00440DEE" w:rsidRPr="00440DEE">
        <w:t xml:space="preserve"> and </w:t>
      </w:r>
      <w:r w:rsidR="00440DEE" w:rsidRPr="00440DEE">
        <w:rPr>
          <w:i/>
        </w:rPr>
        <w:t>etr1-1</w:t>
      </w:r>
      <w:r w:rsidR="00440DEE" w:rsidRPr="00440DEE">
        <w:t xml:space="preserve"> and greatly reduced in </w:t>
      </w:r>
      <w:r w:rsidR="00440DEE" w:rsidRPr="00440DEE">
        <w:rPr>
          <w:i/>
        </w:rPr>
        <w:t>ein2-1</w:t>
      </w:r>
      <w:r w:rsidR="00440DEE" w:rsidRPr="00440DEE">
        <w:t xml:space="preserve">, the conclusion can be drawn that the JA- and ET-signalling pathways, each alone or a </w:t>
      </w:r>
      <w:r w:rsidR="00440DEE" w:rsidRPr="00440DEE">
        <w:lastRenderedPageBreak/>
        <w:t xml:space="preserve">combination of both, might be required for biosynthesis of this compound. A most important step for elucidating the role of this compound in resistance of </w:t>
      </w:r>
      <w:r w:rsidR="00440DEE" w:rsidRPr="00440DEE">
        <w:rPr>
          <w:i/>
        </w:rPr>
        <w:t>Arabidopsis</w:t>
      </w:r>
      <w:r w:rsidR="00440DEE" w:rsidRPr="00440DEE">
        <w:t xml:space="preserve"> to </w:t>
      </w:r>
      <w:r w:rsidR="00440DEE" w:rsidRPr="00440DEE">
        <w:rPr>
          <w:i/>
        </w:rPr>
        <w:t>B.</w:t>
      </w:r>
      <w:r w:rsidR="00E011FF">
        <w:rPr>
          <w:i/>
        </w:rPr>
        <w:t xml:space="preserve"> </w:t>
      </w:r>
      <w:r w:rsidR="00440DEE" w:rsidRPr="00440DEE">
        <w:rPr>
          <w:i/>
        </w:rPr>
        <w:t>cinerea</w:t>
      </w:r>
      <w:r w:rsidR="00440DEE" w:rsidRPr="00440DEE">
        <w:t xml:space="preserve"> will be the identification and characterisation of this compound. After achieving substance</w:t>
      </w:r>
      <w:r w:rsidR="00E011FF">
        <w:t xml:space="preserve"> identification</w:t>
      </w:r>
      <w:r w:rsidR="00440DEE" w:rsidRPr="00440DEE">
        <w:t xml:space="preserve">, it </w:t>
      </w:r>
      <w:r w:rsidR="00E011FF">
        <w:t>would</w:t>
      </w:r>
      <w:r w:rsidR="00440DEE" w:rsidRPr="00440DEE">
        <w:t xml:space="preserve"> be very interesting to find out </w:t>
      </w:r>
      <w:r w:rsidR="00E011FF">
        <w:t xml:space="preserve">more </w:t>
      </w:r>
      <w:r w:rsidR="00440DEE" w:rsidRPr="00440DEE">
        <w:t>ab</w:t>
      </w:r>
      <w:r w:rsidR="00D55B4E">
        <w:t xml:space="preserve">out its </w:t>
      </w:r>
      <w:r w:rsidR="00E011FF">
        <w:t xml:space="preserve">chemical and physical </w:t>
      </w:r>
      <w:r w:rsidR="00D55B4E">
        <w:t xml:space="preserve">properties and </w:t>
      </w:r>
      <w:r w:rsidR="00E011FF">
        <w:t>its</w:t>
      </w:r>
      <w:r w:rsidR="00D55B4E">
        <w:t xml:space="preserve"> ability to</w:t>
      </w:r>
      <w:r w:rsidR="00440DEE" w:rsidRPr="00440DEE">
        <w:t xml:space="preserve"> chemically induce resistance against </w:t>
      </w:r>
      <w:r w:rsidR="00440DEE" w:rsidRPr="00440DEE">
        <w:rPr>
          <w:i/>
        </w:rPr>
        <w:t>B.</w:t>
      </w:r>
      <w:r w:rsidR="00E011FF">
        <w:rPr>
          <w:i/>
        </w:rPr>
        <w:t xml:space="preserve"> </w:t>
      </w:r>
      <w:r w:rsidR="00440DEE" w:rsidRPr="00440DEE">
        <w:rPr>
          <w:i/>
        </w:rPr>
        <w:t>cinerea</w:t>
      </w:r>
      <w:r w:rsidR="00440DEE" w:rsidRPr="00440DEE">
        <w:t xml:space="preserve"> in plants, as a</w:t>
      </w:r>
      <w:r w:rsidR="00E011FF">
        <w:t>lready demonstrated for</w:t>
      </w:r>
      <w:r w:rsidR="00440DEE" w:rsidRPr="00440DEE">
        <w:t xml:space="preserve"> </w:t>
      </w:r>
      <w:r>
        <w:t xml:space="preserve">a </w:t>
      </w:r>
      <w:r w:rsidR="00440DEE" w:rsidRPr="00440DEE">
        <w:t xml:space="preserve">number of other amino acids </w:t>
      </w:r>
      <w:r w:rsidR="00E011FF">
        <w:t>(e.g. BABA)</w:t>
      </w:r>
      <w:r w:rsidR="00B13844">
        <w:t xml:space="preserve">. </w:t>
      </w:r>
    </w:p>
    <w:p w:rsidR="00443DBC" w:rsidRDefault="00443DBC" w:rsidP="00443DBC">
      <w:pPr>
        <w:pStyle w:val="berschrift2"/>
        <w:jc w:val="both"/>
        <w:rPr>
          <w:color w:val="auto"/>
        </w:rPr>
        <w:sectPr w:rsidR="00443DBC" w:rsidSect="00B517AA">
          <w:headerReference w:type="default" r:id="rId95"/>
          <w:type w:val="continuous"/>
          <w:pgSz w:w="11906" w:h="16838"/>
          <w:pgMar w:top="1417" w:right="1417" w:bottom="1134" w:left="1417" w:header="708" w:footer="708" w:gutter="0"/>
          <w:cols w:space="708"/>
          <w:titlePg/>
          <w:docGrid w:linePitch="360"/>
        </w:sectPr>
      </w:pPr>
    </w:p>
    <w:p w:rsidR="00E07D2C" w:rsidRPr="00E07D2C" w:rsidRDefault="00563EC1" w:rsidP="00E07D2C">
      <w:pPr>
        <w:pStyle w:val="berschrift2"/>
        <w:spacing w:after="240"/>
        <w:jc w:val="both"/>
        <w:rPr>
          <w:color w:val="auto"/>
        </w:rPr>
      </w:pPr>
      <w:bookmarkStart w:id="116" w:name="_Toc435621258"/>
      <w:r>
        <w:rPr>
          <w:color w:val="auto"/>
        </w:rPr>
        <w:lastRenderedPageBreak/>
        <w:t xml:space="preserve">7.6 </w:t>
      </w:r>
      <w:r w:rsidR="00F16639">
        <w:rPr>
          <w:color w:val="auto"/>
        </w:rPr>
        <w:t>Pip</w:t>
      </w:r>
      <w:r w:rsidR="00E07D2C" w:rsidRPr="00E07D2C">
        <w:rPr>
          <w:color w:val="auto"/>
        </w:rPr>
        <w:t xml:space="preserve"> induces resistance against </w:t>
      </w:r>
      <w:r w:rsidR="00E07D2C" w:rsidRPr="00E07D2C">
        <w:rPr>
          <w:i/>
          <w:color w:val="auto"/>
        </w:rPr>
        <w:t>B.</w:t>
      </w:r>
      <w:r w:rsidR="00F16639">
        <w:rPr>
          <w:i/>
          <w:color w:val="auto"/>
        </w:rPr>
        <w:t xml:space="preserve"> </w:t>
      </w:r>
      <w:r w:rsidR="00E07D2C" w:rsidRPr="00E07D2C">
        <w:rPr>
          <w:i/>
          <w:color w:val="auto"/>
        </w:rPr>
        <w:t>cinerea</w:t>
      </w:r>
      <w:r w:rsidR="00E07D2C" w:rsidRPr="00E07D2C">
        <w:rPr>
          <w:color w:val="auto"/>
        </w:rPr>
        <w:t xml:space="preserve"> in Col-0 and </w:t>
      </w:r>
      <w:r w:rsidR="00E07D2C" w:rsidRPr="00E07D2C">
        <w:rPr>
          <w:i/>
          <w:color w:val="auto"/>
        </w:rPr>
        <w:t>ald1</w:t>
      </w:r>
      <w:r w:rsidR="00E07D2C" w:rsidRPr="00E07D2C">
        <w:rPr>
          <w:color w:val="auto"/>
        </w:rPr>
        <w:t xml:space="preserve">, but exacerbates disease in </w:t>
      </w:r>
      <w:r w:rsidR="00E07D2C" w:rsidRPr="00E07D2C">
        <w:rPr>
          <w:i/>
          <w:color w:val="auto"/>
        </w:rPr>
        <w:t>sid2</w:t>
      </w:r>
      <w:r w:rsidR="00E07D2C" w:rsidRPr="00E07D2C">
        <w:rPr>
          <w:color w:val="auto"/>
        </w:rPr>
        <w:t xml:space="preserve"> and </w:t>
      </w:r>
      <w:r w:rsidR="00E07D2C" w:rsidRPr="00E07D2C">
        <w:rPr>
          <w:i/>
          <w:color w:val="auto"/>
        </w:rPr>
        <w:t>coi1</w:t>
      </w:r>
      <w:bookmarkEnd w:id="116"/>
    </w:p>
    <w:p w:rsidR="00B4394F" w:rsidRPr="00B4394F" w:rsidRDefault="004D06C6" w:rsidP="008A036D">
      <w:pPr>
        <w:spacing w:after="0" w:line="360" w:lineRule="auto"/>
        <w:jc w:val="both"/>
      </w:pPr>
      <w:r w:rsidRPr="004D06C6">
        <w:t xml:space="preserve">One of the substances shown to induce resistance against </w:t>
      </w:r>
      <w:r w:rsidRPr="004D06C6">
        <w:rPr>
          <w:i/>
        </w:rPr>
        <w:t>B</w:t>
      </w:r>
      <w:r w:rsidR="00922C32">
        <w:rPr>
          <w:i/>
        </w:rPr>
        <w:t>.</w:t>
      </w:r>
      <w:r w:rsidRPr="004D06C6">
        <w:rPr>
          <w:i/>
        </w:rPr>
        <w:t xml:space="preserve"> cinerea</w:t>
      </w:r>
      <w:r w:rsidRPr="004D06C6">
        <w:t xml:space="preserve"> in </w:t>
      </w:r>
      <w:r w:rsidRPr="004D06C6">
        <w:rPr>
          <w:i/>
        </w:rPr>
        <w:t>Arabidopsis</w:t>
      </w:r>
      <w:r w:rsidRPr="004D06C6">
        <w:t xml:space="preserve"> is the non-protein amino acid </w:t>
      </w:r>
      <w:r w:rsidR="00F16639" w:rsidRPr="00F16639">
        <w:t>BABA</w:t>
      </w:r>
      <w:r w:rsidRPr="004D06C6">
        <w:t xml:space="preserve">, which does not occur naturally in </w:t>
      </w:r>
      <w:r w:rsidRPr="004D06C6">
        <w:rPr>
          <w:i/>
        </w:rPr>
        <w:t>A</w:t>
      </w:r>
      <w:r w:rsidR="00F16639">
        <w:rPr>
          <w:i/>
        </w:rPr>
        <w:t>.</w:t>
      </w:r>
      <w:r w:rsidRPr="004D06C6">
        <w:t xml:space="preserve"> </w:t>
      </w:r>
      <w:r w:rsidRPr="004D06C6">
        <w:rPr>
          <w:i/>
        </w:rPr>
        <w:t>thaliana</w:t>
      </w:r>
      <w:r w:rsidR="00F16639">
        <w:t xml:space="preserve">. This amino acid </w:t>
      </w:r>
      <w:r w:rsidRPr="004D06C6">
        <w:t xml:space="preserve">induced resistance against different types of pathogens by enhancing plant resistance mechanisms and induction of priming (Zimmerli </w:t>
      </w:r>
      <w:r w:rsidRPr="004D06C6">
        <w:rPr>
          <w:i/>
        </w:rPr>
        <w:t>et al</w:t>
      </w:r>
      <w:r w:rsidRPr="004D06C6">
        <w:t xml:space="preserve">., 2001; Ton </w:t>
      </w:r>
      <w:r w:rsidRPr="004D06C6">
        <w:rPr>
          <w:i/>
        </w:rPr>
        <w:t>et al</w:t>
      </w:r>
      <w:r w:rsidRPr="004D06C6">
        <w:t xml:space="preserve">., 2005). We were able to demonstrate that BABA-IR against the bacterial pathogen </w:t>
      </w:r>
      <w:r w:rsidR="00F16639">
        <w:rPr>
          <w:i/>
        </w:rPr>
        <w:t>Psm</w:t>
      </w:r>
      <w:r w:rsidRPr="004D06C6">
        <w:t xml:space="preserve"> depends </w:t>
      </w:r>
      <w:r w:rsidR="00922C32">
        <w:t xml:space="preserve">actually </w:t>
      </w:r>
      <w:r w:rsidRPr="004D06C6">
        <w:t xml:space="preserve">on </w:t>
      </w:r>
      <w:r w:rsidR="00F16639">
        <w:t>Pip-</w:t>
      </w:r>
      <w:r w:rsidRPr="004D06C6">
        <w:t xml:space="preserve">activity, as firstly, both BABA and Pip can induce resistance, secondly, BABA did not induce resistance in </w:t>
      </w:r>
      <w:r w:rsidRPr="004D06C6">
        <w:rPr>
          <w:i/>
        </w:rPr>
        <w:t>ald1</w:t>
      </w:r>
      <w:r w:rsidRPr="004D06C6">
        <w:t xml:space="preserve">, and thirdly, a combination of BABA and Pip did not show additional effects (Návarová </w:t>
      </w:r>
      <w:r w:rsidRPr="004D06C6">
        <w:rPr>
          <w:i/>
        </w:rPr>
        <w:t>et al</w:t>
      </w:r>
      <w:r w:rsidRPr="004D06C6">
        <w:t>., 2</w:t>
      </w:r>
      <w:r>
        <w:t xml:space="preserve">012). </w:t>
      </w:r>
      <w:r w:rsidR="00B4394F" w:rsidRPr="00B4394F">
        <w:t xml:space="preserve">As a considerable accumulation of Pip in </w:t>
      </w:r>
      <w:r w:rsidR="00B4394F" w:rsidRPr="00B4394F">
        <w:rPr>
          <w:i/>
        </w:rPr>
        <w:t>Botrytis</w:t>
      </w:r>
      <w:r w:rsidR="00F16639">
        <w:t>-</w:t>
      </w:r>
      <w:r w:rsidR="00B4394F" w:rsidRPr="00B4394F">
        <w:t>infected plants was detected, the next step was to test w</w:t>
      </w:r>
      <w:r w:rsidR="00C03A9D">
        <w:t>h</w:t>
      </w:r>
      <w:r w:rsidR="00B4394F" w:rsidRPr="00B4394F">
        <w:t>et</w:t>
      </w:r>
      <w:r w:rsidR="005558A5">
        <w:t xml:space="preserve">her </w:t>
      </w:r>
      <w:r w:rsidR="00F16639">
        <w:t>Pip</w:t>
      </w:r>
      <w:r w:rsidR="00B4394F" w:rsidRPr="00B4394F">
        <w:t xml:space="preserve"> can induce resis</w:t>
      </w:r>
      <w:r w:rsidR="00F74227">
        <w:t>tance to the fungus (Figure 36</w:t>
      </w:r>
      <w:r w:rsidR="00B4394F" w:rsidRPr="00B4394F">
        <w:t>;</w:t>
      </w:r>
      <w:r w:rsidR="00F74227">
        <w:t xml:space="preserve"> Figure 37</w:t>
      </w:r>
      <w:r w:rsidR="00B4394F" w:rsidRPr="00B4394F">
        <w:t xml:space="preserve">). Defence against </w:t>
      </w:r>
      <w:r w:rsidR="00B4394F" w:rsidRPr="00B4394F">
        <w:rPr>
          <w:i/>
        </w:rPr>
        <w:t>B.</w:t>
      </w:r>
      <w:r w:rsidR="00F16639">
        <w:rPr>
          <w:i/>
        </w:rPr>
        <w:t xml:space="preserve"> </w:t>
      </w:r>
      <w:r w:rsidR="00B4394F" w:rsidRPr="00B4394F">
        <w:rPr>
          <w:i/>
        </w:rPr>
        <w:t>cinerea</w:t>
      </w:r>
      <w:r w:rsidR="00B4394F" w:rsidRPr="00B4394F">
        <w:t xml:space="preserve"> was induced by exogenous</w:t>
      </w:r>
      <w:r w:rsidR="00922C32">
        <w:t>ly</w:t>
      </w:r>
      <w:r w:rsidR="00B4394F" w:rsidRPr="00B4394F">
        <w:t xml:space="preserve"> applied Pip in Col-0 and </w:t>
      </w:r>
      <w:r w:rsidR="00B4394F" w:rsidRPr="00B4394F">
        <w:rPr>
          <w:i/>
        </w:rPr>
        <w:t>ald1,</w:t>
      </w:r>
      <w:r w:rsidR="00B4394F" w:rsidRPr="00B4394F">
        <w:t xml:space="preserve"> as could be determined by a reduction in lesion size in Pip-treated plants. No difference in water- and Pip-treated plants was observed in </w:t>
      </w:r>
      <w:r w:rsidR="00B4394F" w:rsidRPr="00B4394F">
        <w:rPr>
          <w:i/>
        </w:rPr>
        <w:t>ein2-1, etr1-1</w:t>
      </w:r>
      <w:r w:rsidR="00F74227">
        <w:t>,</w:t>
      </w:r>
      <w:r w:rsidR="00B4394F" w:rsidRPr="00B4394F">
        <w:t xml:space="preserve"> </w:t>
      </w:r>
      <w:r w:rsidR="00B4394F" w:rsidRPr="00B4394F">
        <w:rPr>
          <w:i/>
        </w:rPr>
        <w:t>fmo1</w:t>
      </w:r>
      <w:r w:rsidR="00F74227">
        <w:rPr>
          <w:i/>
        </w:rPr>
        <w:t>,</w:t>
      </w:r>
      <w:r w:rsidR="00F74227" w:rsidRPr="00F74227">
        <w:rPr>
          <w:i/>
        </w:rPr>
        <w:t xml:space="preserve"> </w:t>
      </w:r>
      <w:r w:rsidR="00F74227" w:rsidRPr="00B4394F">
        <w:rPr>
          <w:i/>
        </w:rPr>
        <w:t>pad2,</w:t>
      </w:r>
      <w:r w:rsidR="00F74227">
        <w:t xml:space="preserve"> and</w:t>
      </w:r>
      <w:r w:rsidR="00F74227" w:rsidRPr="00B4394F">
        <w:rPr>
          <w:i/>
        </w:rPr>
        <w:t xml:space="preserve"> pad3</w:t>
      </w:r>
      <w:r w:rsidR="00B4394F" w:rsidRPr="00B4394F">
        <w:t xml:space="preserve">. In </w:t>
      </w:r>
      <w:r w:rsidR="00F74227">
        <w:rPr>
          <w:i/>
        </w:rPr>
        <w:t xml:space="preserve">coi1 </w:t>
      </w:r>
      <w:r w:rsidR="00B4394F" w:rsidRPr="00B4394F">
        <w:t xml:space="preserve">and </w:t>
      </w:r>
      <w:r w:rsidR="00B4394F" w:rsidRPr="00B4394F">
        <w:rPr>
          <w:i/>
        </w:rPr>
        <w:t>sid2</w:t>
      </w:r>
      <w:r w:rsidR="00B4394F" w:rsidRPr="00B4394F">
        <w:t xml:space="preserve"> an aggravation of disease symptoms </w:t>
      </w:r>
      <w:r w:rsidR="009F6E1E">
        <w:t>was seen</w:t>
      </w:r>
      <w:r w:rsidR="00B4394F" w:rsidRPr="00B4394F">
        <w:t xml:space="preserve">, which was particularly grave for </w:t>
      </w:r>
      <w:r w:rsidR="00B4394F" w:rsidRPr="00B4394F">
        <w:rPr>
          <w:i/>
        </w:rPr>
        <w:t>sid2</w:t>
      </w:r>
      <w:r w:rsidR="00B4394F" w:rsidRPr="00B4394F">
        <w:t xml:space="preserve"> (Figure 36). The SA-biosynthesis mutant </w:t>
      </w:r>
      <w:r w:rsidR="00B4394F" w:rsidRPr="00B4394F">
        <w:rPr>
          <w:i/>
        </w:rPr>
        <w:t>sid2-2</w:t>
      </w:r>
      <w:r w:rsidR="00B4394F" w:rsidRPr="00B4394F">
        <w:t xml:space="preserve"> was </w:t>
      </w:r>
      <w:r w:rsidR="00922C32">
        <w:t xml:space="preserve">previously </w:t>
      </w:r>
      <w:r w:rsidR="00B4394F" w:rsidRPr="00B4394F">
        <w:t xml:space="preserve">shown to be less susceptible to infection with </w:t>
      </w:r>
      <w:r w:rsidR="00B4394F" w:rsidRPr="00B4394F">
        <w:rPr>
          <w:i/>
        </w:rPr>
        <w:t>Botrytis</w:t>
      </w:r>
      <w:r w:rsidR="00B4394F" w:rsidRPr="00B4394F">
        <w:t xml:space="preserve"> (Ferrari </w:t>
      </w:r>
      <w:r w:rsidR="00B4394F" w:rsidRPr="00B4394F">
        <w:rPr>
          <w:i/>
        </w:rPr>
        <w:t>et al</w:t>
      </w:r>
      <w:r w:rsidR="00B4394F" w:rsidRPr="00B4394F">
        <w:t xml:space="preserve">., 2003) and the same holds true for </w:t>
      </w:r>
      <w:r w:rsidR="00B4394F" w:rsidRPr="00B4394F">
        <w:rPr>
          <w:i/>
        </w:rPr>
        <w:t>sid2-1</w:t>
      </w:r>
      <w:r w:rsidR="00922C32">
        <w:rPr>
          <w:i/>
        </w:rPr>
        <w:t xml:space="preserve"> </w:t>
      </w:r>
      <w:r w:rsidR="00922C32">
        <w:t>used in the experiments presented in this work</w:t>
      </w:r>
      <w:r w:rsidR="00B4394F" w:rsidRPr="00B4394F">
        <w:t xml:space="preserve">. Water-treated </w:t>
      </w:r>
      <w:r w:rsidR="00B4394F" w:rsidRPr="00B4394F">
        <w:rPr>
          <w:i/>
        </w:rPr>
        <w:t>sid2</w:t>
      </w:r>
      <w:r w:rsidR="00922C32">
        <w:rPr>
          <w:i/>
        </w:rPr>
        <w:t>-1</w:t>
      </w:r>
      <w:r w:rsidR="00B4394F" w:rsidRPr="00B4394F">
        <w:t xml:space="preserve"> plants showed a very strong resistance phenotype with barely any </w:t>
      </w:r>
      <w:r w:rsidR="00922C32">
        <w:t xml:space="preserve">visible </w:t>
      </w:r>
      <w:r w:rsidR="00B4394F" w:rsidRPr="00B4394F">
        <w:t xml:space="preserve">lesions at 3 days post </w:t>
      </w:r>
      <w:r w:rsidR="00B4394F" w:rsidRPr="00B4394F">
        <w:rPr>
          <w:i/>
        </w:rPr>
        <w:t>B.</w:t>
      </w:r>
      <w:r w:rsidR="00F16639">
        <w:rPr>
          <w:i/>
        </w:rPr>
        <w:t xml:space="preserve"> </w:t>
      </w:r>
      <w:r w:rsidR="00B4394F" w:rsidRPr="00B4394F">
        <w:rPr>
          <w:i/>
        </w:rPr>
        <w:t>cinerea</w:t>
      </w:r>
      <w:r w:rsidR="00F16639">
        <w:t>-</w:t>
      </w:r>
      <w:r w:rsidR="00B4394F" w:rsidRPr="00B4394F">
        <w:t xml:space="preserve">infection. Pretreating plants with </w:t>
      </w:r>
      <w:r w:rsidR="00F16639">
        <w:t>Pip</w:t>
      </w:r>
      <w:r w:rsidR="00B4394F" w:rsidRPr="00B4394F">
        <w:t xml:space="preserve">, however, lead to </w:t>
      </w:r>
      <w:r w:rsidR="00922C32">
        <w:t>enhanced</w:t>
      </w:r>
      <w:r w:rsidR="00B4394F" w:rsidRPr="00B4394F">
        <w:t xml:space="preserve"> susceptibility of </w:t>
      </w:r>
      <w:r w:rsidR="00B4394F" w:rsidRPr="00B4394F">
        <w:rPr>
          <w:i/>
        </w:rPr>
        <w:t>sid2</w:t>
      </w:r>
      <w:r w:rsidR="00B4394F" w:rsidRPr="00B4394F">
        <w:t xml:space="preserve"> towards the fungus with development of large lesions </w:t>
      </w:r>
      <w:r w:rsidR="00F16639">
        <w:t>culminating in the</w:t>
      </w:r>
      <w:r w:rsidR="00B4394F" w:rsidRPr="00B4394F">
        <w:t xml:space="preserve"> complete destruction of the leaf. The ICS1-mediated </w:t>
      </w:r>
      <w:r w:rsidR="00F16639">
        <w:t>SA-</w:t>
      </w:r>
      <w:r w:rsidR="00B4394F" w:rsidRPr="00B4394F">
        <w:t xml:space="preserve">biosynthesis was shown to </w:t>
      </w:r>
      <w:r w:rsidR="00F16639">
        <w:t>be inducible by</w:t>
      </w:r>
      <w:r w:rsidR="00B4394F" w:rsidRPr="00B4394F">
        <w:t xml:space="preserve"> pathogen infection (Wildermuth </w:t>
      </w:r>
      <w:r w:rsidR="00B4394F" w:rsidRPr="00B4394F">
        <w:rPr>
          <w:i/>
        </w:rPr>
        <w:t>et al</w:t>
      </w:r>
      <w:r w:rsidR="00B4394F" w:rsidRPr="00B4394F">
        <w:t>.</w:t>
      </w:r>
      <w:r w:rsidR="00F16639">
        <w:t>, 2001), but another possible way for SA-</w:t>
      </w:r>
      <w:r w:rsidR="00B4394F" w:rsidRPr="00B4394F">
        <w:t xml:space="preserve">biosynthesis is the often discussed phenylalanine ammonia-lyase </w:t>
      </w:r>
      <w:r w:rsidR="00277DCD">
        <w:t>(PAL</w:t>
      </w:r>
      <w:r w:rsidR="003250EC">
        <w:t>-</w:t>
      </w:r>
      <w:r w:rsidR="00277DCD">
        <w:t xml:space="preserve">) </w:t>
      </w:r>
      <w:r w:rsidR="00B4394F" w:rsidRPr="00B4394F">
        <w:t>pathway, which was thought to be the prim</w:t>
      </w:r>
      <w:r w:rsidR="00F16639">
        <w:t>ary SA-</w:t>
      </w:r>
      <w:r w:rsidR="00B4394F" w:rsidRPr="00B4394F">
        <w:t xml:space="preserve">biosynthesis pathway for a long time (Lee </w:t>
      </w:r>
      <w:r w:rsidR="00B4394F" w:rsidRPr="00B4394F">
        <w:rPr>
          <w:i/>
        </w:rPr>
        <w:t>et al</w:t>
      </w:r>
      <w:r w:rsidR="00B4394F" w:rsidRPr="00B4394F">
        <w:t xml:space="preserve">., 1995). It might be possible that </w:t>
      </w:r>
      <w:r w:rsidR="00F16639">
        <w:t>Pip induces the PAL-</w:t>
      </w:r>
      <w:r w:rsidR="00B4394F" w:rsidRPr="00B4394F">
        <w:t xml:space="preserve">pathway for SA-accumulation (Ferrari </w:t>
      </w:r>
      <w:r w:rsidR="00B4394F" w:rsidRPr="00B4394F">
        <w:rPr>
          <w:i/>
        </w:rPr>
        <w:t>et al</w:t>
      </w:r>
      <w:r w:rsidR="00B4394F" w:rsidRPr="00B4394F">
        <w:t xml:space="preserve">., 2003), but this </w:t>
      </w:r>
      <w:r w:rsidR="00F16639">
        <w:t>seems highly unlikely, as no SA-</w:t>
      </w:r>
      <w:r w:rsidR="00B4394F" w:rsidRPr="00B4394F">
        <w:t xml:space="preserve">accumulation was detected in Pip-treated </w:t>
      </w:r>
      <w:r w:rsidR="00B4394F" w:rsidRPr="00B4394F">
        <w:rPr>
          <w:i/>
        </w:rPr>
        <w:t>sid2</w:t>
      </w:r>
      <w:r w:rsidR="00B4394F" w:rsidRPr="00B4394F">
        <w:t xml:space="preserve"> plants (data not shown). Gene expression of </w:t>
      </w:r>
      <w:r w:rsidR="00B4394F" w:rsidRPr="00F74227">
        <w:rPr>
          <w:i/>
        </w:rPr>
        <w:t>GRXS13,</w:t>
      </w:r>
      <w:r w:rsidR="00B4394F" w:rsidRPr="00B4394F">
        <w:t xml:space="preserve"> encoding a glutaredoxin, was shown to be induced by </w:t>
      </w:r>
      <w:r w:rsidR="00B4394F" w:rsidRPr="00B4394F">
        <w:rPr>
          <w:i/>
        </w:rPr>
        <w:t>Botrytis</w:t>
      </w:r>
      <w:r w:rsidR="00F16639">
        <w:t>-</w:t>
      </w:r>
      <w:r w:rsidR="00B4394F" w:rsidRPr="00B4394F">
        <w:t xml:space="preserve">infection and is necessary for optimal infection of plants by the fungus (La Camera </w:t>
      </w:r>
      <w:r w:rsidR="00B4394F" w:rsidRPr="00B4394F">
        <w:rPr>
          <w:i/>
        </w:rPr>
        <w:t>et al.,</w:t>
      </w:r>
      <w:r w:rsidR="00B4394F" w:rsidRPr="00B4394F">
        <w:t xml:space="preserve"> 2011). </w:t>
      </w:r>
      <w:r w:rsidR="00B4394F" w:rsidRPr="00B4394F">
        <w:rPr>
          <w:i/>
        </w:rPr>
        <w:t>GRXS13</w:t>
      </w:r>
      <w:r w:rsidR="00305A94">
        <w:t xml:space="preserve"> can</w:t>
      </w:r>
      <w:r w:rsidR="00B4394F" w:rsidRPr="00B4394F">
        <w:t xml:space="preserve"> not only</w:t>
      </w:r>
      <w:r w:rsidR="00305A94">
        <w:t xml:space="preserve"> be</w:t>
      </w:r>
      <w:r w:rsidR="00B4394F" w:rsidRPr="00B4394F">
        <w:t xml:space="preserve"> induced by </w:t>
      </w:r>
      <w:r w:rsidR="00F16639">
        <w:t>SA</w:t>
      </w:r>
      <w:r w:rsidR="00B4394F" w:rsidRPr="00B4394F">
        <w:t>, b</w:t>
      </w:r>
      <w:r w:rsidR="00F16639">
        <w:t>ut also by Pip</w:t>
      </w:r>
      <w:r w:rsidR="00B4394F" w:rsidRPr="00B4394F">
        <w:t xml:space="preserve"> (data not shown), which </w:t>
      </w:r>
      <w:r w:rsidR="00B4394F" w:rsidRPr="00B4394F">
        <w:lastRenderedPageBreak/>
        <w:t xml:space="preserve">might explain the observed symptoms in </w:t>
      </w:r>
      <w:r w:rsidR="00B4394F" w:rsidRPr="00B4394F">
        <w:rPr>
          <w:i/>
        </w:rPr>
        <w:t xml:space="preserve">sid2 </w:t>
      </w:r>
      <w:r w:rsidR="00F16639">
        <w:t>as no SA-</w:t>
      </w:r>
      <w:r w:rsidR="00B4394F" w:rsidRPr="00B4394F">
        <w:t xml:space="preserve">accumulation was observed. Comparable to other signalling </w:t>
      </w:r>
      <w:r w:rsidR="00F16639">
        <w:t>molecules, Pip might not only</w:t>
      </w:r>
      <w:r w:rsidR="00B4394F" w:rsidRPr="00B4394F">
        <w:t xml:space="preserve"> be able to activate gene expression, but also to repress </w:t>
      </w:r>
      <w:r w:rsidR="00F16639">
        <w:t xml:space="preserve">the </w:t>
      </w:r>
      <w:r w:rsidR="00B4394F" w:rsidRPr="00B4394F">
        <w:t xml:space="preserve">expression of some genes. It was shown that </w:t>
      </w:r>
      <w:r w:rsidR="00B4394F" w:rsidRPr="00B4394F">
        <w:rPr>
          <w:i/>
        </w:rPr>
        <w:t>B.</w:t>
      </w:r>
      <w:r w:rsidR="00F16639">
        <w:rPr>
          <w:i/>
        </w:rPr>
        <w:t xml:space="preserve"> </w:t>
      </w:r>
      <w:r w:rsidR="00B4394F" w:rsidRPr="00B4394F">
        <w:rPr>
          <w:i/>
        </w:rPr>
        <w:t>cinerea</w:t>
      </w:r>
      <w:r w:rsidR="00B4394F" w:rsidRPr="00B4394F">
        <w:t xml:space="preserve"> secretes small RNAs in</w:t>
      </w:r>
      <w:r w:rsidR="00F16639">
        <w:t>to the plant to hijack the RNAi-</w:t>
      </w:r>
      <w:r w:rsidR="00B4394F" w:rsidRPr="00B4394F">
        <w:t>system and selectively silence host immunity</w:t>
      </w:r>
      <w:r w:rsidR="00F16639">
        <w:t>-related genes</w:t>
      </w:r>
      <w:r w:rsidR="00B4394F" w:rsidRPr="00B4394F">
        <w:t xml:space="preserve"> (Weiberg </w:t>
      </w:r>
      <w:r w:rsidR="00B4394F" w:rsidRPr="00B4394F">
        <w:rPr>
          <w:i/>
        </w:rPr>
        <w:t>et al</w:t>
      </w:r>
      <w:r w:rsidR="00B4394F" w:rsidRPr="00B4394F">
        <w:t xml:space="preserve">., 2013). The observed phenotype of disease aggravation in Pip-treated </w:t>
      </w:r>
      <w:r w:rsidR="00B4394F" w:rsidRPr="00B4394F">
        <w:rPr>
          <w:i/>
        </w:rPr>
        <w:t>sid2</w:t>
      </w:r>
      <w:r w:rsidR="00B4394F" w:rsidRPr="00B4394F">
        <w:t xml:space="preserve"> plants might be the result of additive effects in disturbed signalling. A similar induction of susceptibilty by </w:t>
      </w:r>
      <w:r w:rsidR="00F16639">
        <w:t>Pip</w:t>
      </w:r>
      <w:r w:rsidR="00B4394F" w:rsidRPr="00B4394F">
        <w:t xml:space="preserve"> was observed for </w:t>
      </w:r>
      <w:r w:rsidR="00B4394F" w:rsidRPr="00B4394F">
        <w:rPr>
          <w:i/>
        </w:rPr>
        <w:t>coi1</w:t>
      </w:r>
      <w:r w:rsidR="00B4394F" w:rsidRPr="00B4394F">
        <w:t xml:space="preserve">, which showed strong leaf maceration in Pip-treated and </w:t>
      </w:r>
      <w:r w:rsidR="00B4394F" w:rsidRPr="00B4394F">
        <w:rPr>
          <w:i/>
        </w:rPr>
        <w:t>B.</w:t>
      </w:r>
      <w:r w:rsidR="00F16639">
        <w:rPr>
          <w:i/>
        </w:rPr>
        <w:t xml:space="preserve"> </w:t>
      </w:r>
      <w:r w:rsidR="00B4394F" w:rsidRPr="00B4394F">
        <w:rPr>
          <w:i/>
        </w:rPr>
        <w:t>cinerea</w:t>
      </w:r>
      <w:r w:rsidR="003250EC">
        <w:t>-</w:t>
      </w:r>
      <w:r w:rsidR="00B4394F" w:rsidRPr="00B4394F">
        <w:t xml:space="preserve">infected leaves (Figure 36). The reason for this observation might be that in Pip-treated and </w:t>
      </w:r>
      <w:r w:rsidR="00B4394F" w:rsidRPr="00B4394F">
        <w:rPr>
          <w:i/>
        </w:rPr>
        <w:t>Botrytis</w:t>
      </w:r>
      <w:r w:rsidR="00305A94">
        <w:t>-</w:t>
      </w:r>
      <w:r w:rsidR="00B4394F" w:rsidRPr="00B4394F">
        <w:t xml:space="preserve">infected </w:t>
      </w:r>
      <w:r w:rsidR="00B4394F" w:rsidRPr="00B4394F">
        <w:rPr>
          <w:i/>
        </w:rPr>
        <w:t>coi1</w:t>
      </w:r>
      <w:r w:rsidR="00B4394F" w:rsidRPr="00B4394F">
        <w:t xml:space="preserve"> plants a strong accumulation of SA was detected (data not shown), which enabled the fungus to use </w:t>
      </w:r>
      <w:r w:rsidR="00B4394F" w:rsidRPr="00B4394F">
        <w:rPr>
          <w:i/>
        </w:rPr>
        <w:t>GRXS13</w:t>
      </w:r>
      <w:r w:rsidR="00B4394F" w:rsidRPr="00B4394F">
        <w:t xml:space="preserve"> to aggaravate infection as described above. In future experiments the data gathered so far will have to be verified. To be able to get a more uniform infection of </w:t>
      </w:r>
      <w:r w:rsidR="00B4394F" w:rsidRPr="00305A94">
        <w:rPr>
          <w:i/>
        </w:rPr>
        <w:t>Arabidopsis</w:t>
      </w:r>
      <w:r w:rsidR="00B4394F" w:rsidRPr="00B4394F">
        <w:t xml:space="preserve"> leaves, the spore solution could be sprayed on the leaves instead of putting droplets onto the leaf surface and disease symptoms </w:t>
      </w:r>
      <w:r w:rsidR="00305A94">
        <w:t xml:space="preserve">additionally </w:t>
      </w:r>
      <w:r w:rsidR="00FA1ED3">
        <w:t xml:space="preserve">analysed by </w:t>
      </w:r>
      <w:r w:rsidR="00F16639">
        <w:t>TB-</w:t>
      </w:r>
      <w:r w:rsidR="00B4394F" w:rsidRPr="00B4394F">
        <w:t>staining of infected leaves. Also, growth conditions for the fungus on agar plates will have to be optimized, as there were several experiments for which not enough spores could be obtained</w:t>
      </w:r>
      <w:r w:rsidR="00F16639">
        <w:t>, making it impossible to carry out planned experiments</w:t>
      </w:r>
      <w:r w:rsidR="00B4394F" w:rsidRPr="00B4394F">
        <w:t xml:space="preserve">. Additionally </w:t>
      </w:r>
      <w:r w:rsidR="00305A94">
        <w:t>to metabolite</w:t>
      </w:r>
      <w:r w:rsidR="00B4394F" w:rsidRPr="00B4394F">
        <w:t xml:space="preserve"> and </w:t>
      </w:r>
      <w:r w:rsidR="00305A94">
        <w:t>disease symptom studies</w:t>
      </w:r>
      <w:r w:rsidR="00B4394F" w:rsidRPr="00B4394F">
        <w:t>, the analysis of gene expression (</w:t>
      </w:r>
      <w:r w:rsidR="00B4394F" w:rsidRPr="00B4394F">
        <w:rPr>
          <w:i/>
        </w:rPr>
        <w:t>ALD1, FMO1, GRXS13, PDF1.2, MPK3, MPK6</w:t>
      </w:r>
      <w:r w:rsidR="00B4394F" w:rsidRPr="00B4394F">
        <w:t xml:space="preserve">, others) would enable us to get an even better picture of the mechanism behind </w:t>
      </w:r>
      <w:r w:rsidR="00B4394F" w:rsidRPr="00B4394F">
        <w:rPr>
          <w:i/>
        </w:rPr>
        <w:t>B</w:t>
      </w:r>
      <w:r w:rsidR="00922C32">
        <w:rPr>
          <w:i/>
        </w:rPr>
        <w:t>.</w:t>
      </w:r>
      <w:r w:rsidR="00B4394F" w:rsidRPr="00B4394F">
        <w:rPr>
          <w:i/>
        </w:rPr>
        <w:t xml:space="preserve"> cinerea</w:t>
      </w:r>
      <w:r w:rsidR="00C82FFA">
        <w:t>-</w:t>
      </w:r>
      <w:r w:rsidR="00B4394F" w:rsidRPr="00B4394F">
        <w:t xml:space="preserve">infection of </w:t>
      </w:r>
      <w:r w:rsidR="00B4394F" w:rsidRPr="00B4394F">
        <w:rPr>
          <w:i/>
        </w:rPr>
        <w:t>A</w:t>
      </w:r>
      <w:r w:rsidR="00922C32">
        <w:rPr>
          <w:i/>
        </w:rPr>
        <w:t>.</w:t>
      </w:r>
      <w:r w:rsidR="00305A94">
        <w:rPr>
          <w:i/>
        </w:rPr>
        <w:t xml:space="preserve"> thaliana</w:t>
      </w:r>
      <w:r w:rsidR="00B4394F" w:rsidRPr="00B4394F">
        <w:t>.</w:t>
      </w:r>
    </w:p>
    <w:p w:rsidR="00443DBC" w:rsidRDefault="00443DBC" w:rsidP="00443DBC">
      <w:pPr>
        <w:pStyle w:val="berschrift2"/>
        <w:jc w:val="both"/>
        <w:rPr>
          <w:color w:val="auto"/>
        </w:rPr>
        <w:sectPr w:rsidR="00443DBC" w:rsidSect="00B517AA">
          <w:headerReference w:type="default" r:id="rId96"/>
          <w:type w:val="continuous"/>
          <w:pgSz w:w="11906" w:h="16838"/>
          <w:pgMar w:top="1417" w:right="1417" w:bottom="1134" w:left="1417" w:header="708" w:footer="708" w:gutter="0"/>
          <w:cols w:space="708"/>
          <w:titlePg/>
          <w:docGrid w:linePitch="360"/>
        </w:sectPr>
      </w:pPr>
    </w:p>
    <w:p w:rsidR="00577C7A" w:rsidRPr="00577C7A" w:rsidRDefault="00563EC1" w:rsidP="00577C7A">
      <w:pPr>
        <w:pStyle w:val="berschrift2"/>
        <w:spacing w:after="240"/>
        <w:jc w:val="both"/>
        <w:rPr>
          <w:color w:val="auto"/>
        </w:rPr>
      </w:pPr>
      <w:bookmarkStart w:id="117" w:name="_Toc435621259"/>
      <w:r>
        <w:rPr>
          <w:color w:val="auto"/>
        </w:rPr>
        <w:lastRenderedPageBreak/>
        <w:t xml:space="preserve">7.7 </w:t>
      </w:r>
      <w:r w:rsidR="00B95ADB">
        <w:rPr>
          <w:color w:val="auto"/>
        </w:rPr>
        <w:t xml:space="preserve">Changes in metabolite composition of </w:t>
      </w:r>
      <w:r w:rsidR="00B95ADB" w:rsidRPr="00B95ADB">
        <w:rPr>
          <w:i/>
          <w:color w:val="auto"/>
        </w:rPr>
        <w:t>A</w:t>
      </w:r>
      <w:r w:rsidR="00922C32">
        <w:rPr>
          <w:i/>
          <w:color w:val="auto"/>
        </w:rPr>
        <w:t>.</w:t>
      </w:r>
      <w:r w:rsidR="00B95ADB" w:rsidRPr="00B95ADB">
        <w:rPr>
          <w:i/>
          <w:color w:val="auto"/>
        </w:rPr>
        <w:t xml:space="preserve"> thaliana</w:t>
      </w:r>
      <w:r w:rsidR="00B95ADB">
        <w:rPr>
          <w:color w:val="auto"/>
        </w:rPr>
        <w:t xml:space="preserve"> plants infected with</w:t>
      </w:r>
      <w:r w:rsidR="00E07D2C">
        <w:rPr>
          <w:color w:val="auto"/>
        </w:rPr>
        <w:t xml:space="preserve"> a virulent and an avirulent isolate of</w:t>
      </w:r>
      <w:r w:rsidR="008A036D">
        <w:rPr>
          <w:color w:val="auto"/>
        </w:rPr>
        <w:t xml:space="preserve"> </w:t>
      </w:r>
      <w:r w:rsidR="00922C32">
        <w:rPr>
          <w:i/>
          <w:color w:val="auto"/>
        </w:rPr>
        <w:t>Hpa</w:t>
      </w:r>
      <w:bookmarkEnd w:id="117"/>
    </w:p>
    <w:p w:rsidR="00AA31A7" w:rsidRDefault="00440DEE" w:rsidP="00AF086D">
      <w:pPr>
        <w:spacing w:after="0" w:line="360" w:lineRule="auto"/>
        <w:jc w:val="both"/>
      </w:pPr>
      <w:r w:rsidRPr="00440DEE">
        <w:t xml:space="preserve">In comparison to interactions of </w:t>
      </w:r>
      <w:r w:rsidRPr="00440DEE">
        <w:rPr>
          <w:i/>
        </w:rPr>
        <w:t>Arabidopsis</w:t>
      </w:r>
      <w:r w:rsidRPr="00440DEE">
        <w:t xml:space="preserve"> with nectrophic (</w:t>
      </w:r>
      <w:r w:rsidRPr="00440DEE">
        <w:rPr>
          <w:i/>
        </w:rPr>
        <w:t>B.</w:t>
      </w:r>
      <w:r w:rsidR="005D2D1A">
        <w:rPr>
          <w:i/>
        </w:rPr>
        <w:t xml:space="preserve"> </w:t>
      </w:r>
      <w:r w:rsidRPr="00440DEE">
        <w:rPr>
          <w:i/>
        </w:rPr>
        <w:t>cinerea</w:t>
      </w:r>
      <w:r w:rsidRPr="00440DEE">
        <w:t>) and hemibiotrophic (</w:t>
      </w:r>
      <w:r w:rsidR="005D2D1A">
        <w:rPr>
          <w:i/>
        </w:rPr>
        <w:t>Psm</w:t>
      </w:r>
      <w:r w:rsidRPr="00440DEE">
        <w:t xml:space="preserve">) pathogens, two obligate biotrophs were chosen to study interactions between plants and specialized biotrophic pathogens: the </w:t>
      </w:r>
      <w:r w:rsidR="00311C03">
        <w:t xml:space="preserve">downy mildew </w:t>
      </w:r>
      <w:r w:rsidRPr="00440DEE">
        <w:t xml:space="preserve">oomycete </w:t>
      </w:r>
      <w:r w:rsidRPr="00440DEE">
        <w:rPr>
          <w:i/>
        </w:rPr>
        <w:t>Hyaloperonospora arabidopsidis</w:t>
      </w:r>
      <w:r w:rsidRPr="00440DEE">
        <w:t xml:space="preserve"> and the</w:t>
      </w:r>
      <w:r w:rsidR="00311C03">
        <w:t xml:space="preserve"> powdery mildew</w:t>
      </w:r>
      <w:r w:rsidRPr="00440DEE">
        <w:t xml:space="preserve"> fungus </w:t>
      </w:r>
      <w:r w:rsidRPr="00440DEE">
        <w:rPr>
          <w:i/>
        </w:rPr>
        <w:t>Golovinomyces orontii</w:t>
      </w:r>
      <w:r w:rsidR="00AF086D">
        <w:rPr>
          <w:i/>
        </w:rPr>
        <w:t xml:space="preserve"> </w:t>
      </w:r>
      <w:r w:rsidR="00AF086D">
        <w:t>(7.10)</w:t>
      </w:r>
      <w:r w:rsidR="00B13844">
        <w:t xml:space="preserve">. </w:t>
      </w:r>
      <w:r w:rsidRPr="00440DEE">
        <w:t xml:space="preserve">Resistance in </w:t>
      </w:r>
      <w:r w:rsidR="00311C03">
        <w:rPr>
          <w:i/>
        </w:rPr>
        <w:t>A.</w:t>
      </w:r>
      <w:r w:rsidR="005D2D1A">
        <w:rPr>
          <w:i/>
        </w:rPr>
        <w:t xml:space="preserve"> </w:t>
      </w:r>
      <w:r w:rsidR="00311C03">
        <w:rPr>
          <w:i/>
        </w:rPr>
        <w:t>thaliana</w:t>
      </w:r>
      <w:r w:rsidRPr="00440DEE">
        <w:t xml:space="preserve"> against </w:t>
      </w:r>
      <w:r w:rsidR="005D2D1A">
        <w:rPr>
          <w:i/>
        </w:rPr>
        <w:t>Hpa</w:t>
      </w:r>
      <w:r w:rsidRPr="00440DEE">
        <w:t xml:space="preserve"> is conferred by products of </w:t>
      </w:r>
      <w:r w:rsidRPr="00440DEE">
        <w:rPr>
          <w:i/>
        </w:rPr>
        <w:t>RPP</w:t>
      </w:r>
      <w:r w:rsidRPr="00440DEE">
        <w:t xml:space="preserve"> (</w:t>
      </w:r>
      <w:r w:rsidR="005D2D1A">
        <w:rPr>
          <w:i/>
        </w:rPr>
        <w:t>RESISTANCE TO PERONOSPORA PARASITICA</w:t>
      </w:r>
      <w:r w:rsidRPr="00440DEE">
        <w:t>) genes, cytoplasmatically localized proteins of the CC</w:t>
      </w:r>
      <w:proofErr w:type="gramStart"/>
      <w:r w:rsidRPr="00440DEE">
        <w:t>:NB:LRR</w:t>
      </w:r>
      <w:proofErr w:type="gramEnd"/>
      <w:r w:rsidRPr="00440DEE">
        <w:t xml:space="preserve"> (coiled-coil:nucleotide-binding:leucine rich repeat) class that are very diverse in the LRR domain (Allen </w:t>
      </w:r>
      <w:r w:rsidRPr="00440DEE">
        <w:rPr>
          <w:i/>
        </w:rPr>
        <w:t>et al</w:t>
      </w:r>
      <w:r w:rsidRPr="00440DEE">
        <w:t xml:space="preserve">., 2004; Nemri </w:t>
      </w:r>
      <w:r w:rsidRPr="00440DEE">
        <w:rPr>
          <w:i/>
        </w:rPr>
        <w:t>et al</w:t>
      </w:r>
      <w:r w:rsidRPr="00440DEE">
        <w:t xml:space="preserve">., 2010). </w:t>
      </w:r>
      <w:r w:rsidR="008A036D" w:rsidRPr="008A036D">
        <w:t>This interaction is also character</w:t>
      </w:r>
      <w:r w:rsidR="008A036D">
        <w:t>is</w:t>
      </w:r>
      <w:r w:rsidR="00311C03">
        <w:t xml:space="preserve">ed by accumulation of the defence metabolites </w:t>
      </w:r>
      <w:r w:rsidR="005D2D1A">
        <w:t>SA</w:t>
      </w:r>
      <w:r w:rsidRPr="00440DEE">
        <w:t xml:space="preserve"> and camalexi</w:t>
      </w:r>
      <w:r w:rsidR="00B13844">
        <w:t xml:space="preserve">n (Nawrath and Métraux, 1999). </w:t>
      </w:r>
      <w:r w:rsidR="00311C03">
        <w:t>The</w:t>
      </w:r>
      <w:r w:rsidR="00D568D2">
        <w:t xml:space="preserve"> first step in the</w:t>
      </w:r>
      <w:r w:rsidRPr="00440DEE">
        <w:t xml:space="preserve"> studies of</w:t>
      </w:r>
      <w:r w:rsidR="00AF086D">
        <w:t xml:space="preserve"> the</w:t>
      </w:r>
      <w:r w:rsidRPr="00440DEE">
        <w:t xml:space="preserve"> </w:t>
      </w:r>
      <w:r w:rsidRPr="00440DEE">
        <w:rPr>
          <w:i/>
        </w:rPr>
        <w:t>Arabidopsis</w:t>
      </w:r>
      <w:r w:rsidR="00AF086D">
        <w:t>-</w:t>
      </w:r>
      <w:r w:rsidR="00311C03">
        <w:t>interaction with</w:t>
      </w:r>
      <w:r w:rsidRPr="00440DEE">
        <w:t xml:space="preserve"> </w:t>
      </w:r>
      <w:r w:rsidR="005D2D1A">
        <w:rPr>
          <w:i/>
        </w:rPr>
        <w:t>Hpa</w:t>
      </w:r>
      <w:r w:rsidR="004351A3">
        <w:t xml:space="preserve"> was</w:t>
      </w:r>
      <w:r w:rsidRPr="00440DEE">
        <w:t xml:space="preserve"> analysis of metabolite</w:t>
      </w:r>
      <w:r w:rsidR="00AA31A7">
        <w:t xml:space="preserve"> accumulation (Figure 38</w:t>
      </w:r>
      <w:r w:rsidR="00C03A9D">
        <w:t>). As described before</w:t>
      </w:r>
      <w:r w:rsidR="00311C03">
        <w:t xml:space="preserve">, </w:t>
      </w:r>
      <w:r w:rsidR="00277DCD">
        <w:t>SA</w:t>
      </w:r>
      <w:r w:rsidR="00311C03">
        <w:t xml:space="preserve"> accumulated</w:t>
      </w:r>
      <w:r w:rsidRPr="00440DEE">
        <w:t xml:space="preserve"> t</w:t>
      </w:r>
      <w:r w:rsidR="00096F03">
        <w:t xml:space="preserve">o moderate levels in Col-0, </w:t>
      </w:r>
      <w:r w:rsidRPr="00440DEE">
        <w:rPr>
          <w:i/>
        </w:rPr>
        <w:t>ald1</w:t>
      </w:r>
      <w:r w:rsidRPr="00440DEE">
        <w:t xml:space="preserve"> and </w:t>
      </w:r>
      <w:r w:rsidRPr="00440DEE">
        <w:rPr>
          <w:i/>
        </w:rPr>
        <w:t>fmo1</w:t>
      </w:r>
      <w:r w:rsidRPr="00440DEE">
        <w:t xml:space="preserve">, </w:t>
      </w:r>
      <w:r w:rsidR="00096F03">
        <w:t xml:space="preserve">and </w:t>
      </w:r>
      <w:r w:rsidR="005D2D1A">
        <w:t>only very slightly</w:t>
      </w:r>
      <w:r w:rsidR="00096F03">
        <w:t xml:space="preserve"> in </w:t>
      </w:r>
      <w:r w:rsidR="00096F03" w:rsidRPr="00440DEE">
        <w:rPr>
          <w:i/>
        </w:rPr>
        <w:t>sid2</w:t>
      </w:r>
      <w:r w:rsidR="00096F03">
        <w:t xml:space="preserve"> and</w:t>
      </w:r>
      <w:r w:rsidR="00096F03" w:rsidRPr="00440DEE">
        <w:t xml:space="preserve"> the </w:t>
      </w:r>
      <w:r w:rsidR="00096F03" w:rsidRPr="00440DEE">
        <w:rPr>
          <w:i/>
        </w:rPr>
        <w:t>sid2 ald1</w:t>
      </w:r>
      <w:r w:rsidR="00096F03" w:rsidRPr="00440DEE">
        <w:t xml:space="preserve"> double mutant </w:t>
      </w:r>
      <w:r w:rsidRPr="00440DEE">
        <w:t>after infection with the</w:t>
      </w:r>
      <w:r w:rsidR="00CE3D52">
        <w:t xml:space="preserve"> </w:t>
      </w:r>
      <w:r w:rsidR="00AA31A7">
        <w:t>virulent</w:t>
      </w:r>
      <w:r w:rsidRPr="00440DEE">
        <w:t xml:space="preserve"> </w:t>
      </w:r>
      <w:r w:rsidR="005D2D1A">
        <w:rPr>
          <w:i/>
        </w:rPr>
        <w:t>Hpa</w:t>
      </w:r>
      <w:r w:rsidR="00AA31A7">
        <w:t xml:space="preserve"> Noco2 (Figure 38</w:t>
      </w:r>
      <w:r w:rsidR="00D568D2">
        <w:t xml:space="preserve"> A</w:t>
      </w:r>
      <w:r w:rsidR="00096F03">
        <w:t xml:space="preserve">). </w:t>
      </w:r>
      <w:r w:rsidR="008A036D" w:rsidRPr="008A036D">
        <w:t>Infec</w:t>
      </w:r>
      <w:r w:rsidR="005D2D1A">
        <w:t>tion with</w:t>
      </w:r>
      <w:r w:rsidR="008A036D" w:rsidRPr="008A036D">
        <w:t xml:space="preserve"> </w:t>
      </w:r>
      <w:r w:rsidR="005D2D1A">
        <w:rPr>
          <w:i/>
        </w:rPr>
        <w:t>Hpa</w:t>
      </w:r>
      <w:r w:rsidR="008A036D" w:rsidRPr="008A036D">
        <w:t xml:space="preserve"> Cala2</w:t>
      </w:r>
      <w:r w:rsidR="00311C03">
        <w:t>, which is avirulent on Col-0,</w:t>
      </w:r>
      <w:r w:rsidR="008A036D" w:rsidRPr="008A036D">
        <w:t xml:space="preserve"> </w:t>
      </w:r>
      <w:r w:rsidR="008A036D">
        <w:t>resulted in</w:t>
      </w:r>
      <w:r w:rsidR="008A036D" w:rsidRPr="008A036D">
        <w:t xml:space="preserve"> accumulation of approximately </w:t>
      </w:r>
      <w:r w:rsidR="008A036D">
        <w:t xml:space="preserve">half the amount of </w:t>
      </w:r>
      <w:r w:rsidR="00277DCD">
        <w:t>SA</w:t>
      </w:r>
      <w:r w:rsidR="008A036D" w:rsidRPr="008A036D">
        <w:t xml:space="preserve"> than observed </w:t>
      </w:r>
      <w:r w:rsidR="005D2D1A">
        <w:t xml:space="preserve">in the </w:t>
      </w:r>
      <w:r w:rsidR="00096F03">
        <w:t>virulent</w:t>
      </w:r>
      <w:r w:rsidR="008A036D" w:rsidRPr="008A036D">
        <w:t xml:space="preserve"> </w:t>
      </w:r>
      <w:r w:rsidR="008A036D" w:rsidRPr="008A036D">
        <w:lastRenderedPageBreak/>
        <w:t xml:space="preserve">interaction. </w:t>
      </w:r>
      <w:r w:rsidRPr="005A4658">
        <w:t xml:space="preserve">The tryptophan-derived </w:t>
      </w:r>
      <w:r w:rsidR="008A036D">
        <w:t xml:space="preserve">phytoalexin </w:t>
      </w:r>
      <w:r w:rsidRPr="005A4658">
        <w:t>camalexin</w:t>
      </w:r>
      <w:r w:rsidRPr="00440DEE">
        <w:t xml:space="preserve"> accumulated </w:t>
      </w:r>
      <w:r w:rsidR="005D2D1A">
        <w:t>in all analysed plant lines after</w:t>
      </w:r>
      <w:r w:rsidR="00311C03">
        <w:t xml:space="preserve"> </w:t>
      </w:r>
      <w:r w:rsidR="005D2D1A">
        <w:rPr>
          <w:i/>
        </w:rPr>
        <w:t>Hpa</w:t>
      </w:r>
      <w:r w:rsidR="005D2D1A">
        <w:t xml:space="preserve"> Noco2-infection</w:t>
      </w:r>
      <w:r w:rsidRPr="00440DEE">
        <w:t xml:space="preserve"> </w:t>
      </w:r>
      <w:r w:rsidR="005D2D1A">
        <w:t>and</w:t>
      </w:r>
      <w:r w:rsidR="00AF086D">
        <w:t>,</w:t>
      </w:r>
      <w:r w:rsidR="00D568D2">
        <w:t xml:space="preserve"> </w:t>
      </w:r>
      <w:r w:rsidR="00AF086D">
        <w:t>similarly to SA-accumulation,</w:t>
      </w:r>
      <w:r w:rsidR="00D568D2">
        <w:t xml:space="preserve"> lower c</w:t>
      </w:r>
      <w:r w:rsidRPr="00440DEE">
        <w:t>amalexin l</w:t>
      </w:r>
      <w:r w:rsidR="005D2D1A">
        <w:t xml:space="preserve">evels were observed </w:t>
      </w:r>
      <w:r w:rsidR="00117B6E">
        <w:t>after</w:t>
      </w:r>
      <w:r w:rsidRPr="00440DEE">
        <w:t xml:space="preserve"> i</w:t>
      </w:r>
      <w:r w:rsidR="00D568D2">
        <w:t>nfection</w:t>
      </w:r>
      <w:r w:rsidR="00117B6E">
        <w:t xml:space="preserve"> with the avirulent isolate</w:t>
      </w:r>
      <w:r w:rsidR="005D2D1A">
        <w:t xml:space="preserve">. In </w:t>
      </w:r>
      <w:r w:rsidR="005D2D1A" w:rsidRPr="005D2D1A">
        <w:rPr>
          <w:i/>
        </w:rPr>
        <w:t>fmo1</w:t>
      </w:r>
      <w:r w:rsidR="005D2D1A">
        <w:t xml:space="preserve">, </w:t>
      </w:r>
      <w:r w:rsidR="00D568D2">
        <w:t>similar</w:t>
      </w:r>
      <w:r w:rsidR="00117B6E">
        <w:t xml:space="preserve"> </w:t>
      </w:r>
      <w:r w:rsidR="00AF086D">
        <w:t xml:space="preserve">camalexin </w:t>
      </w:r>
      <w:r w:rsidR="005D2D1A">
        <w:t>levels were detected in the virulent and the avirulent interaction (Figure 38 B)</w:t>
      </w:r>
      <w:r w:rsidRPr="00440DEE">
        <w:t xml:space="preserve">. In </w:t>
      </w:r>
      <w:r w:rsidRPr="00440DEE">
        <w:rPr>
          <w:i/>
        </w:rPr>
        <w:t>sid2</w:t>
      </w:r>
      <w:r w:rsidRPr="00440DEE">
        <w:t xml:space="preserve"> and </w:t>
      </w:r>
      <w:r w:rsidRPr="00440DEE">
        <w:rPr>
          <w:i/>
        </w:rPr>
        <w:t>sid2 ald1</w:t>
      </w:r>
      <w:r w:rsidRPr="00440DEE">
        <w:t xml:space="preserve">, on the other hand, </w:t>
      </w:r>
      <w:r w:rsidR="005D2D1A">
        <w:rPr>
          <w:i/>
        </w:rPr>
        <w:t>Hpa</w:t>
      </w:r>
      <w:r w:rsidR="005D2D1A">
        <w:t xml:space="preserve"> Cala2-infection induced</w:t>
      </w:r>
      <w:r w:rsidRPr="00440DEE">
        <w:t xml:space="preserve"> very strong camalexin accumulation (more than two-fold), comparable to </w:t>
      </w:r>
      <w:r w:rsidR="00311C03">
        <w:t xml:space="preserve">levels detected in </w:t>
      </w:r>
      <w:r w:rsidRPr="00440DEE">
        <w:t>Ler-0 plants</w:t>
      </w:r>
      <w:r w:rsidR="00AF086D">
        <w:t xml:space="preserve">, which are susceptible to </w:t>
      </w:r>
      <w:r w:rsidR="00AF086D" w:rsidRPr="00AF086D">
        <w:rPr>
          <w:i/>
        </w:rPr>
        <w:t>Hpa</w:t>
      </w:r>
      <w:r w:rsidR="00AF086D">
        <w:t xml:space="preserve"> Cala2</w:t>
      </w:r>
      <w:r w:rsidR="00117B6E">
        <w:t xml:space="preserve"> (Figure 38 B)</w:t>
      </w:r>
      <w:r w:rsidR="00AF086D">
        <w:t>. The</w:t>
      </w:r>
      <w:r w:rsidRPr="00440DEE">
        <w:t xml:space="preserve"> strong response towards </w:t>
      </w:r>
      <w:r w:rsidR="005D2D1A">
        <w:rPr>
          <w:i/>
        </w:rPr>
        <w:t>Hpa</w:t>
      </w:r>
      <w:r w:rsidRPr="00440DEE">
        <w:t xml:space="preserve"> Cala2 shows that this avirulent oomycete induces stronger </w:t>
      </w:r>
      <w:r w:rsidR="004351A3">
        <w:t>defence metabolite accumulation</w:t>
      </w:r>
      <w:r w:rsidRPr="00440DEE">
        <w:t xml:space="preserve"> in </w:t>
      </w:r>
      <w:r w:rsidRPr="00440DEE">
        <w:rPr>
          <w:i/>
        </w:rPr>
        <w:t>sid2</w:t>
      </w:r>
      <w:r w:rsidRPr="00440DEE">
        <w:t xml:space="preserve"> and </w:t>
      </w:r>
      <w:r w:rsidRPr="00440DEE">
        <w:rPr>
          <w:i/>
        </w:rPr>
        <w:t>sid2 ald1</w:t>
      </w:r>
      <w:r w:rsidRPr="00440DEE">
        <w:t xml:space="preserve"> than in Col-0. A similar finding was published by Nawrath and Métrau</w:t>
      </w:r>
      <w:r w:rsidR="00117B6E">
        <w:t>x in 1999, who reported higher c</w:t>
      </w:r>
      <w:r w:rsidRPr="00440DEE">
        <w:t xml:space="preserve">amalexin levels in </w:t>
      </w:r>
      <w:r w:rsidRPr="00440DEE">
        <w:rPr>
          <w:i/>
        </w:rPr>
        <w:t>sid2</w:t>
      </w:r>
      <w:r w:rsidRPr="00440DEE">
        <w:t xml:space="preserve"> plants inoculated with </w:t>
      </w:r>
      <w:proofErr w:type="gramStart"/>
      <w:r w:rsidR="005D2D1A">
        <w:rPr>
          <w:i/>
        </w:rPr>
        <w:t>Pst</w:t>
      </w:r>
      <w:proofErr w:type="gramEnd"/>
      <w:r w:rsidRPr="00440DEE">
        <w:rPr>
          <w:i/>
        </w:rPr>
        <w:t xml:space="preserve"> avrRpt2</w:t>
      </w:r>
      <w:r w:rsidR="004351A3">
        <w:t>. This finding demonstrates</w:t>
      </w:r>
      <w:r w:rsidRPr="00440DEE">
        <w:t xml:space="preserve"> that biosynthesis of camalexin does not depend on </w:t>
      </w:r>
      <w:r w:rsidR="005D2D1A">
        <w:t>SA</w:t>
      </w:r>
      <w:r w:rsidRPr="00440DEE">
        <w:t xml:space="preserve">, </w:t>
      </w:r>
      <w:r w:rsidR="00311C03">
        <w:t>in contrast to</w:t>
      </w:r>
      <w:r w:rsidRPr="00440DEE">
        <w:t xml:space="preserve"> priming of camalexin</w:t>
      </w:r>
      <w:r w:rsidR="00117B6E">
        <w:t xml:space="preserve"> accumulation</w:t>
      </w:r>
      <w:r w:rsidRPr="00440DEE">
        <w:t xml:space="preserve"> (Bernsdorff </w:t>
      </w:r>
      <w:r w:rsidRPr="00440DEE">
        <w:rPr>
          <w:i/>
        </w:rPr>
        <w:t>et al</w:t>
      </w:r>
      <w:r w:rsidR="00B13844">
        <w:t xml:space="preserve">., </w:t>
      </w:r>
      <w:r w:rsidR="003250EC">
        <w:t>submitted to The Plant Cell</w:t>
      </w:r>
      <w:r w:rsidR="00B13844">
        <w:t xml:space="preserve">). </w:t>
      </w:r>
      <w:r w:rsidRPr="00440DEE">
        <w:t>Only a weak increase was found for the camalexin intermediate</w:t>
      </w:r>
      <w:r w:rsidR="003B543F">
        <w:t xml:space="preserve"> ICA, but a pattern similar to c</w:t>
      </w:r>
      <w:r w:rsidRPr="00440DEE">
        <w:t>amalexin accumulation emerged</w:t>
      </w:r>
      <w:r w:rsidR="003B543F">
        <w:t xml:space="preserve"> (Figure 38</w:t>
      </w:r>
      <w:r w:rsidR="006779C2">
        <w:t xml:space="preserve"> C</w:t>
      </w:r>
      <w:r w:rsidRPr="00440DEE">
        <w:t xml:space="preserve">). </w:t>
      </w:r>
      <w:r w:rsidR="003E3FA6" w:rsidRPr="003E3FA6">
        <w:rPr>
          <w:i/>
        </w:rPr>
        <w:t>A</w:t>
      </w:r>
      <w:r w:rsidR="00AF086D">
        <w:rPr>
          <w:i/>
        </w:rPr>
        <w:t>.</w:t>
      </w:r>
      <w:r w:rsidR="003E3FA6">
        <w:rPr>
          <w:i/>
        </w:rPr>
        <w:t xml:space="preserve"> thaliana </w:t>
      </w:r>
      <w:r w:rsidR="003E3FA6">
        <w:t>plants infected with this</w:t>
      </w:r>
      <w:r w:rsidR="003E3FA6" w:rsidRPr="003E3FA6">
        <w:t xml:space="preserve"> biotrophic oomycete </w:t>
      </w:r>
      <w:r w:rsidR="003E3FA6">
        <w:t xml:space="preserve">demonstrated accumulation of </w:t>
      </w:r>
      <w:r w:rsidR="003E3FA6" w:rsidRPr="003E3FA6">
        <w:t xml:space="preserve">an unknown compound, termed </w:t>
      </w:r>
      <w:r w:rsidR="00FD7178">
        <w:t>“</w:t>
      </w:r>
      <w:r w:rsidR="003E3FA6" w:rsidRPr="003E3FA6">
        <w:t>unknow</w:t>
      </w:r>
      <w:r w:rsidR="003E3FA6">
        <w:t>n 28</w:t>
      </w:r>
      <w:r w:rsidR="00FD7178">
        <w:t>”</w:t>
      </w:r>
      <w:r w:rsidR="003E3FA6">
        <w:t>, which was only detectable in this interaction</w:t>
      </w:r>
      <w:r w:rsidR="003E3FA6" w:rsidRPr="003E3FA6">
        <w:t xml:space="preserve"> (Figure 38 D; Table 2</w:t>
      </w:r>
      <w:r w:rsidR="003E3FA6">
        <w:t>; Table 5). This substance</w:t>
      </w:r>
      <w:r w:rsidR="003E3FA6" w:rsidRPr="003E3FA6">
        <w:t xml:space="preserve"> was present in very low levels in uninfected leaves </w:t>
      </w:r>
      <w:r w:rsidR="003E3FA6">
        <w:t>and</w:t>
      </w:r>
      <w:r w:rsidR="003E3FA6" w:rsidRPr="003E3FA6">
        <w:t xml:space="preserve"> increased approximately tenfold</w:t>
      </w:r>
      <w:r w:rsidR="003E3FA6">
        <w:t xml:space="preserve"> in</w:t>
      </w:r>
      <w:r w:rsidR="003E3FA6" w:rsidRPr="003E3FA6">
        <w:t xml:space="preserve"> leaves</w:t>
      </w:r>
      <w:r w:rsidR="003E3FA6">
        <w:t xml:space="preserve"> infected with the virulent </w:t>
      </w:r>
      <w:r w:rsidR="00FD7178">
        <w:rPr>
          <w:i/>
        </w:rPr>
        <w:t>Hpa</w:t>
      </w:r>
      <w:r w:rsidR="003E3FA6">
        <w:t xml:space="preserve"> Noco2</w:t>
      </w:r>
      <w:r w:rsidR="00FD7178">
        <w:t xml:space="preserve">, but not in </w:t>
      </w:r>
      <w:r w:rsidR="00FD7178" w:rsidRPr="00FD7178">
        <w:rPr>
          <w:i/>
        </w:rPr>
        <w:t>Hpa</w:t>
      </w:r>
      <w:r w:rsidR="00FD7178">
        <w:t xml:space="preserve"> Cala2-infected plants</w:t>
      </w:r>
      <w:r w:rsidR="00662084">
        <w:t xml:space="preserve"> </w:t>
      </w:r>
      <w:r w:rsidR="003E3FA6" w:rsidRPr="003E3FA6">
        <w:t>(Figure 38 D).</w:t>
      </w:r>
      <w:r w:rsidR="003E3FA6">
        <w:t xml:space="preserve"> </w:t>
      </w:r>
      <w:r w:rsidR="008155FE">
        <w:t xml:space="preserve">Accumulation of </w:t>
      </w:r>
      <w:r w:rsidR="00AF086D">
        <w:t>“unknown 28”</w:t>
      </w:r>
      <w:r w:rsidR="008155FE">
        <w:t xml:space="preserve"> seems to be characteristic for the </w:t>
      </w:r>
      <w:r w:rsidR="004351A3">
        <w:t xml:space="preserve">compatible </w:t>
      </w:r>
      <w:r w:rsidR="008155FE">
        <w:t xml:space="preserve">interaction of </w:t>
      </w:r>
      <w:r w:rsidR="008155FE" w:rsidRPr="008155FE">
        <w:rPr>
          <w:i/>
        </w:rPr>
        <w:t>A.</w:t>
      </w:r>
      <w:r w:rsidR="00FD7178">
        <w:rPr>
          <w:i/>
        </w:rPr>
        <w:t xml:space="preserve"> </w:t>
      </w:r>
      <w:r w:rsidR="008155FE" w:rsidRPr="008155FE">
        <w:rPr>
          <w:i/>
        </w:rPr>
        <w:t>thaliana</w:t>
      </w:r>
      <w:r w:rsidR="008155FE">
        <w:t xml:space="preserve"> with </w:t>
      </w:r>
      <w:r w:rsidR="00FD7178">
        <w:rPr>
          <w:i/>
        </w:rPr>
        <w:t>Hpa</w:t>
      </w:r>
      <w:r w:rsidR="008155FE">
        <w:t>, as levels also incre</w:t>
      </w:r>
      <w:r w:rsidR="004351A3">
        <w:t>ased in the</w:t>
      </w:r>
      <w:r w:rsidR="008155FE">
        <w:t xml:space="preserve"> interaction between the </w:t>
      </w:r>
      <w:r w:rsidR="008155FE" w:rsidRPr="008155FE">
        <w:rPr>
          <w:i/>
        </w:rPr>
        <w:t>Arabidopsis</w:t>
      </w:r>
      <w:r w:rsidR="008155FE">
        <w:t xml:space="preserve"> ecotype Ler-0 and the </w:t>
      </w:r>
      <w:r w:rsidR="00FD7178">
        <w:rPr>
          <w:i/>
        </w:rPr>
        <w:t>Hpa</w:t>
      </w:r>
      <w:r w:rsidR="008155FE">
        <w:t xml:space="preserve"> isolate Cala2.</w:t>
      </w:r>
      <w:r w:rsidR="003E3FA6" w:rsidRPr="003E3FA6">
        <w:t xml:space="preserve"> </w:t>
      </w:r>
      <w:r w:rsidR="00FD7178">
        <w:t>Pip</w:t>
      </w:r>
      <w:r w:rsidR="00B2698F">
        <w:t xml:space="preserve"> </w:t>
      </w:r>
      <w:r w:rsidR="00FD7178">
        <w:t xml:space="preserve">also </w:t>
      </w:r>
      <w:r w:rsidR="00B2698F">
        <w:t>accumulated</w:t>
      </w:r>
      <w:r w:rsidR="00FD7178">
        <w:t xml:space="preserve"> to moderate levels</w:t>
      </w:r>
      <w:r w:rsidRPr="00440DEE">
        <w:t xml:space="preserve"> </w:t>
      </w:r>
      <w:r w:rsidR="00FD7178">
        <w:t xml:space="preserve">in </w:t>
      </w:r>
      <w:r w:rsidR="00FD7178" w:rsidRPr="00FD7178">
        <w:rPr>
          <w:i/>
        </w:rPr>
        <w:t>Hpa</w:t>
      </w:r>
      <w:r w:rsidR="00FD7178">
        <w:t xml:space="preserve"> Noco2-infected, and to slightly lower levels in </w:t>
      </w:r>
      <w:r w:rsidR="00FD7178" w:rsidRPr="00FD7178">
        <w:rPr>
          <w:i/>
        </w:rPr>
        <w:t>Hpa</w:t>
      </w:r>
      <w:r w:rsidR="00FD7178">
        <w:t xml:space="preserve"> Cala2-infected, plants</w:t>
      </w:r>
      <w:r w:rsidR="00AF086D">
        <w:t>, respectively</w:t>
      </w:r>
      <w:r w:rsidR="00FD7178">
        <w:t xml:space="preserve"> </w:t>
      </w:r>
      <w:r w:rsidR="00B2698F">
        <w:t>(Figure 38</w:t>
      </w:r>
      <w:r w:rsidR="00E227EF">
        <w:t xml:space="preserve"> E</w:t>
      </w:r>
      <w:r w:rsidRPr="00440DEE">
        <w:t>). In contrast to plants infected with</w:t>
      </w:r>
      <w:r w:rsidR="005D0654">
        <w:t xml:space="preserve"> the bacterium</w:t>
      </w:r>
      <w:r w:rsidRPr="00440DEE">
        <w:t xml:space="preserve"> </w:t>
      </w:r>
      <w:r w:rsidR="00FD7178">
        <w:rPr>
          <w:i/>
        </w:rPr>
        <w:t>Psm</w:t>
      </w:r>
      <w:r w:rsidRPr="00440DEE">
        <w:t xml:space="preserve">, the amino acid </w:t>
      </w:r>
      <w:r w:rsidR="00FD7178">
        <w:t>Pro</w:t>
      </w:r>
      <w:r w:rsidRPr="00440DEE">
        <w:t xml:space="preserve"> accumulated to very high levels in </w:t>
      </w:r>
      <w:r w:rsidRPr="00440DEE">
        <w:rPr>
          <w:i/>
        </w:rPr>
        <w:t>Arabidopsis</w:t>
      </w:r>
      <w:r w:rsidRPr="00440DEE">
        <w:t xml:space="preserve"> infected with </w:t>
      </w:r>
      <w:r w:rsidR="00FD7178">
        <w:rPr>
          <w:i/>
        </w:rPr>
        <w:t>Hpa</w:t>
      </w:r>
      <w:r w:rsidR="00E615BD">
        <w:t xml:space="preserve"> Noco2 (Figure 38</w:t>
      </w:r>
      <w:r w:rsidR="00E227EF">
        <w:t xml:space="preserve"> F</w:t>
      </w:r>
      <w:r w:rsidRPr="00440DEE">
        <w:t xml:space="preserve">), but showed no increasing levels after infection with </w:t>
      </w:r>
      <w:r w:rsidR="00E615BD">
        <w:t xml:space="preserve">the </w:t>
      </w:r>
      <w:r w:rsidRPr="00440DEE">
        <w:t>Cala2</w:t>
      </w:r>
      <w:r w:rsidR="00E615BD">
        <w:t xml:space="preserve"> isolate</w:t>
      </w:r>
      <w:r w:rsidRPr="00440DEE">
        <w:t xml:space="preserve">. This high </w:t>
      </w:r>
      <w:r w:rsidR="00FD7178">
        <w:t>Pro</w:t>
      </w:r>
      <w:r w:rsidR="00AF086D">
        <w:t>-</w:t>
      </w:r>
      <w:r w:rsidRPr="00440DEE">
        <w:t>accumulation is possibly a hallmark of the compatible plant-</w:t>
      </w:r>
      <w:r w:rsidR="00E615BD">
        <w:t>oomycete</w:t>
      </w:r>
      <w:r w:rsidRPr="00440DEE">
        <w:t xml:space="preserve"> interaction</w:t>
      </w:r>
      <w:r w:rsidR="002C5A64">
        <w:t xml:space="preserve"> comparable to incr</w:t>
      </w:r>
      <w:r w:rsidR="00AF086D">
        <w:t xml:space="preserve">ease in levels observed for </w:t>
      </w:r>
      <w:r w:rsidR="00FD7178">
        <w:t>“</w:t>
      </w:r>
      <w:r w:rsidR="002C5A64">
        <w:t>unknown 28</w:t>
      </w:r>
      <w:r w:rsidR="00FD7178">
        <w:t>”, as</w:t>
      </w:r>
      <w:r w:rsidRPr="00440DEE">
        <w:t xml:space="preserve"> </w:t>
      </w:r>
      <w:r w:rsidR="00FD7178">
        <w:t>Pro</w:t>
      </w:r>
      <w:r w:rsidRPr="00440DEE">
        <w:t xml:space="preserve"> was also found to accumulate to high levels in </w:t>
      </w:r>
      <w:r w:rsidR="00FD7178">
        <w:rPr>
          <w:i/>
        </w:rPr>
        <w:t>Hpa</w:t>
      </w:r>
      <w:r w:rsidRPr="00440DEE">
        <w:t xml:space="preserve"> Cala2-infected Ler-0 plants. Accumulation of </w:t>
      </w:r>
      <w:r w:rsidR="00FD7178">
        <w:t>Pro</w:t>
      </w:r>
      <w:r w:rsidRPr="00440DEE">
        <w:t xml:space="preserve"> was shown to be a typical resp</w:t>
      </w:r>
      <w:r w:rsidR="00AF086D">
        <w:t>onse to osmotic stress, but Pro-</w:t>
      </w:r>
      <w:r w:rsidRPr="00440DEE">
        <w:t xml:space="preserve">levels were also found to increase upon infection of </w:t>
      </w:r>
      <w:r w:rsidRPr="00440DEE">
        <w:rPr>
          <w:i/>
        </w:rPr>
        <w:t>Arabidopsis</w:t>
      </w:r>
      <w:r w:rsidRPr="00440DEE">
        <w:t xml:space="preserve"> with avirulent </w:t>
      </w:r>
      <w:r w:rsidR="00FD7178">
        <w:rPr>
          <w:i/>
        </w:rPr>
        <w:t>Psm</w:t>
      </w:r>
      <w:r w:rsidRPr="00440DEE">
        <w:t xml:space="preserve"> strains (Fabro </w:t>
      </w:r>
      <w:r w:rsidRPr="00440DEE">
        <w:rPr>
          <w:i/>
        </w:rPr>
        <w:t>et al</w:t>
      </w:r>
      <w:r w:rsidRPr="00440DEE">
        <w:t xml:space="preserve">., 2004). The </w:t>
      </w:r>
      <w:r w:rsidR="00E227EF">
        <w:t xml:space="preserve">exact </w:t>
      </w:r>
      <w:r w:rsidRPr="00440DEE">
        <w:t xml:space="preserve">role of proline accumulation after infection of plants with virulent isolates of </w:t>
      </w:r>
      <w:r w:rsidR="00FD7178">
        <w:rPr>
          <w:i/>
        </w:rPr>
        <w:t>Hpa</w:t>
      </w:r>
      <w:r w:rsidRPr="00440DEE">
        <w:t xml:space="preserve"> will have to be clarified in future experiments. Similarly to </w:t>
      </w:r>
      <w:r w:rsidR="00FD7178">
        <w:t>Pro-</w:t>
      </w:r>
      <w:r w:rsidRPr="00440DEE">
        <w:t xml:space="preserve">accumulation, increasing levels were detected for GABA and </w:t>
      </w:r>
      <w:r w:rsidR="00FD7178">
        <w:t>Orn</w:t>
      </w:r>
      <w:r w:rsidRPr="00440DEE">
        <w:t xml:space="preserve"> after infection with the virulent </w:t>
      </w:r>
      <w:r w:rsidR="00FD7178">
        <w:rPr>
          <w:i/>
        </w:rPr>
        <w:t>Hpa</w:t>
      </w:r>
      <w:r w:rsidRPr="00440DEE">
        <w:t xml:space="preserve"> Noco2, but not with the avirulent </w:t>
      </w:r>
      <w:r w:rsidR="005D0654">
        <w:t>Cala2 (Figure 38 G; Figure 38</w:t>
      </w:r>
      <w:r w:rsidR="00E227EF">
        <w:t xml:space="preserve"> H</w:t>
      </w:r>
      <w:r w:rsidRPr="00440DEE">
        <w:t xml:space="preserve">). As described earlier, GABA plays a role in maintaining cell viability in the interaction with necrotrophs and is also a very important signalling molecule in mammals and insects. Accumulation of GABA </w:t>
      </w:r>
      <w:r w:rsidR="00E07D2C">
        <w:t>was only</w:t>
      </w:r>
      <w:r w:rsidRPr="00440DEE">
        <w:t xml:space="preserve"> observed in compatible interactions of </w:t>
      </w:r>
      <w:r w:rsidRPr="00440DEE">
        <w:rPr>
          <w:i/>
        </w:rPr>
        <w:t>Arabidopsis</w:t>
      </w:r>
      <w:r w:rsidRPr="00440DEE">
        <w:t xml:space="preserve"> plants with </w:t>
      </w:r>
      <w:r w:rsidR="00FD7178">
        <w:rPr>
          <w:i/>
        </w:rPr>
        <w:t>Hpa</w:t>
      </w:r>
      <w:r w:rsidRPr="00440DEE">
        <w:t xml:space="preserve">. It is possible that </w:t>
      </w:r>
      <w:r w:rsidR="00E07D2C">
        <w:t>this oomycete</w:t>
      </w:r>
      <w:r w:rsidRPr="00440DEE">
        <w:t xml:space="preserve"> manipulates the plant´s C</w:t>
      </w:r>
      <w:proofErr w:type="gramStart"/>
      <w:r w:rsidRPr="00440DEE">
        <w:t>:N</w:t>
      </w:r>
      <w:proofErr w:type="gramEnd"/>
      <w:r w:rsidRPr="00440DEE">
        <w:t xml:space="preserve"> met</w:t>
      </w:r>
      <w:r w:rsidR="00E07D2C">
        <w:t xml:space="preserve">abolism via </w:t>
      </w:r>
      <w:r w:rsidR="00E07D2C">
        <w:lastRenderedPageBreak/>
        <w:t xml:space="preserve">GABA to support its </w:t>
      </w:r>
      <w:r w:rsidRPr="00440DEE">
        <w:t xml:space="preserve">biotrophic lifestyle. It was shown before that </w:t>
      </w:r>
      <w:r w:rsidR="00FD7178">
        <w:rPr>
          <w:i/>
        </w:rPr>
        <w:t>Hpa</w:t>
      </w:r>
      <w:r w:rsidRPr="00440DEE">
        <w:rPr>
          <w:i/>
        </w:rPr>
        <w:t xml:space="preserve"> </w:t>
      </w:r>
      <w:r w:rsidRPr="00440DEE">
        <w:t xml:space="preserve">introduces RXLR effectors into the cytoplasm to suppress PAMP-triggered immune responses and reprogram the host´s metabolism (Birch </w:t>
      </w:r>
      <w:r w:rsidRPr="00440DEE">
        <w:rPr>
          <w:i/>
        </w:rPr>
        <w:t>et al</w:t>
      </w:r>
      <w:r w:rsidRPr="00440DEE">
        <w:t xml:space="preserve">., 2006; Birch </w:t>
      </w:r>
      <w:r w:rsidRPr="00440DEE">
        <w:rPr>
          <w:i/>
        </w:rPr>
        <w:t>et al</w:t>
      </w:r>
      <w:r w:rsidRPr="00440DEE">
        <w:t xml:space="preserve">., 2008). These effectors all have the RXLR motif (Arg, any amino acid, Leu, Arg) in common and show a modular structure, with the N-terminus involved in secretion and host translocation of the effector protein and the C-terminus responsible for modulation of host defences inside plant cells (Win </w:t>
      </w:r>
      <w:r w:rsidRPr="00440DEE">
        <w:rPr>
          <w:i/>
        </w:rPr>
        <w:t>et al</w:t>
      </w:r>
      <w:r w:rsidRPr="00440DEE">
        <w:t>., 2007). Manipulation of the C</w:t>
      </w:r>
      <w:proofErr w:type="gramStart"/>
      <w:r w:rsidRPr="00440DEE">
        <w:t>:N</w:t>
      </w:r>
      <w:proofErr w:type="gramEnd"/>
      <w:r w:rsidRPr="00440DEE">
        <w:t xml:space="preserve"> metabolism by a pathogen was already observed for the interaction between </w:t>
      </w:r>
      <w:r w:rsidRPr="00440DEE">
        <w:rPr>
          <w:i/>
        </w:rPr>
        <w:t>A</w:t>
      </w:r>
      <w:r w:rsidR="00AF086D">
        <w:rPr>
          <w:i/>
        </w:rPr>
        <w:t>.</w:t>
      </w:r>
      <w:r w:rsidRPr="00440DEE">
        <w:rPr>
          <w:i/>
        </w:rPr>
        <w:t xml:space="preserve"> thaliana</w:t>
      </w:r>
      <w:r w:rsidRPr="00440DEE">
        <w:t xml:space="preserve"> and </w:t>
      </w:r>
      <w:r w:rsidR="00AF086D">
        <w:t xml:space="preserve">the powdery mildew </w:t>
      </w:r>
      <w:r w:rsidRPr="00440DEE">
        <w:rPr>
          <w:i/>
        </w:rPr>
        <w:t>Golovinomyces cichoracearum</w:t>
      </w:r>
      <w:r w:rsidRPr="00440DEE">
        <w:t xml:space="preserve"> (Fabro </w:t>
      </w:r>
      <w:r w:rsidRPr="00440DEE">
        <w:rPr>
          <w:i/>
        </w:rPr>
        <w:t>et al</w:t>
      </w:r>
      <w:r w:rsidRPr="00440DEE">
        <w:t>., 2008) and might be a feature of highly specialized biotroph</w:t>
      </w:r>
      <w:r w:rsidR="00FD7178">
        <w:t>s. The accumulation of Orn</w:t>
      </w:r>
      <w:r w:rsidRPr="00440DEE">
        <w:t xml:space="preserve"> aft</w:t>
      </w:r>
      <w:r w:rsidR="00E07D2C">
        <w:t xml:space="preserve">er </w:t>
      </w:r>
      <w:r w:rsidR="00FD7178">
        <w:rPr>
          <w:i/>
        </w:rPr>
        <w:t>Hpa</w:t>
      </w:r>
      <w:r w:rsidR="00FD7178">
        <w:t>-</w:t>
      </w:r>
      <w:r w:rsidRPr="00440DEE">
        <w:t>infection is possibly connected to increasing levels observed for Pro, as Orn can function as a precursor for pr</w:t>
      </w:r>
      <w:r w:rsidR="00B13844">
        <w:t xml:space="preserve">oline production (Zeier, 2013). </w:t>
      </w:r>
    </w:p>
    <w:p w:rsidR="00443DBC" w:rsidRDefault="00443DBC" w:rsidP="008C11E1">
      <w:pPr>
        <w:pStyle w:val="berschrift2"/>
        <w:jc w:val="both"/>
        <w:rPr>
          <w:color w:val="auto"/>
        </w:rPr>
        <w:sectPr w:rsidR="00443DBC" w:rsidSect="00B517AA">
          <w:headerReference w:type="default" r:id="rId97"/>
          <w:type w:val="continuous"/>
          <w:pgSz w:w="11906" w:h="16838"/>
          <w:pgMar w:top="1417" w:right="1417" w:bottom="1134" w:left="1417" w:header="708" w:footer="708" w:gutter="0"/>
          <w:cols w:space="708"/>
          <w:titlePg/>
          <w:docGrid w:linePitch="360"/>
        </w:sectPr>
      </w:pPr>
    </w:p>
    <w:p w:rsidR="00CE3D52" w:rsidRPr="005D0654" w:rsidRDefault="00563EC1" w:rsidP="00E07D2C">
      <w:pPr>
        <w:pStyle w:val="berschrift2"/>
        <w:spacing w:after="240"/>
        <w:jc w:val="both"/>
        <w:rPr>
          <w:color w:val="auto"/>
        </w:rPr>
      </w:pPr>
      <w:bookmarkStart w:id="118" w:name="_Toc435621260"/>
      <w:r>
        <w:rPr>
          <w:color w:val="auto"/>
        </w:rPr>
        <w:lastRenderedPageBreak/>
        <w:t xml:space="preserve">7.8 </w:t>
      </w:r>
      <w:r w:rsidR="00A601E3">
        <w:rPr>
          <w:color w:val="auto"/>
        </w:rPr>
        <w:t>Pip</w:t>
      </w:r>
      <w:r w:rsidR="00AA31A7" w:rsidRPr="00AA31A7">
        <w:rPr>
          <w:color w:val="auto"/>
        </w:rPr>
        <w:t>-</w:t>
      </w:r>
      <w:r w:rsidR="00831A77">
        <w:rPr>
          <w:color w:val="auto"/>
        </w:rPr>
        <w:t>IR</w:t>
      </w:r>
      <w:r w:rsidR="00AA31A7" w:rsidRPr="00AA31A7">
        <w:rPr>
          <w:color w:val="auto"/>
        </w:rPr>
        <w:t xml:space="preserve"> against </w:t>
      </w:r>
      <w:r w:rsidR="00A601E3">
        <w:rPr>
          <w:i/>
          <w:color w:val="auto"/>
        </w:rPr>
        <w:t>Hpa</w:t>
      </w:r>
      <w:r w:rsidR="00E07D2C">
        <w:rPr>
          <w:color w:val="auto"/>
        </w:rPr>
        <w:t xml:space="preserve"> </w:t>
      </w:r>
      <w:r w:rsidR="005766A5">
        <w:rPr>
          <w:color w:val="auto"/>
        </w:rPr>
        <w:t>is depende</w:t>
      </w:r>
      <w:r w:rsidR="00E07D2C">
        <w:rPr>
          <w:color w:val="auto"/>
        </w:rPr>
        <w:t>nt</w:t>
      </w:r>
      <w:r w:rsidR="00AA31A7" w:rsidRPr="00AA31A7">
        <w:rPr>
          <w:color w:val="auto"/>
        </w:rPr>
        <w:t xml:space="preserve"> on FMO1</w:t>
      </w:r>
      <w:r w:rsidR="00A601E3">
        <w:rPr>
          <w:color w:val="auto"/>
        </w:rPr>
        <w:t xml:space="preserve"> and SA-</w:t>
      </w:r>
      <w:r w:rsidR="00E07D2C">
        <w:rPr>
          <w:color w:val="auto"/>
        </w:rPr>
        <w:t>accumulation</w:t>
      </w:r>
      <w:bookmarkEnd w:id="118"/>
      <w:r w:rsidR="00E07D2C">
        <w:rPr>
          <w:color w:val="auto"/>
        </w:rPr>
        <w:t xml:space="preserve"> </w:t>
      </w:r>
    </w:p>
    <w:p w:rsidR="001159EE" w:rsidRDefault="00A601E3" w:rsidP="00B13844">
      <w:pPr>
        <w:spacing w:after="0" w:line="360" w:lineRule="auto"/>
        <w:jc w:val="both"/>
      </w:pPr>
      <w:r>
        <w:t>Pip</w:t>
      </w:r>
      <w:r w:rsidR="005766A5" w:rsidRPr="00440DEE">
        <w:t xml:space="preserve"> was shown to induce resistance against the hemibiotrophic </w:t>
      </w:r>
      <w:r w:rsidR="002C5A64">
        <w:t xml:space="preserve">bacterial </w:t>
      </w:r>
      <w:r w:rsidR="005766A5" w:rsidRPr="00440DEE">
        <w:t xml:space="preserve">pathogen </w:t>
      </w:r>
      <w:r>
        <w:rPr>
          <w:i/>
        </w:rPr>
        <w:t>Psm</w:t>
      </w:r>
      <w:r w:rsidR="005766A5" w:rsidRPr="00440DEE">
        <w:t xml:space="preserve"> (Návarová </w:t>
      </w:r>
      <w:r w:rsidR="005766A5" w:rsidRPr="00440DEE">
        <w:rPr>
          <w:i/>
        </w:rPr>
        <w:t>et al</w:t>
      </w:r>
      <w:r>
        <w:t>., 2012) and</w:t>
      </w:r>
      <w:r w:rsidR="003250EC">
        <w:t>,</w:t>
      </w:r>
      <w:r>
        <w:t xml:space="preserve"> a</w:t>
      </w:r>
      <w:r w:rsidR="005766A5" w:rsidRPr="00440DEE">
        <w:t xml:space="preserve">s it also accumulated after infection with the biotrophic </w:t>
      </w:r>
      <w:r w:rsidR="002C5A64">
        <w:t xml:space="preserve">downy mildew </w:t>
      </w:r>
      <w:r w:rsidR="005766A5" w:rsidRPr="00440DEE">
        <w:t xml:space="preserve">pathogen </w:t>
      </w:r>
      <w:r>
        <w:rPr>
          <w:i/>
        </w:rPr>
        <w:t>Hpa</w:t>
      </w:r>
      <w:r w:rsidR="005766A5" w:rsidRPr="00440DEE">
        <w:t>, the next logical step was to test Pip-</w:t>
      </w:r>
      <w:r w:rsidR="00831A77">
        <w:t>IR</w:t>
      </w:r>
      <w:r w:rsidR="005766A5" w:rsidRPr="00440DEE">
        <w:t xml:space="preserve"> against </w:t>
      </w:r>
      <w:r w:rsidR="005766A5">
        <w:t>a virulent (Figure 39; Figure 40; Figure 41) and</w:t>
      </w:r>
      <w:r w:rsidR="000A12E4">
        <w:t xml:space="preserve"> an</w:t>
      </w:r>
      <w:r w:rsidR="005766A5">
        <w:t xml:space="preserve"> avirulent isolate of this oomycete (Figure 44; Figure 45</w:t>
      </w:r>
      <w:r w:rsidR="005766A5" w:rsidRPr="00440DEE">
        <w:t xml:space="preserve">). Analysis of </w:t>
      </w:r>
      <w:r>
        <w:t>TB</w:t>
      </w:r>
      <w:r w:rsidR="005766A5" w:rsidRPr="00440DEE">
        <w:t xml:space="preserve">-stained leaves showed strong growth of </w:t>
      </w:r>
      <w:r>
        <w:rPr>
          <w:i/>
        </w:rPr>
        <w:t>Hpa</w:t>
      </w:r>
      <w:r w:rsidR="005766A5" w:rsidRPr="00440DEE">
        <w:t xml:space="preserve"> Noco2 on water treated </w:t>
      </w:r>
      <w:r w:rsidR="002C5A64">
        <w:t xml:space="preserve">Col-0 </w:t>
      </w:r>
      <w:r w:rsidR="005766A5" w:rsidRPr="00440DEE">
        <w:t>plants, with pervasion o</w:t>
      </w:r>
      <w:r w:rsidR="005766A5">
        <w:t>f leaves by hyphae and conidiophores as well as sexual oospores</w:t>
      </w:r>
      <w:r w:rsidR="005766A5" w:rsidRPr="00440DEE">
        <w:t xml:space="preserve"> covering the</w:t>
      </w:r>
      <w:r w:rsidR="000A12E4">
        <w:t xml:space="preserve"> leaf surface (Figure 40</w:t>
      </w:r>
      <w:r w:rsidR="005766A5" w:rsidRPr="00440DEE">
        <w:t xml:space="preserve">). </w:t>
      </w:r>
      <w:r>
        <w:t>Mutant</w:t>
      </w:r>
      <w:r w:rsidR="0064621A">
        <w:t xml:space="preserve"> lines</w:t>
      </w:r>
      <w:r>
        <w:t xml:space="preserve"> for</w:t>
      </w:r>
      <w:r w:rsidR="0064621A">
        <w:t xml:space="preserve"> </w:t>
      </w:r>
      <w:r w:rsidR="0064621A" w:rsidRPr="00EB1434">
        <w:rPr>
          <w:i/>
        </w:rPr>
        <w:t>ald1, fmo1</w:t>
      </w:r>
      <w:r>
        <w:t>,</w:t>
      </w:r>
      <w:r w:rsidR="0064621A">
        <w:t xml:space="preserve"> </w:t>
      </w:r>
      <w:r w:rsidR="0064621A" w:rsidRPr="00EB1434">
        <w:rPr>
          <w:i/>
        </w:rPr>
        <w:t>sid2</w:t>
      </w:r>
      <w:r>
        <w:rPr>
          <w:i/>
        </w:rPr>
        <w:t>,</w:t>
      </w:r>
      <w:r w:rsidR="0064621A">
        <w:t xml:space="preserve"> </w:t>
      </w:r>
      <w:r w:rsidRPr="00EB1434">
        <w:rPr>
          <w:i/>
        </w:rPr>
        <w:t>sid2 ald1</w:t>
      </w:r>
      <w:r>
        <w:rPr>
          <w:i/>
        </w:rPr>
        <w:t xml:space="preserve">, </w:t>
      </w:r>
      <w:r w:rsidRPr="00EB1434">
        <w:rPr>
          <w:i/>
        </w:rPr>
        <w:t>eds5</w:t>
      </w:r>
      <w:r>
        <w:rPr>
          <w:i/>
        </w:rPr>
        <w:t>,</w:t>
      </w:r>
      <w:r w:rsidRPr="00A601E3">
        <w:rPr>
          <w:i/>
        </w:rPr>
        <w:t xml:space="preserve"> </w:t>
      </w:r>
      <w:r w:rsidRPr="00EB1434">
        <w:rPr>
          <w:i/>
        </w:rPr>
        <w:t>ics1 ics2</w:t>
      </w:r>
      <w:r>
        <w:rPr>
          <w:i/>
        </w:rPr>
        <w:t xml:space="preserve">, </w:t>
      </w:r>
      <w:r w:rsidRPr="00A601E3">
        <w:t>and</w:t>
      </w:r>
      <w:r w:rsidRPr="00A601E3">
        <w:rPr>
          <w:i/>
        </w:rPr>
        <w:t xml:space="preserve"> </w:t>
      </w:r>
      <w:r w:rsidRPr="00EB1434">
        <w:rPr>
          <w:i/>
        </w:rPr>
        <w:t>npr1</w:t>
      </w:r>
      <w:r>
        <w:t xml:space="preserve"> were even </w:t>
      </w:r>
      <w:r w:rsidR="0064621A">
        <w:t xml:space="preserve">more susceptible to </w:t>
      </w:r>
      <w:r>
        <w:rPr>
          <w:i/>
        </w:rPr>
        <w:t>Hpa</w:t>
      </w:r>
      <w:r w:rsidR="0064621A">
        <w:t xml:space="preserve"> Noco2, with major leaf area</w:t>
      </w:r>
      <w:r>
        <w:t>s</w:t>
      </w:r>
      <w:r w:rsidR="0064621A">
        <w:t xml:space="preserve"> covered in conidiophores and presence of sexual oospores on leaves (Figure 40). </w:t>
      </w:r>
      <w:r w:rsidR="00EB1434">
        <w:t xml:space="preserve">In Col-0, </w:t>
      </w:r>
      <w:r>
        <w:t>Pip-</w:t>
      </w:r>
      <w:r w:rsidR="00EB1434">
        <w:t>treatment</w:t>
      </w:r>
      <w:r w:rsidR="005766A5" w:rsidRPr="00440DEE">
        <w:t xml:space="preserve"> greatly reduced disease symptoms, a large number of analysed leaves showed nei</w:t>
      </w:r>
      <w:r w:rsidR="005766A5">
        <w:t>ther hyphal growth nor conidiophores present on</w:t>
      </w:r>
      <w:r w:rsidR="005766A5" w:rsidRPr="00440DEE">
        <w:t xml:space="preserve"> the leaf surface, but clusters of cells that </w:t>
      </w:r>
      <w:r w:rsidR="005766A5">
        <w:t xml:space="preserve">had </w:t>
      </w:r>
      <w:r w:rsidR="005766A5" w:rsidRPr="00440DEE">
        <w:t xml:space="preserve">undergone HR-induced cell death, the most effective defence against this biotrophic pathogen (Birch </w:t>
      </w:r>
      <w:r w:rsidR="005766A5" w:rsidRPr="00440DEE">
        <w:rPr>
          <w:i/>
        </w:rPr>
        <w:t>et al</w:t>
      </w:r>
      <w:r w:rsidR="005766A5" w:rsidRPr="00440DEE">
        <w:t>., 2006). This strong re</w:t>
      </w:r>
      <w:r w:rsidR="000A12E4">
        <w:t>duction of oomycete growth was not</w:t>
      </w:r>
      <w:r w:rsidR="005766A5" w:rsidRPr="00440DEE">
        <w:t xml:space="preserve"> observed for mutant lines, which all showed hyphal growth and </w:t>
      </w:r>
      <w:r w:rsidR="005766A5">
        <w:t>conidiophores</w:t>
      </w:r>
      <w:r w:rsidR="005766A5" w:rsidRPr="00440DEE">
        <w:t xml:space="preserve"> on the leaf surface to some extent. </w:t>
      </w:r>
      <w:r w:rsidR="000A12E4" w:rsidRPr="00440DEE">
        <w:t>Quantification of conidiospores at 7 dpi showed</w:t>
      </w:r>
      <w:r w:rsidR="00EB1434">
        <w:t xml:space="preserve"> with significantly higher spore numbers enhanced </w:t>
      </w:r>
      <w:r w:rsidR="000A12E4" w:rsidRPr="00440DEE">
        <w:t>susceptibility to</w:t>
      </w:r>
      <w:r w:rsidR="00831A77">
        <w:t>wards</w:t>
      </w:r>
      <w:r w:rsidR="000A12E4" w:rsidRPr="00440DEE">
        <w:t xml:space="preserve"> </w:t>
      </w:r>
      <w:r>
        <w:rPr>
          <w:i/>
        </w:rPr>
        <w:t>Hpa</w:t>
      </w:r>
      <w:r w:rsidR="000A12E4" w:rsidRPr="00440DEE">
        <w:t xml:space="preserve"> Noco2 </w:t>
      </w:r>
      <w:r w:rsidR="00831A77">
        <w:t>in</w:t>
      </w:r>
      <w:r w:rsidR="000A12E4" w:rsidRPr="00440DEE">
        <w:t xml:space="preserve"> </w:t>
      </w:r>
      <w:r w:rsidR="00F738EE" w:rsidRPr="00F738EE">
        <w:t>the analysed mutant lines</w:t>
      </w:r>
      <w:r w:rsidR="000A12E4">
        <w:t xml:space="preserve"> </w:t>
      </w:r>
      <w:r w:rsidR="00831A77">
        <w:t>compared to</w:t>
      </w:r>
      <w:r w:rsidR="000A12E4">
        <w:t xml:space="preserve"> Col-0 (Figure 41</w:t>
      </w:r>
      <w:r w:rsidR="000A12E4" w:rsidRPr="00440DEE">
        <w:t xml:space="preserve">). Treating plants with </w:t>
      </w:r>
      <w:r>
        <w:t>Pip</w:t>
      </w:r>
      <w:r w:rsidR="000A12E4" w:rsidRPr="00440DEE">
        <w:t xml:space="preserve"> 1 day prior</w:t>
      </w:r>
      <w:r w:rsidR="000A12E4">
        <w:t xml:space="preserve"> to</w:t>
      </w:r>
      <w:r w:rsidR="000A12E4" w:rsidRPr="00440DEE">
        <w:t xml:space="preserve"> infection </w:t>
      </w:r>
      <w:r w:rsidR="00F738EE">
        <w:t>protected Col-0 effectively against this oomycete. To a lesser degree the Pip-deficient</w:t>
      </w:r>
      <w:r w:rsidR="000A12E4" w:rsidRPr="00440DEE">
        <w:t xml:space="preserve"> </w:t>
      </w:r>
      <w:r w:rsidR="000A12E4" w:rsidRPr="00440DEE">
        <w:rPr>
          <w:i/>
        </w:rPr>
        <w:t>ald1</w:t>
      </w:r>
      <w:r w:rsidR="00EB1434">
        <w:rPr>
          <w:i/>
        </w:rPr>
        <w:t xml:space="preserve"> </w:t>
      </w:r>
      <w:r w:rsidR="00EB1434" w:rsidRPr="00EB1434">
        <w:t>and</w:t>
      </w:r>
      <w:r w:rsidR="00F738EE">
        <w:t xml:space="preserve"> the SA-deficient</w:t>
      </w:r>
      <w:r w:rsidR="00EB1434">
        <w:rPr>
          <w:i/>
        </w:rPr>
        <w:t xml:space="preserve"> ics1 ics2</w:t>
      </w:r>
      <w:r w:rsidR="00F738EE">
        <w:rPr>
          <w:i/>
        </w:rPr>
        <w:t xml:space="preserve"> </w:t>
      </w:r>
      <w:r w:rsidR="00F738EE">
        <w:t xml:space="preserve">also showed enhanced resistance against </w:t>
      </w:r>
      <w:r>
        <w:rPr>
          <w:i/>
        </w:rPr>
        <w:t>Hpa</w:t>
      </w:r>
      <w:r w:rsidR="00F738EE">
        <w:t xml:space="preserve"> after Pip-treatment</w:t>
      </w:r>
      <w:r w:rsidR="00EB1434">
        <w:t>.</w:t>
      </w:r>
      <w:r w:rsidR="00EB1434">
        <w:rPr>
          <w:i/>
        </w:rPr>
        <w:t xml:space="preserve"> </w:t>
      </w:r>
      <w:r w:rsidR="00EB1434">
        <w:t>I</w:t>
      </w:r>
      <w:r w:rsidR="000A12E4" w:rsidRPr="00440DEE">
        <w:t xml:space="preserve">n </w:t>
      </w:r>
      <w:r w:rsidR="00691F87">
        <w:rPr>
          <w:i/>
        </w:rPr>
        <w:t>fmo1, sid2, sid2 ald1,</w:t>
      </w:r>
      <w:r w:rsidR="00F738EE">
        <w:rPr>
          <w:i/>
        </w:rPr>
        <w:t xml:space="preserve"> eds5</w:t>
      </w:r>
      <w:r w:rsidR="003250EC">
        <w:rPr>
          <w:i/>
        </w:rPr>
        <w:t>,</w:t>
      </w:r>
      <w:r w:rsidR="00691F87">
        <w:rPr>
          <w:i/>
        </w:rPr>
        <w:t xml:space="preserve"> </w:t>
      </w:r>
      <w:r w:rsidR="000A12E4" w:rsidRPr="00440DEE">
        <w:t xml:space="preserve">and </w:t>
      </w:r>
      <w:r w:rsidR="000A12E4" w:rsidRPr="00440DEE">
        <w:rPr>
          <w:i/>
        </w:rPr>
        <w:t>npr1</w:t>
      </w:r>
      <w:r w:rsidR="00691F87">
        <w:rPr>
          <w:i/>
        </w:rPr>
        <w:t xml:space="preserve"> </w:t>
      </w:r>
      <w:r w:rsidR="001159EE">
        <w:t xml:space="preserve">only a weak or no significant defence induction conferred by </w:t>
      </w:r>
      <w:r>
        <w:t>Pip</w:t>
      </w:r>
      <w:r w:rsidR="001159EE">
        <w:t xml:space="preserve"> was observed.</w:t>
      </w:r>
      <w:r w:rsidR="00691F87">
        <w:t xml:space="preserve"> </w:t>
      </w:r>
      <w:r w:rsidR="00CB0C43">
        <w:t xml:space="preserve">As the mutant lines for </w:t>
      </w:r>
      <w:r w:rsidR="00CB0C43" w:rsidRPr="002A4812">
        <w:rPr>
          <w:i/>
        </w:rPr>
        <w:t>eds5, npr1</w:t>
      </w:r>
      <w:r w:rsidR="00CB0C43">
        <w:t xml:space="preserve">, and </w:t>
      </w:r>
      <w:r w:rsidR="00CB0C43" w:rsidRPr="002A4812">
        <w:rPr>
          <w:i/>
        </w:rPr>
        <w:t>ics1 ics2</w:t>
      </w:r>
      <w:r w:rsidR="00CB0C43">
        <w:t xml:space="preserve"> were only used once in this kind of experiment so far, and </w:t>
      </w:r>
      <w:r>
        <w:t>because of the</w:t>
      </w:r>
      <w:r w:rsidR="00CB0C43">
        <w:t xml:space="preserve"> quite large standard deviations observed in this study, this experiment will have to be repeated to </w:t>
      </w:r>
      <w:r>
        <w:t>properly interpret the results</w:t>
      </w:r>
      <w:r w:rsidR="00CB0C43">
        <w:t>. For now the conclusion can be drawn</w:t>
      </w:r>
      <w:r w:rsidR="000A12E4" w:rsidRPr="00440DEE">
        <w:t xml:space="preserve"> that resistance against </w:t>
      </w:r>
      <w:r>
        <w:rPr>
          <w:i/>
        </w:rPr>
        <w:t>Hpa</w:t>
      </w:r>
      <w:r w:rsidR="000A12E4" w:rsidRPr="00440DEE">
        <w:t xml:space="preserve"> is </w:t>
      </w:r>
      <w:r w:rsidR="000A12E4" w:rsidRPr="00440DEE">
        <w:lastRenderedPageBreak/>
        <w:t>stron</w:t>
      </w:r>
      <w:r>
        <w:t>gly dependent on SA-accumulation</w:t>
      </w:r>
      <w:r w:rsidR="000A12E4" w:rsidRPr="00440DEE">
        <w:t xml:space="preserve">, but seems to have a SA-independent component as well, as Pip was shown to slightly reduce spore numbers in </w:t>
      </w:r>
      <w:r w:rsidR="00831A77">
        <w:rPr>
          <w:i/>
        </w:rPr>
        <w:t>ics1 ics2</w:t>
      </w:r>
      <w:r w:rsidR="000A12E4" w:rsidRPr="00440DEE">
        <w:t>. However, the full Pip-induced defence response seems to</w:t>
      </w:r>
      <w:r w:rsidR="003250EC">
        <w:t xml:space="preserve"> require both SA-dependent and -</w:t>
      </w:r>
      <w:r w:rsidR="000A12E4" w:rsidRPr="00440DEE">
        <w:t xml:space="preserve">independent processes, </w:t>
      </w:r>
      <w:r w:rsidR="00831A77">
        <w:t>as well as amplification of Pip-</w:t>
      </w:r>
      <w:r w:rsidR="000A12E4" w:rsidRPr="00440DEE">
        <w:t xml:space="preserve">production, as </w:t>
      </w:r>
      <w:r w:rsidR="002A4812">
        <w:t xml:space="preserve">Pip-treated </w:t>
      </w:r>
      <w:r w:rsidR="000A12E4" w:rsidRPr="00440DEE">
        <w:rPr>
          <w:i/>
        </w:rPr>
        <w:t>ald1</w:t>
      </w:r>
      <w:r w:rsidR="000A12E4" w:rsidRPr="00440DEE">
        <w:t xml:space="preserve"> </w:t>
      </w:r>
      <w:r w:rsidR="002A4812">
        <w:t xml:space="preserve">plants </w:t>
      </w:r>
      <w:r w:rsidR="000A12E4" w:rsidRPr="00440DEE">
        <w:t>did not sh</w:t>
      </w:r>
      <w:r w:rsidR="000A12E4">
        <w:t>ow a full resistance response.</w:t>
      </w:r>
      <w:r w:rsidR="000A12E4" w:rsidRPr="000A12E4">
        <w:t xml:space="preserve"> </w:t>
      </w:r>
    </w:p>
    <w:p w:rsidR="00B904A3" w:rsidRDefault="000A12E4" w:rsidP="00A601E3">
      <w:pPr>
        <w:spacing w:after="0" w:line="360" w:lineRule="auto"/>
        <w:ind w:firstLine="708"/>
        <w:jc w:val="both"/>
      </w:pPr>
      <w:r w:rsidRPr="00440DEE">
        <w:t xml:space="preserve">In addition to the virulent </w:t>
      </w:r>
      <w:r w:rsidR="001B290E">
        <w:rPr>
          <w:i/>
        </w:rPr>
        <w:t>Hpa</w:t>
      </w:r>
      <w:r w:rsidRPr="00440DEE">
        <w:t xml:space="preserve"> Noco2, Pip-induced resistance was also tested with the avirulent </w:t>
      </w:r>
      <w:r>
        <w:t>isolate</w:t>
      </w:r>
      <w:r w:rsidRPr="00440DEE">
        <w:t xml:space="preserve"> Cala2 (</w:t>
      </w:r>
      <w:r>
        <w:t xml:space="preserve">Figure 44; </w:t>
      </w:r>
      <w:r w:rsidRPr="00440DEE">
        <w:t xml:space="preserve">Figure </w:t>
      </w:r>
      <w:r>
        <w:t>45</w:t>
      </w:r>
      <w:r w:rsidRPr="00440DEE">
        <w:t xml:space="preserve">). </w:t>
      </w:r>
      <w:r w:rsidR="005766A5" w:rsidRPr="00440DEE">
        <w:t>In</w:t>
      </w:r>
      <w:r w:rsidR="000C243C" w:rsidRPr="000C243C">
        <w:t xml:space="preserve"> </w:t>
      </w:r>
      <w:r w:rsidR="000C243C" w:rsidRPr="00440DEE">
        <w:t>water- and Pip-treated plants</w:t>
      </w:r>
      <w:r w:rsidR="000C243C">
        <w:t xml:space="preserve"> of</w:t>
      </w:r>
      <w:r w:rsidR="005766A5" w:rsidRPr="00440DEE">
        <w:t xml:space="preserve"> Col-0, </w:t>
      </w:r>
      <w:r w:rsidR="005766A5" w:rsidRPr="00440DEE">
        <w:rPr>
          <w:i/>
        </w:rPr>
        <w:t>ald1</w:t>
      </w:r>
      <w:r w:rsidR="005766A5" w:rsidRPr="00440DEE">
        <w:t xml:space="preserve">, and </w:t>
      </w:r>
      <w:r w:rsidR="005766A5" w:rsidRPr="00440DEE">
        <w:rPr>
          <w:i/>
        </w:rPr>
        <w:t>eds5</w:t>
      </w:r>
      <w:r>
        <w:t>,</w:t>
      </w:r>
      <w:r w:rsidR="005766A5" w:rsidRPr="00440DEE">
        <w:t xml:space="preserve"> inoculation with </w:t>
      </w:r>
      <w:r w:rsidR="001B290E">
        <w:rPr>
          <w:i/>
        </w:rPr>
        <w:t>Hpa</w:t>
      </w:r>
      <w:r w:rsidR="005766A5" w:rsidRPr="00440DEE">
        <w:t xml:space="preserve"> Cala2 lead to the formation of HR-induced cell death, </w:t>
      </w:r>
      <w:r w:rsidR="001B290E">
        <w:t>preventing</w:t>
      </w:r>
      <w:r w:rsidR="005766A5" w:rsidRPr="00440DEE">
        <w:t xml:space="preserve"> </w:t>
      </w:r>
      <w:r w:rsidR="001B290E">
        <w:t>oomycete</w:t>
      </w:r>
      <w:r w:rsidR="005766A5" w:rsidRPr="00440DEE">
        <w:t xml:space="preserve"> grow</w:t>
      </w:r>
      <w:r w:rsidR="001B290E">
        <w:t>th and proliferation</w:t>
      </w:r>
      <w:r w:rsidR="005766A5" w:rsidRPr="00440DEE">
        <w:t xml:space="preserve"> on the plant surface. In </w:t>
      </w:r>
      <w:r w:rsidR="005766A5" w:rsidRPr="00440DEE">
        <w:rPr>
          <w:i/>
        </w:rPr>
        <w:t>fmo1</w:t>
      </w:r>
      <w:r w:rsidR="001B290E">
        <w:rPr>
          <w:i/>
        </w:rPr>
        <w:t>,</w:t>
      </w:r>
      <w:r w:rsidR="005766A5" w:rsidRPr="00440DEE">
        <w:t xml:space="preserve"> </w:t>
      </w:r>
      <w:r w:rsidR="005766A5" w:rsidRPr="00440DEE">
        <w:rPr>
          <w:i/>
        </w:rPr>
        <w:t>sid2</w:t>
      </w:r>
      <w:r w:rsidR="001B290E">
        <w:rPr>
          <w:i/>
        </w:rPr>
        <w:t>,</w:t>
      </w:r>
      <w:r w:rsidR="005766A5" w:rsidRPr="00440DEE">
        <w:t xml:space="preserve"> and </w:t>
      </w:r>
      <w:r w:rsidR="005766A5" w:rsidRPr="00440DEE">
        <w:rPr>
          <w:i/>
        </w:rPr>
        <w:t>sid2 ald1</w:t>
      </w:r>
      <w:r w:rsidR="005766A5" w:rsidRPr="00440DEE">
        <w:t xml:space="preserve"> plants exhibited </w:t>
      </w:r>
      <w:r w:rsidR="001B290E">
        <w:t>different degrees of</w:t>
      </w:r>
      <w:r w:rsidR="005766A5" w:rsidRPr="00440DEE">
        <w:t xml:space="preserve"> susceptibility towards </w:t>
      </w:r>
      <w:r w:rsidR="001B290E">
        <w:rPr>
          <w:i/>
        </w:rPr>
        <w:t>Hpa</w:t>
      </w:r>
      <w:r w:rsidR="005766A5" w:rsidRPr="00440DEE">
        <w:t xml:space="preserve"> Cala2, </w:t>
      </w:r>
      <w:r w:rsidR="001B290E">
        <w:t>and</w:t>
      </w:r>
      <w:r>
        <w:t xml:space="preserve"> disease symptoms </w:t>
      </w:r>
      <w:r w:rsidR="001B290E">
        <w:t xml:space="preserve">were not significantly reduced </w:t>
      </w:r>
      <w:r w:rsidR="005766A5" w:rsidRPr="00440DEE">
        <w:t xml:space="preserve">by </w:t>
      </w:r>
      <w:r w:rsidR="001B290E">
        <w:t xml:space="preserve">Pip-treatment, except in </w:t>
      </w:r>
      <w:r w:rsidR="001B290E" w:rsidRPr="001B290E">
        <w:rPr>
          <w:i/>
        </w:rPr>
        <w:t>sid2 ald1</w:t>
      </w:r>
      <w:r w:rsidR="005766A5" w:rsidRPr="00440DEE">
        <w:t xml:space="preserve">. It was shown before that </w:t>
      </w:r>
      <w:r w:rsidR="005766A5" w:rsidRPr="00440DEE">
        <w:rPr>
          <w:i/>
        </w:rPr>
        <w:t>sid2</w:t>
      </w:r>
      <w:r w:rsidR="005766A5" w:rsidRPr="00440DEE">
        <w:t xml:space="preserve"> is more susceptible to avirulent </w:t>
      </w:r>
      <w:r w:rsidR="001B290E">
        <w:rPr>
          <w:i/>
        </w:rPr>
        <w:t>Hpa</w:t>
      </w:r>
      <w:r w:rsidR="005766A5" w:rsidRPr="00440DEE">
        <w:t xml:space="preserve"> strains (Nawrath and Métraux, 1999; Bartsch </w:t>
      </w:r>
      <w:r w:rsidR="005766A5" w:rsidRPr="00440DEE">
        <w:rPr>
          <w:i/>
        </w:rPr>
        <w:t>et al.,</w:t>
      </w:r>
      <w:r w:rsidR="005766A5" w:rsidRPr="00440DEE">
        <w:t xml:space="preserve"> 2006), but it was surprising to see </w:t>
      </w:r>
      <w:r w:rsidR="00C10E81">
        <w:t xml:space="preserve">a </w:t>
      </w:r>
      <w:r w:rsidR="005766A5" w:rsidRPr="00440DEE">
        <w:t>strong</w:t>
      </w:r>
      <w:r w:rsidR="00C10E81">
        <w:t>er</w:t>
      </w:r>
      <w:r w:rsidR="005766A5" w:rsidRPr="00440DEE">
        <w:t xml:space="preserve"> resistance against </w:t>
      </w:r>
      <w:r w:rsidR="001B290E">
        <w:rPr>
          <w:i/>
        </w:rPr>
        <w:t>Hpa</w:t>
      </w:r>
      <w:r w:rsidR="005766A5" w:rsidRPr="00440DEE">
        <w:t xml:space="preserve"> Cala2 in </w:t>
      </w:r>
      <w:r w:rsidR="005766A5" w:rsidRPr="00440DEE">
        <w:rPr>
          <w:i/>
        </w:rPr>
        <w:t>fmo1</w:t>
      </w:r>
      <w:r w:rsidR="00C10E81">
        <w:rPr>
          <w:i/>
        </w:rPr>
        <w:t xml:space="preserve"> </w:t>
      </w:r>
      <w:r w:rsidR="00C10E81">
        <w:t xml:space="preserve">than in </w:t>
      </w:r>
      <w:r w:rsidR="00C10E81" w:rsidRPr="00C10E81">
        <w:rPr>
          <w:i/>
        </w:rPr>
        <w:t>sid2</w:t>
      </w:r>
      <w:r w:rsidR="001B290E">
        <w:t>, as the</w:t>
      </w:r>
      <w:r w:rsidR="005766A5" w:rsidRPr="00440DEE">
        <w:t xml:space="preserve"> mutation </w:t>
      </w:r>
      <w:r w:rsidR="001B290E">
        <w:t xml:space="preserve">in </w:t>
      </w:r>
      <w:r w:rsidR="001B290E" w:rsidRPr="001B290E">
        <w:rPr>
          <w:i/>
        </w:rPr>
        <w:t>FMO1</w:t>
      </w:r>
      <w:r w:rsidR="001B290E">
        <w:t xml:space="preserve"> </w:t>
      </w:r>
      <w:r w:rsidR="005766A5" w:rsidRPr="00440DEE">
        <w:t>was described as partially di</w:t>
      </w:r>
      <w:r>
        <w:t xml:space="preserve">sabling </w:t>
      </w:r>
      <w:r w:rsidRPr="002A4812">
        <w:rPr>
          <w:i/>
        </w:rPr>
        <w:t>RPP2</w:t>
      </w:r>
      <w:r w:rsidR="002A4812">
        <w:t>-mediated</w:t>
      </w:r>
      <w:r>
        <w:t xml:space="preserve"> resistance towards this isolate,</w:t>
      </w:r>
      <w:r w:rsidR="005766A5" w:rsidRPr="00440DEE">
        <w:t xml:space="preserve"> making </w:t>
      </w:r>
      <w:r w:rsidR="005766A5" w:rsidRPr="00440DEE">
        <w:rPr>
          <w:i/>
        </w:rPr>
        <w:t>fmo1</w:t>
      </w:r>
      <w:r w:rsidR="00B904A3">
        <w:t xml:space="preserve"> plants more susceptible</w:t>
      </w:r>
      <w:r w:rsidR="005766A5" w:rsidRPr="00440DEE">
        <w:t xml:space="preserve"> than </w:t>
      </w:r>
      <w:r w:rsidR="005766A5" w:rsidRPr="00440DEE">
        <w:rPr>
          <w:i/>
        </w:rPr>
        <w:t>sid2</w:t>
      </w:r>
      <w:r w:rsidR="005766A5" w:rsidRPr="00440DEE">
        <w:t xml:space="preserve"> (Bartsch </w:t>
      </w:r>
      <w:r w:rsidR="005766A5" w:rsidRPr="00440DEE">
        <w:rPr>
          <w:i/>
        </w:rPr>
        <w:t>et al</w:t>
      </w:r>
      <w:r w:rsidR="005766A5" w:rsidRPr="00440DEE">
        <w:t xml:space="preserve">., 2006). A decrease of resistance against </w:t>
      </w:r>
      <w:r w:rsidR="001B290E">
        <w:rPr>
          <w:i/>
        </w:rPr>
        <w:t>Hpa</w:t>
      </w:r>
      <w:r w:rsidR="005766A5" w:rsidRPr="00440DEE">
        <w:t xml:space="preserve"> Cala2 was observed in Pip-treated </w:t>
      </w:r>
      <w:r w:rsidR="005766A5" w:rsidRPr="00B904A3">
        <w:rPr>
          <w:i/>
        </w:rPr>
        <w:t>ics1 ics2</w:t>
      </w:r>
      <w:r w:rsidR="005766A5" w:rsidRPr="00440DEE">
        <w:t xml:space="preserve"> and </w:t>
      </w:r>
      <w:r w:rsidR="005766A5" w:rsidRPr="00B904A3">
        <w:rPr>
          <w:i/>
        </w:rPr>
        <w:t>npr1</w:t>
      </w:r>
      <w:r w:rsidR="005766A5" w:rsidRPr="00440DEE">
        <w:t xml:space="preserve"> plants, which showed a few spots of HR-induced cell death on water-treated leaves and hyphal grow</w:t>
      </w:r>
      <w:r w:rsidR="002A4812">
        <w:t>th</w:t>
      </w:r>
      <w:r w:rsidR="005766A5" w:rsidRPr="00440DEE">
        <w:t xml:space="preserve"> followed by trailing necrosis in Pip-treated leaves. As those mutants were used in only one experiment with </w:t>
      </w:r>
      <w:r w:rsidR="001B290E">
        <w:rPr>
          <w:i/>
        </w:rPr>
        <w:t>Hpa</w:t>
      </w:r>
      <w:r w:rsidR="005766A5" w:rsidRPr="00440DEE">
        <w:t xml:space="preserve"> Cala2 so far, this result will have to be r</w:t>
      </w:r>
      <w:r w:rsidR="005766A5">
        <w:t xml:space="preserve">etested in future experiments. </w:t>
      </w:r>
      <w:r w:rsidR="00F63DD7">
        <w:t>Future work should a</w:t>
      </w:r>
      <w:r w:rsidR="000C243C">
        <w:t>lso include repetitions of the</w:t>
      </w:r>
      <w:r w:rsidR="00F63DD7">
        <w:t xml:space="preserve"> experiments presented in this work to verify</w:t>
      </w:r>
      <w:r w:rsidR="00C10E81">
        <w:t xml:space="preserve"> </w:t>
      </w:r>
      <w:r w:rsidR="00F63DD7">
        <w:t xml:space="preserve">the data obtained and </w:t>
      </w:r>
      <w:r w:rsidR="00C10E81">
        <w:t>enable a deeper unders</w:t>
      </w:r>
      <w:r w:rsidR="00F63DD7">
        <w:t xml:space="preserve">tanding of the roles for </w:t>
      </w:r>
      <w:r w:rsidR="001B290E">
        <w:t>SA, Pip</w:t>
      </w:r>
      <w:r w:rsidR="00F63DD7">
        <w:t>,</w:t>
      </w:r>
      <w:r w:rsidR="00C10E81">
        <w:t xml:space="preserve"> and the interplay between both in plant defence against this specialised biotroph. Additionall</w:t>
      </w:r>
      <w:r w:rsidR="00F63DD7">
        <w:t>y to analysis of disease symptom</w:t>
      </w:r>
      <w:r w:rsidR="00C10E81">
        <w:t>s</w:t>
      </w:r>
      <w:r w:rsidR="00C10E81" w:rsidRPr="00C10E81">
        <w:t xml:space="preserve">, analysis of gene expression upon infection with virulent and avirulent </w:t>
      </w:r>
      <w:r w:rsidR="001B290E">
        <w:rPr>
          <w:i/>
        </w:rPr>
        <w:t>Hpa</w:t>
      </w:r>
      <w:r w:rsidR="00C10E81" w:rsidRPr="00C10E81">
        <w:rPr>
          <w:i/>
        </w:rPr>
        <w:t xml:space="preserve"> </w:t>
      </w:r>
      <w:r w:rsidR="00C10E81" w:rsidRPr="00C10E81">
        <w:t xml:space="preserve">isolates will have to be tested to get a better insight into the interaction between </w:t>
      </w:r>
      <w:r w:rsidR="00C10E81" w:rsidRPr="00C10E81">
        <w:rPr>
          <w:i/>
        </w:rPr>
        <w:t>A</w:t>
      </w:r>
      <w:r w:rsidR="001B290E">
        <w:rPr>
          <w:i/>
        </w:rPr>
        <w:t>.</w:t>
      </w:r>
      <w:r w:rsidR="00C10E81" w:rsidRPr="00C10E81">
        <w:rPr>
          <w:i/>
        </w:rPr>
        <w:t xml:space="preserve"> thaliana</w:t>
      </w:r>
      <w:r w:rsidR="00C10E81" w:rsidRPr="00C10E81">
        <w:t xml:space="preserve"> </w:t>
      </w:r>
      <w:r w:rsidR="001B290E">
        <w:t>and this oomycete and how the</w:t>
      </w:r>
      <w:r w:rsidR="00C10E81" w:rsidRPr="00C10E81">
        <w:t xml:space="preserve"> large-scale manipulation of plant metabolism by the pathogen is executed.</w:t>
      </w:r>
      <w:r w:rsidR="00C10E81">
        <w:t xml:space="preserve"> Furthermore, u</w:t>
      </w:r>
      <w:r w:rsidR="00C10E81" w:rsidRPr="00C10E81">
        <w:t xml:space="preserve">sing a GUS-reporter line it was shown for the interaction between </w:t>
      </w:r>
      <w:r w:rsidR="00C10E81" w:rsidRPr="00C10E81">
        <w:rPr>
          <w:i/>
        </w:rPr>
        <w:t>A</w:t>
      </w:r>
      <w:r w:rsidR="001B290E">
        <w:rPr>
          <w:i/>
        </w:rPr>
        <w:t>.</w:t>
      </w:r>
      <w:r w:rsidR="00C10E81" w:rsidRPr="00C10E81">
        <w:rPr>
          <w:i/>
        </w:rPr>
        <w:t xml:space="preserve"> thaliana</w:t>
      </w:r>
      <w:r w:rsidR="00C10E81" w:rsidRPr="00C10E81">
        <w:t xml:space="preserve"> and the </w:t>
      </w:r>
      <w:r w:rsidR="001B290E">
        <w:rPr>
          <w:i/>
        </w:rPr>
        <w:t>Hpa</w:t>
      </w:r>
      <w:r w:rsidR="00C10E81" w:rsidRPr="00C10E81">
        <w:t xml:space="preserve"> isolate Waco9 that the oomycete supresses </w:t>
      </w:r>
      <w:r w:rsidR="00C10E81" w:rsidRPr="00C10E81">
        <w:rPr>
          <w:i/>
        </w:rPr>
        <w:t>PR-1</w:t>
      </w:r>
      <w:r w:rsidR="00C10E81" w:rsidRPr="00C10E81">
        <w:t xml:space="preserve"> expression in haustoriated cells, but not in non-invaded cells (Caillaud </w:t>
      </w:r>
      <w:r w:rsidR="00C10E81" w:rsidRPr="00C10E81">
        <w:rPr>
          <w:i/>
        </w:rPr>
        <w:t>et al</w:t>
      </w:r>
      <w:r w:rsidR="000C243C">
        <w:t>., 2013). A similar GUS-</w:t>
      </w:r>
      <w:r w:rsidR="00C10E81" w:rsidRPr="00C10E81">
        <w:t xml:space="preserve">reporter line for </w:t>
      </w:r>
      <w:r w:rsidR="00C10E81" w:rsidRPr="00C10E81">
        <w:rPr>
          <w:i/>
        </w:rPr>
        <w:t>ALD1</w:t>
      </w:r>
      <w:r w:rsidR="00F63DD7">
        <w:t xml:space="preserve"> might</w:t>
      </w:r>
      <w:r w:rsidR="00C10E81" w:rsidRPr="00C10E81">
        <w:t xml:space="preserve"> enable us to to elucidate if </w:t>
      </w:r>
      <w:r w:rsidR="001B290E">
        <w:rPr>
          <w:i/>
        </w:rPr>
        <w:t>Hpa</w:t>
      </w:r>
      <w:r w:rsidR="00C10E81" w:rsidRPr="00C10E81">
        <w:t xml:space="preserve"> manipulates Pip-signalling in a similar</w:t>
      </w:r>
      <w:r w:rsidR="00C10E81">
        <w:t xml:space="preserve"> way compared to SA-signalling.</w:t>
      </w:r>
    </w:p>
    <w:p w:rsidR="00443DBC" w:rsidRDefault="00443DBC" w:rsidP="00443DBC">
      <w:pPr>
        <w:pStyle w:val="berschrift2"/>
        <w:jc w:val="both"/>
        <w:rPr>
          <w:color w:val="auto"/>
        </w:rPr>
        <w:sectPr w:rsidR="00443DBC" w:rsidSect="00B517AA">
          <w:headerReference w:type="default" r:id="rId98"/>
          <w:headerReference w:type="first" r:id="rId99"/>
          <w:type w:val="continuous"/>
          <w:pgSz w:w="11906" w:h="16838"/>
          <w:pgMar w:top="1417" w:right="1417" w:bottom="1134" w:left="1417" w:header="708" w:footer="708" w:gutter="0"/>
          <w:cols w:space="708"/>
          <w:titlePg/>
          <w:docGrid w:linePitch="360"/>
        </w:sectPr>
      </w:pPr>
    </w:p>
    <w:p w:rsidR="00B904A3" w:rsidRPr="00B904A3" w:rsidRDefault="00563EC1" w:rsidP="00B904A3">
      <w:pPr>
        <w:pStyle w:val="berschrift2"/>
        <w:spacing w:after="240"/>
        <w:jc w:val="both"/>
        <w:rPr>
          <w:color w:val="auto"/>
        </w:rPr>
      </w:pPr>
      <w:bookmarkStart w:id="119" w:name="_Toc435621261"/>
      <w:r>
        <w:rPr>
          <w:color w:val="auto"/>
        </w:rPr>
        <w:lastRenderedPageBreak/>
        <w:t xml:space="preserve">7.9 </w:t>
      </w:r>
      <w:r w:rsidR="006C7BF4">
        <w:rPr>
          <w:color w:val="auto"/>
        </w:rPr>
        <w:t>Pip- and SA-depende</w:t>
      </w:r>
      <w:r w:rsidR="00011985">
        <w:rPr>
          <w:color w:val="auto"/>
        </w:rPr>
        <w:t xml:space="preserve">ncy of </w:t>
      </w:r>
      <w:r w:rsidR="00011985">
        <w:rPr>
          <w:i/>
          <w:color w:val="auto"/>
        </w:rPr>
        <w:t>Psm</w:t>
      </w:r>
      <w:r w:rsidR="00011985">
        <w:rPr>
          <w:color w:val="auto"/>
        </w:rPr>
        <w:t>-induced SAR</w:t>
      </w:r>
      <w:r w:rsidR="00B904A3" w:rsidRPr="00B904A3">
        <w:rPr>
          <w:color w:val="auto"/>
        </w:rPr>
        <w:t xml:space="preserve"> against </w:t>
      </w:r>
      <w:r w:rsidR="00011985">
        <w:rPr>
          <w:i/>
          <w:color w:val="auto"/>
        </w:rPr>
        <w:t>Hpa</w:t>
      </w:r>
      <w:r w:rsidR="00B904A3" w:rsidRPr="00B904A3">
        <w:rPr>
          <w:color w:val="auto"/>
        </w:rPr>
        <w:t xml:space="preserve"> Noco2</w:t>
      </w:r>
      <w:bookmarkEnd w:id="119"/>
      <w:r w:rsidR="00B904A3" w:rsidRPr="00B904A3">
        <w:rPr>
          <w:color w:val="auto"/>
        </w:rPr>
        <w:t xml:space="preserve"> </w:t>
      </w:r>
    </w:p>
    <w:p w:rsidR="005766A5" w:rsidRDefault="005766A5" w:rsidP="00B13844">
      <w:pPr>
        <w:spacing w:after="0" w:line="360" w:lineRule="auto"/>
        <w:jc w:val="both"/>
      </w:pPr>
      <w:r w:rsidRPr="00440DEE">
        <w:t xml:space="preserve">As previously reported (Nawrath and Métraux, 1999), </w:t>
      </w:r>
      <w:r w:rsidR="00AF20A2">
        <w:rPr>
          <w:i/>
        </w:rPr>
        <w:t>P.</w:t>
      </w:r>
      <w:r w:rsidR="003250EC">
        <w:rPr>
          <w:i/>
        </w:rPr>
        <w:t xml:space="preserve"> </w:t>
      </w:r>
      <w:r w:rsidR="00AF20A2">
        <w:rPr>
          <w:i/>
        </w:rPr>
        <w:t>syringae</w:t>
      </w:r>
      <w:r w:rsidRPr="00440DEE">
        <w:t xml:space="preserve">-induced SAR proved effective against </w:t>
      </w:r>
      <w:r w:rsidR="00011985">
        <w:rPr>
          <w:i/>
        </w:rPr>
        <w:t>Hpa</w:t>
      </w:r>
      <w:r w:rsidRPr="00440DEE">
        <w:t xml:space="preserve"> Noco2 in Col-0. </w:t>
      </w:r>
      <w:r w:rsidR="00AF20A2">
        <w:t xml:space="preserve">These results </w:t>
      </w:r>
      <w:r w:rsidR="00011985">
        <w:t>are strongly supported by those presented in this work</w:t>
      </w:r>
      <w:r w:rsidR="00AF20A2">
        <w:t xml:space="preserve">: Analysis of the SAR response in Col-0 after first infection with </w:t>
      </w:r>
      <w:r w:rsidR="00011985">
        <w:rPr>
          <w:i/>
        </w:rPr>
        <w:t>Psm</w:t>
      </w:r>
      <w:r w:rsidR="00AF20A2">
        <w:t xml:space="preserve"> greatly reduced conidiospore numbers and showed growth and proliferation of the oomycete </w:t>
      </w:r>
      <w:r w:rsidR="00AF20A2">
        <w:lastRenderedPageBreak/>
        <w:t xml:space="preserve">on leaves to a much lower extent than observed in control plants </w:t>
      </w:r>
      <w:r w:rsidR="00AF20A2" w:rsidRPr="00AF20A2">
        <w:t>(Figure 42; Figure 43)</w:t>
      </w:r>
      <w:r w:rsidR="00AF20A2">
        <w:t>. In</w:t>
      </w:r>
      <w:r w:rsidRPr="00440DEE">
        <w:t xml:space="preserve"> mutant lines of </w:t>
      </w:r>
      <w:r w:rsidRPr="00440DEE">
        <w:rPr>
          <w:i/>
        </w:rPr>
        <w:t>ald1, fmo1</w:t>
      </w:r>
      <w:r w:rsidRPr="00440DEE">
        <w:t xml:space="preserve">, and </w:t>
      </w:r>
      <w:r w:rsidRPr="00440DEE">
        <w:rPr>
          <w:i/>
        </w:rPr>
        <w:t>sid2</w:t>
      </w:r>
      <w:r w:rsidRPr="00440DEE">
        <w:t xml:space="preserve"> no SAR response </w:t>
      </w:r>
      <w:r w:rsidR="00B904A3">
        <w:t xml:space="preserve">was </w:t>
      </w:r>
      <w:r w:rsidRPr="00440DEE">
        <w:t>seen after quantification of spore numbers and a slight S</w:t>
      </w:r>
      <w:r w:rsidR="00B904A3">
        <w:t xml:space="preserve">AR response after analysis of </w:t>
      </w:r>
      <w:r w:rsidR="00011985">
        <w:t>TB</w:t>
      </w:r>
      <w:r w:rsidRPr="00440DEE">
        <w:t xml:space="preserve">-stained leaves. Microscopy analysis of TB-stained leaves was done in a qualitative manner, whereas the determination of conidiospores is a quantitative method, which could explain these differences in obtained results. To bypass this problem in future experiments, image-analysis supporting software like ImageJ or Photoshop could be used. </w:t>
      </w:r>
      <w:r w:rsidR="00315B08">
        <w:t xml:space="preserve">Nevertheless, this study showed that comparably to SAR against </w:t>
      </w:r>
      <w:r w:rsidR="00011985">
        <w:rPr>
          <w:i/>
        </w:rPr>
        <w:t>Psm</w:t>
      </w:r>
      <w:r w:rsidR="00011985">
        <w:t>, Pip-production</w:t>
      </w:r>
      <w:r w:rsidR="00315B08">
        <w:t xml:space="preserve"> and</w:t>
      </w:r>
      <w:r w:rsidR="0028135B">
        <w:t xml:space="preserve"> amplification of the SAR signal conferred by Pip-mediated signalling to increase</w:t>
      </w:r>
      <w:r w:rsidR="00315B08">
        <w:t xml:space="preserve"> </w:t>
      </w:r>
      <w:r w:rsidR="00011985">
        <w:t>SA</w:t>
      </w:r>
      <w:r w:rsidR="00540183">
        <w:t>-</w:t>
      </w:r>
      <w:r w:rsidR="0028135B">
        <w:t>levels</w:t>
      </w:r>
      <w:r w:rsidR="00315B08">
        <w:t xml:space="preserve"> in systemic leaves are essential for establishment of the SAR reaction against a virulent </w:t>
      </w:r>
      <w:r w:rsidR="00011985">
        <w:rPr>
          <w:i/>
        </w:rPr>
        <w:t>Hpa</w:t>
      </w:r>
      <w:r w:rsidR="00315B08">
        <w:t xml:space="preserve"> isolate. </w:t>
      </w:r>
      <w:r w:rsidR="00F439BF">
        <w:t xml:space="preserve">For further studies of broad spectrum-resistance conferred by </w:t>
      </w:r>
      <w:r w:rsidR="00011985">
        <w:t>SAR</w:t>
      </w:r>
      <w:r w:rsidR="00F439BF">
        <w:t xml:space="preserve"> and the role of priming in this defence mechanism, the priming experiment could be done with </w:t>
      </w:r>
      <w:r w:rsidR="00011985">
        <w:rPr>
          <w:i/>
        </w:rPr>
        <w:t>Psm</w:t>
      </w:r>
      <w:r w:rsidR="00F439BF">
        <w:t xml:space="preserve"> as the inducing pathogen and </w:t>
      </w:r>
      <w:r w:rsidR="00011985">
        <w:rPr>
          <w:i/>
        </w:rPr>
        <w:t>Hpa</w:t>
      </w:r>
      <w:r w:rsidR="00F439BF">
        <w:t xml:space="preserve"> for the challenge infection. Analysis of gene expression and comparison to results presented in this thesis would give valuable insight into the SAR response and how it is regulated on the gene expression level.</w:t>
      </w:r>
    </w:p>
    <w:p w:rsidR="00443DBC" w:rsidRDefault="00443DBC" w:rsidP="00443DBC">
      <w:pPr>
        <w:pStyle w:val="berschrift2"/>
        <w:jc w:val="both"/>
        <w:rPr>
          <w:color w:val="auto"/>
        </w:rPr>
        <w:sectPr w:rsidR="00443DBC" w:rsidSect="00B517AA">
          <w:headerReference w:type="default" r:id="rId100"/>
          <w:type w:val="continuous"/>
          <w:pgSz w:w="11906" w:h="16838"/>
          <w:pgMar w:top="1417" w:right="1417" w:bottom="1134" w:left="1417" w:header="708" w:footer="708" w:gutter="0"/>
          <w:cols w:space="708"/>
          <w:titlePg/>
          <w:docGrid w:linePitch="360"/>
        </w:sectPr>
      </w:pPr>
    </w:p>
    <w:p w:rsidR="005766A5" w:rsidRPr="00E87F8B" w:rsidRDefault="00563EC1" w:rsidP="00E87F8B">
      <w:pPr>
        <w:pStyle w:val="berschrift2"/>
        <w:spacing w:after="240"/>
        <w:jc w:val="both"/>
        <w:rPr>
          <w:color w:val="auto"/>
        </w:rPr>
      </w:pPr>
      <w:bookmarkStart w:id="120" w:name="_Toc435621262"/>
      <w:r>
        <w:rPr>
          <w:color w:val="auto"/>
        </w:rPr>
        <w:lastRenderedPageBreak/>
        <w:t xml:space="preserve">7.10 </w:t>
      </w:r>
      <w:r w:rsidR="00E87F8B" w:rsidRPr="00E87F8B">
        <w:rPr>
          <w:color w:val="auto"/>
        </w:rPr>
        <w:t xml:space="preserve">Comparative metabolite profiling of </w:t>
      </w:r>
      <w:r w:rsidR="00E87F8B" w:rsidRPr="00E87F8B">
        <w:rPr>
          <w:i/>
          <w:color w:val="auto"/>
        </w:rPr>
        <w:t>Arabidopsis</w:t>
      </w:r>
      <w:r w:rsidR="00E87F8B" w:rsidRPr="00E87F8B">
        <w:rPr>
          <w:color w:val="auto"/>
        </w:rPr>
        <w:t xml:space="preserve"> plants infected with the powdery mildew </w:t>
      </w:r>
      <w:r w:rsidR="00E87F8B" w:rsidRPr="00E87F8B">
        <w:rPr>
          <w:i/>
          <w:color w:val="auto"/>
        </w:rPr>
        <w:t>G</w:t>
      </w:r>
      <w:r w:rsidR="00A65127">
        <w:rPr>
          <w:i/>
          <w:color w:val="auto"/>
        </w:rPr>
        <w:t>.</w:t>
      </w:r>
      <w:r w:rsidR="00E87F8B" w:rsidRPr="00E87F8B">
        <w:rPr>
          <w:i/>
          <w:color w:val="auto"/>
        </w:rPr>
        <w:t xml:space="preserve"> orontii</w:t>
      </w:r>
      <w:r w:rsidR="00E87F8B" w:rsidRPr="00E87F8B">
        <w:rPr>
          <w:color w:val="auto"/>
        </w:rPr>
        <w:t xml:space="preserve"> </w:t>
      </w:r>
      <w:r w:rsidR="00481FD0">
        <w:rPr>
          <w:color w:val="auto"/>
        </w:rPr>
        <w:t>focussing on Pip- and camalexin-</w:t>
      </w:r>
      <w:r w:rsidR="00E87F8B" w:rsidRPr="00E87F8B">
        <w:rPr>
          <w:color w:val="auto"/>
        </w:rPr>
        <w:t xml:space="preserve">accumulation in </w:t>
      </w:r>
      <w:r w:rsidR="00481FD0">
        <w:rPr>
          <w:color w:val="auto"/>
        </w:rPr>
        <w:t xml:space="preserve">the </w:t>
      </w:r>
      <w:r w:rsidR="00E87F8B" w:rsidRPr="00E87F8B">
        <w:rPr>
          <w:color w:val="auto"/>
        </w:rPr>
        <w:t>early stages of infection</w:t>
      </w:r>
      <w:bookmarkEnd w:id="120"/>
    </w:p>
    <w:p w:rsidR="007C23E7" w:rsidRDefault="00440DEE" w:rsidP="00B13844">
      <w:pPr>
        <w:spacing w:after="0" w:line="360" w:lineRule="auto"/>
        <w:jc w:val="both"/>
      </w:pPr>
      <w:r w:rsidRPr="00440DEE">
        <w:t xml:space="preserve">Infection of </w:t>
      </w:r>
      <w:r w:rsidRPr="00440DEE">
        <w:rPr>
          <w:i/>
        </w:rPr>
        <w:t>Arabidopsis</w:t>
      </w:r>
      <w:r w:rsidR="003250EC">
        <w:t xml:space="preserve"> with</w:t>
      </w:r>
      <w:r w:rsidRPr="00440DEE">
        <w:t xml:space="preserve"> the biotrophic powdery mildew pathogen </w:t>
      </w:r>
      <w:r w:rsidRPr="00440DEE">
        <w:rPr>
          <w:i/>
        </w:rPr>
        <w:t>Golovinomyces orontii</w:t>
      </w:r>
      <w:r w:rsidR="00A36CE2">
        <w:t xml:space="preserve"> was studied as an additional</w:t>
      </w:r>
      <w:r w:rsidRPr="00440DEE">
        <w:t xml:space="preserve"> example of a highly specialized interaction between a plant and a pathogen closely adapted to its host. Similar to studies on plant-pathogen interactions with </w:t>
      </w:r>
      <w:r w:rsidR="00A36CE2">
        <w:rPr>
          <w:i/>
        </w:rPr>
        <w:t>B.</w:t>
      </w:r>
      <w:r w:rsidR="00481FD0">
        <w:rPr>
          <w:i/>
        </w:rPr>
        <w:t xml:space="preserve"> </w:t>
      </w:r>
      <w:r w:rsidRPr="00440DEE">
        <w:rPr>
          <w:i/>
        </w:rPr>
        <w:t>cinerea</w:t>
      </w:r>
      <w:r w:rsidRPr="00440DEE">
        <w:t xml:space="preserve"> and </w:t>
      </w:r>
      <w:r w:rsidR="00481FD0">
        <w:rPr>
          <w:i/>
        </w:rPr>
        <w:t>Hpa</w:t>
      </w:r>
      <w:r w:rsidRPr="00440DEE">
        <w:t xml:space="preserve">, changes in metabolite composition in </w:t>
      </w:r>
      <w:r w:rsidRPr="00440DEE">
        <w:rPr>
          <w:i/>
        </w:rPr>
        <w:t>Arabidopsis</w:t>
      </w:r>
      <w:r w:rsidRPr="00440DEE">
        <w:t xml:space="preserve"> upon infection with </w:t>
      </w:r>
      <w:r w:rsidRPr="00440DEE">
        <w:rPr>
          <w:i/>
        </w:rPr>
        <w:t>G.</w:t>
      </w:r>
      <w:r w:rsidR="00481FD0">
        <w:rPr>
          <w:i/>
        </w:rPr>
        <w:t xml:space="preserve"> </w:t>
      </w:r>
      <w:r w:rsidRPr="00440DEE">
        <w:rPr>
          <w:i/>
        </w:rPr>
        <w:t>orontii</w:t>
      </w:r>
      <w:r w:rsidRPr="00440DEE">
        <w:t xml:space="preserve"> were analysed at different time points (4, 8, 24, 48, 72 hpi). It was reported previously that endogenous levels of </w:t>
      </w:r>
      <w:r w:rsidR="00481FD0">
        <w:t>SA</w:t>
      </w:r>
      <w:r w:rsidRPr="00440DEE">
        <w:t xml:space="preserve"> and </w:t>
      </w:r>
      <w:r w:rsidR="00481FD0">
        <w:t>JA</w:t>
      </w:r>
      <w:r w:rsidRPr="00440DEE">
        <w:t xml:space="preserve"> increase upon infection with powdery mildews (Fabro </w:t>
      </w:r>
      <w:r w:rsidRPr="00440DEE">
        <w:rPr>
          <w:i/>
        </w:rPr>
        <w:t>et al</w:t>
      </w:r>
      <w:r w:rsidRPr="00440DEE">
        <w:t xml:space="preserve">., 2008; Chandran </w:t>
      </w:r>
      <w:r w:rsidRPr="00440DEE">
        <w:rPr>
          <w:i/>
        </w:rPr>
        <w:t>et al</w:t>
      </w:r>
      <w:r w:rsidRPr="00440DEE">
        <w:t xml:space="preserve">., 2013), yet no significant increase in </w:t>
      </w:r>
      <w:r w:rsidR="000B4D4B">
        <w:t>SA-levels</w:t>
      </w:r>
      <w:r w:rsidRPr="00440DEE">
        <w:t xml:space="preserve"> was observed at chosen time points, except a slig</w:t>
      </w:r>
      <w:r w:rsidR="007C23E7">
        <w:t>ht increase at 72 hpi (Figure 46</w:t>
      </w:r>
      <w:r w:rsidR="005D2A9B">
        <w:t xml:space="preserve"> A</w:t>
      </w:r>
      <w:r w:rsidR="00B13844">
        <w:t xml:space="preserve">). </w:t>
      </w:r>
      <w:r w:rsidRPr="00440DEE">
        <w:t>Camalexin levels showed a moderate increase at 7</w:t>
      </w:r>
      <w:r w:rsidR="007C23E7">
        <w:t>2 hpi (Figure 46</w:t>
      </w:r>
      <w:r w:rsidR="00A663D8">
        <w:t xml:space="preserve"> B</w:t>
      </w:r>
      <w:r w:rsidRPr="00440DEE">
        <w:t>) and Pip started to accumulate at 48 hpi, with an even strong</w:t>
      </w:r>
      <w:r w:rsidR="007C23E7">
        <w:t>er increase at 72 hpi (Figure 46</w:t>
      </w:r>
      <w:r w:rsidR="00A663D8">
        <w:t xml:space="preserve"> C</w:t>
      </w:r>
      <w:r w:rsidRPr="00440DEE">
        <w:t xml:space="preserve">). In general, metabolite levels were found to be very low and just a handful of metabolites increased upon infection with this fungus. The low levels of SA and camalexin for example, can be explained by only epidermal cells being affected by </w:t>
      </w:r>
      <w:r w:rsidRPr="00440DEE">
        <w:rPr>
          <w:i/>
        </w:rPr>
        <w:t>G.</w:t>
      </w:r>
      <w:r w:rsidR="00481FD0">
        <w:rPr>
          <w:i/>
        </w:rPr>
        <w:t xml:space="preserve"> </w:t>
      </w:r>
      <w:r w:rsidRPr="00440DEE">
        <w:rPr>
          <w:i/>
        </w:rPr>
        <w:t>orontii</w:t>
      </w:r>
      <w:r w:rsidRPr="00440DEE">
        <w:t xml:space="preserve">. It is also </w:t>
      </w:r>
      <w:r w:rsidR="00A663D8">
        <w:t>possible that the chosen time points</w:t>
      </w:r>
      <w:r w:rsidRPr="00440DEE">
        <w:t xml:space="preserve"> were too early in the infection cycle and more changes in metabolite composition would be observed at later stages of infection. This will have to be considered in future ex</w:t>
      </w:r>
      <w:r w:rsidR="007C23E7">
        <w:t>periments with this powdery mildew</w:t>
      </w:r>
      <w:r w:rsidR="007B1DF7">
        <w:t xml:space="preserve">. Treatment with exogenously applied </w:t>
      </w:r>
      <w:r w:rsidR="00481FD0">
        <w:t>SA</w:t>
      </w:r>
      <w:r w:rsidRPr="00440DEE">
        <w:t xml:space="preserve"> was shown to enhance resistance against </w:t>
      </w:r>
      <w:r w:rsidRPr="00440DEE">
        <w:rPr>
          <w:i/>
        </w:rPr>
        <w:t>G.</w:t>
      </w:r>
      <w:r w:rsidR="00481FD0">
        <w:rPr>
          <w:i/>
        </w:rPr>
        <w:t xml:space="preserve"> </w:t>
      </w:r>
      <w:r w:rsidRPr="00440DEE">
        <w:rPr>
          <w:i/>
        </w:rPr>
        <w:t>orontii</w:t>
      </w:r>
      <w:r w:rsidRPr="00440DEE">
        <w:t xml:space="preserve"> in </w:t>
      </w:r>
      <w:r w:rsidRPr="00440DEE">
        <w:rPr>
          <w:i/>
        </w:rPr>
        <w:t>Arabidopsis</w:t>
      </w:r>
      <w:r w:rsidRPr="00440DEE">
        <w:t xml:space="preserve"> by increasing expression of </w:t>
      </w:r>
      <w:r w:rsidRPr="00440DEE">
        <w:rPr>
          <w:i/>
        </w:rPr>
        <w:t xml:space="preserve">RPW8 </w:t>
      </w:r>
      <w:r w:rsidRPr="00440DEE">
        <w:t xml:space="preserve">genes and subsequent HR-induced cell death, which limits the growth of the fungus (Xiao </w:t>
      </w:r>
      <w:r w:rsidRPr="00440DEE">
        <w:rPr>
          <w:i/>
        </w:rPr>
        <w:t>et al</w:t>
      </w:r>
      <w:r w:rsidRPr="00440DEE">
        <w:t xml:space="preserve">., 2003). The </w:t>
      </w:r>
      <w:r w:rsidRPr="00440DEE">
        <w:rPr>
          <w:i/>
        </w:rPr>
        <w:t>Arabidopsis</w:t>
      </w:r>
      <w:r w:rsidRPr="00440DEE">
        <w:t xml:space="preserve"> </w:t>
      </w:r>
      <w:r w:rsidRPr="00440DEE">
        <w:lastRenderedPageBreak/>
        <w:t>accession used for analysis of changes in metabolite accumulation was C</w:t>
      </w:r>
      <w:r w:rsidR="007C23E7">
        <w:t>ol-0, which does not possess</w:t>
      </w:r>
      <w:r w:rsidRPr="00440DEE">
        <w:t xml:space="preserve"> </w:t>
      </w:r>
      <w:r w:rsidRPr="00440DEE">
        <w:rPr>
          <w:i/>
        </w:rPr>
        <w:t xml:space="preserve">RPW8 </w:t>
      </w:r>
      <w:r w:rsidRPr="00440DEE">
        <w:t xml:space="preserve">genes and exhibits susceptibility to </w:t>
      </w:r>
      <w:r w:rsidRPr="00440DEE">
        <w:rPr>
          <w:i/>
        </w:rPr>
        <w:t>G.</w:t>
      </w:r>
      <w:r w:rsidR="00481FD0">
        <w:rPr>
          <w:i/>
        </w:rPr>
        <w:t xml:space="preserve"> </w:t>
      </w:r>
      <w:r w:rsidRPr="00440DEE">
        <w:rPr>
          <w:i/>
        </w:rPr>
        <w:t>orontii</w:t>
      </w:r>
      <w:r w:rsidRPr="00440DEE">
        <w:t xml:space="preserve">. This might be another reason why so little </w:t>
      </w:r>
      <w:r w:rsidR="00481FD0">
        <w:t>SA-</w:t>
      </w:r>
      <w:r w:rsidRPr="00440DEE">
        <w:t>accumulation was observed</w:t>
      </w:r>
      <w:r w:rsidR="0086420B">
        <w:t xml:space="preserve"> in this interaction. A</w:t>
      </w:r>
      <w:r w:rsidRPr="00440DEE">
        <w:t xml:space="preserve"> compound </w:t>
      </w:r>
      <w:r w:rsidR="0086420B">
        <w:t xml:space="preserve">found in comparatively high levels at all analysed time points was </w:t>
      </w:r>
      <w:r w:rsidR="00B13844">
        <w:t>eicosanoic acid</w:t>
      </w:r>
      <w:r w:rsidRPr="00440DEE">
        <w:t xml:space="preserve">, </w:t>
      </w:r>
      <w:r w:rsidR="0086420B">
        <w:t>a C</w:t>
      </w:r>
      <w:r w:rsidR="0086420B" w:rsidRPr="0086420B">
        <w:rPr>
          <w:vertAlign w:val="subscript"/>
        </w:rPr>
        <w:t>20</w:t>
      </w:r>
      <w:r w:rsidR="0086420B">
        <w:t xml:space="preserve"> </w:t>
      </w:r>
      <w:r w:rsidR="00A36CE2">
        <w:t xml:space="preserve">fatty </w:t>
      </w:r>
      <w:r w:rsidR="0086420B">
        <w:t xml:space="preserve">acid, which was described to be part of the </w:t>
      </w:r>
      <w:r w:rsidR="0086420B" w:rsidRPr="0086420B">
        <w:rPr>
          <w:i/>
        </w:rPr>
        <w:t>Arabidopsis</w:t>
      </w:r>
      <w:r w:rsidR="0086420B">
        <w:t xml:space="preserve"> leaf cuticle composition (Franke </w:t>
      </w:r>
      <w:r w:rsidR="0086420B" w:rsidRPr="0086420B">
        <w:rPr>
          <w:i/>
        </w:rPr>
        <w:t>et al</w:t>
      </w:r>
      <w:r w:rsidR="0086420B">
        <w:t>., 2005).</w:t>
      </w:r>
      <w:r w:rsidRPr="00440DEE">
        <w:t xml:space="preserve"> It is possible that this </w:t>
      </w:r>
      <w:r w:rsidR="001A2028">
        <w:t>component of plant cuticles</w:t>
      </w:r>
      <w:r w:rsidRPr="00440DEE">
        <w:t xml:space="preserve"> was brushed off heavily infected plants in the process of infecting fre</w:t>
      </w:r>
      <w:r w:rsidR="00B13844">
        <w:t>sh plants for this experiment</w:t>
      </w:r>
      <w:r w:rsidR="001A2028">
        <w:t>, which might explain its presence in equal amounts at all analysed time points</w:t>
      </w:r>
      <w:r w:rsidR="00B13844">
        <w:t xml:space="preserve">. </w:t>
      </w:r>
    </w:p>
    <w:p w:rsidR="00443DBC" w:rsidRDefault="00443DBC" w:rsidP="00443DBC">
      <w:pPr>
        <w:pStyle w:val="berschrift2"/>
        <w:jc w:val="both"/>
        <w:rPr>
          <w:color w:val="auto"/>
        </w:rPr>
        <w:sectPr w:rsidR="00443DBC" w:rsidSect="00B517AA">
          <w:headerReference w:type="default" r:id="rId101"/>
          <w:type w:val="continuous"/>
          <w:pgSz w:w="11906" w:h="16838"/>
          <w:pgMar w:top="1417" w:right="1417" w:bottom="1134" w:left="1417" w:header="708" w:footer="708" w:gutter="0"/>
          <w:cols w:space="708"/>
          <w:titlePg/>
          <w:docGrid w:linePitch="360"/>
        </w:sectPr>
      </w:pPr>
    </w:p>
    <w:p w:rsidR="007C23E7" w:rsidRDefault="00563EC1" w:rsidP="007C23E7">
      <w:pPr>
        <w:pStyle w:val="berschrift2"/>
        <w:spacing w:after="240"/>
        <w:jc w:val="both"/>
        <w:rPr>
          <w:color w:val="auto"/>
        </w:rPr>
      </w:pPr>
      <w:bookmarkStart w:id="121" w:name="_Toc435621263"/>
      <w:r>
        <w:rPr>
          <w:color w:val="auto"/>
        </w:rPr>
        <w:lastRenderedPageBreak/>
        <w:t xml:space="preserve">7.11 </w:t>
      </w:r>
      <w:r w:rsidR="00740C39">
        <w:rPr>
          <w:color w:val="auto"/>
        </w:rPr>
        <w:t>Lack of Pip-induced r</w:t>
      </w:r>
      <w:r w:rsidR="007C23E7" w:rsidRPr="007C23E7">
        <w:rPr>
          <w:color w:val="auto"/>
        </w:rPr>
        <w:t xml:space="preserve">esistance against the powdery mildew </w:t>
      </w:r>
      <w:r w:rsidR="007C23E7" w:rsidRPr="00563EC1">
        <w:rPr>
          <w:i/>
          <w:color w:val="auto"/>
        </w:rPr>
        <w:t>G.</w:t>
      </w:r>
      <w:r w:rsidR="00740C39">
        <w:rPr>
          <w:i/>
          <w:color w:val="auto"/>
        </w:rPr>
        <w:t xml:space="preserve"> </w:t>
      </w:r>
      <w:r w:rsidR="007C23E7" w:rsidRPr="00563EC1">
        <w:rPr>
          <w:i/>
          <w:color w:val="auto"/>
        </w:rPr>
        <w:t>orontii</w:t>
      </w:r>
      <w:bookmarkEnd w:id="121"/>
      <w:r w:rsidR="007C23E7" w:rsidRPr="007C23E7">
        <w:rPr>
          <w:color w:val="auto"/>
        </w:rPr>
        <w:t xml:space="preserve"> </w:t>
      </w:r>
    </w:p>
    <w:p w:rsidR="007C23E7" w:rsidRPr="00440DEE" w:rsidRDefault="007C23E7" w:rsidP="007C23E7">
      <w:pPr>
        <w:spacing w:after="0" w:line="360" w:lineRule="auto"/>
        <w:jc w:val="both"/>
      </w:pPr>
      <w:r w:rsidRPr="00440DEE">
        <w:t xml:space="preserve">It was possible to induce resistance in </w:t>
      </w:r>
      <w:r w:rsidRPr="00440DEE">
        <w:rPr>
          <w:i/>
        </w:rPr>
        <w:t>A</w:t>
      </w:r>
      <w:r w:rsidR="009902FD">
        <w:rPr>
          <w:i/>
        </w:rPr>
        <w:t>.</w:t>
      </w:r>
      <w:r w:rsidRPr="00440DEE">
        <w:rPr>
          <w:i/>
        </w:rPr>
        <w:t xml:space="preserve"> thaliana</w:t>
      </w:r>
      <w:r w:rsidRPr="00440DEE">
        <w:t xml:space="preserve"> against </w:t>
      </w:r>
      <w:r w:rsidR="00740C39">
        <w:rPr>
          <w:i/>
        </w:rPr>
        <w:t>Psm</w:t>
      </w:r>
      <w:r w:rsidRPr="00440DEE">
        <w:rPr>
          <w:i/>
        </w:rPr>
        <w:t>, B.</w:t>
      </w:r>
      <w:r w:rsidR="00740C39">
        <w:rPr>
          <w:i/>
        </w:rPr>
        <w:t xml:space="preserve"> </w:t>
      </w:r>
      <w:r w:rsidRPr="00440DEE">
        <w:rPr>
          <w:i/>
        </w:rPr>
        <w:t>cinerea</w:t>
      </w:r>
      <w:r w:rsidRPr="00440DEE">
        <w:t xml:space="preserve">, and </w:t>
      </w:r>
      <w:r w:rsidR="00740C39">
        <w:rPr>
          <w:i/>
        </w:rPr>
        <w:t>Hpa</w:t>
      </w:r>
      <w:r w:rsidRPr="00440DEE">
        <w:t xml:space="preserve"> by treating plants with exogenous</w:t>
      </w:r>
      <w:r>
        <w:t xml:space="preserve">ly applied </w:t>
      </w:r>
      <w:r w:rsidR="00740C39">
        <w:t>Pip</w:t>
      </w:r>
      <w:r>
        <w:t xml:space="preserve"> prior to</w:t>
      </w:r>
      <w:r w:rsidRPr="00440DEE">
        <w:t xml:space="preserve"> infection. As Pip also showed moderate accumulation upon infection with </w:t>
      </w:r>
      <w:r w:rsidRPr="00440DEE">
        <w:rPr>
          <w:i/>
        </w:rPr>
        <w:t>G.</w:t>
      </w:r>
      <w:r w:rsidR="00740C39">
        <w:rPr>
          <w:i/>
        </w:rPr>
        <w:t xml:space="preserve"> </w:t>
      </w:r>
      <w:r w:rsidRPr="00440DEE">
        <w:rPr>
          <w:i/>
        </w:rPr>
        <w:t>orontii</w:t>
      </w:r>
      <w:r w:rsidRPr="00440DEE">
        <w:t xml:space="preserve">, it was tested if Pip can induce resistance against this fungus, too. The </w:t>
      </w:r>
      <w:r w:rsidRPr="00440DEE">
        <w:rPr>
          <w:i/>
        </w:rPr>
        <w:t>G.</w:t>
      </w:r>
      <w:r w:rsidR="00740C39">
        <w:rPr>
          <w:i/>
        </w:rPr>
        <w:t xml:space="preserve"> </w:t>
      </w:r>
      <w:r w:rsidRPr="00440DEE">
        <w:rPr>
          <w:i/>
        </w:rPr>
        <w:t>orontii</w:t>
      </w:r>
      <w:r w:rsidRPr="00440DEE">
        <w:t xml:space="preserve">-susceptible Col-0, as well as </w:t>
      </w:r>
      <w:r w:rsidR="00740C39">
        <w:t>the</w:t>
      </w:r>
      <w:r w:rsidRPr="00440DEE">
        <w:t xml:space="preserve"> mutant lines </w:t>
      </w:r>
      <w:r w:rsidR="00740C39" w:rsidRPr="00740C39">
        <w:rPr>
          <w:i/>
        </w:rPr>
        <w:t>ald1, fmo1, sid2, npr1, pad4, edr1, pen2 pad4 sag101</w:t>
      </w:r>
      <w:r w:rsidR="00740C39">
        <w:t xml:space="preserve">, and </w:t>
      </w:r>
      <w:r w:rsidR="00740C39" w:rsidRPr="00740C39">
        <w:rPr>
          <w:i/>
        </w:rPr>
        <w:t>gl1</w:t>
      </w:r>
      <w:r w:rsidR="00740C39">
        <w:t xml:space="preserve"> were</w:t>
      </w:r>
      <w:r w:rsidRPr="00440DEE">
        <w:t xml:space="preserve"> </w:t>
      </w:r>
      <w:r>
        <w:t xml:space="preserve">treated with either water or </w:t>
      </w:r>
      <w:r w:rsidR="00740C39">
        <w:t>Pip</w:t>
      </w:r>
      <w:r w:rsidRPr="00440DEE">
        <w:t xml:space="preserve"> one day prior to infection and disease symptoms </w:t>
      </w:r>
      <w:r w:rsidR="001A2028">
        <w:t xml:space="preserve">were </w:t>
      </w:r>
      <w:r w:rsidRPr="00440DEE">
        <w:t>scored by analysing microcolony developme</w:t>
      </w:r>
      <w:r>
        <w:t>nt</w:t>
      </w:r>
      <w:r w:rsidR="00873737">
        <w:t xml:space="preserve"> on infected leaves (Figure 47</w:t>
      </w:r>
      <w:r w:rsidR="001A2028">
        <w:t xml:space="preserve">). </w:t>
      </w:r>
      <w:r w:rsidRPr="00440DEE">
        <w:t xml:space="preserve">No difference between water- and Pip-treated plants was observed in Col-0, </w:t>
      </w:r>
      <w:r w:rsidRPr="00440DEE">
        <w:rPr>
          <w:i/>
        </w:rPr>
        <w:t>ald1, fmo1, sid2</w:t>
      </w:r>
      <w:r w:rsidRPr="00440DEE">
        <w:t xml:space="preserve">, and </w:t>
      </w:r>
      <w:r w:rsidRPr="00440DEE">
        <w:rPr>
          <w:i/>
        </w:rPr>
        <w:t>gl1</w:t>
      </w:r>
      <w:r w:rsidR="00C95A5B">
        <w:t xml:space="preserve"> plants, which</w:t>
      </w:r>
      <w:r w:rsidRPr="00440DEE">
        <w:t xml:space="preserve"> showed similar levels of infection. In </w:t>
      </w:r>
      <w:r w:rsidRPr="00440DEE">
        <w:rPr>
          <w:i/>
        </w:rPr>
        <w:t>npr1</w:t>
      </w:r>
      <w:r w:rsidRPr="00440DEE">
        <w:t xml:space="preserve"> and </w:t>
      </w:r>
      <w:r w:rsidRPr="00440DEE">
        <w:rPr>
          <w:i/>
        </w:rPr>
        <w:t>pad4</w:t>
      </w:r>
      <w:r w:rsidRPr="00440DEE">
        <w:t xml:space="preserve"> a higher</w:t>
      </w:r>
      <w:r w:rsidR="007B1DF7">
        <w:t>, but not significant,</w:t>
      </w:r>
      <w:r w:rsidRPr="00440DEE">
        <w:t xml:space="preserve"> basal resistance to </w:t>
      </w:r>
      <w:r w:rsidR="005D70BF">
        <w:t xml:space="preserve">the </w:t>
      </w:r>
      <w:r w:rsidRPr="00440DEE">
        <w:t xml:space="preserve">powdery mildew was detected, which was compromised by pretreatment with </w:t>
      </w:r>
      <w:r w:rsidR="00740C39">
        <w:t>Pip</w:t>
      </w:r>
      <w:r w:rsidRPr="00440DEE">
        <w:t xml:space="preserve">. </w:t>
      </w:r>
      <w:r w:rsidRPr="00440DEE">
        <w:rPr>
          <w:i/>
        </w:rPr>
        <w:t>NPR1</w:t>
      </w:r>
      <w:r w:rsidRPr="00440DEE">
        <w:t xml:space="preserve"> and </w:t>
      </w:r>
      <w:r w:rsidRPr="00440DEE">
        <w:rPr>
          <w:i/>
        </w:rPr>
        <w:t>PAD4</w:t>
      </w:r>
      <w:r w:rsidRPr="00440DEE">
        <w:t xml:space="preserve"> are important components for activation of resistance against </w:t>
      </w:r>
      <w:r w:rsidRPr="00440DEE">
        <w:rPr>
          <w:i/>
        </w:rPr>
        <w:t>G.</w:t>
      </w:r>
      <w:r w:rsidR="00740C39">
        <w:rPr>
          <w:i/>
        </w:rPr>
        <w:t xml:space="preserve"> </w:t>
      </w:r>
      <w:r w:rsidRPr="00440DEE">
        <w:rPr>
          <w:i/>
        </w:rPr>
        <w:t>orontii</w:t>
      </w:r>
      <w:r w:rsidR="00C95A5B">
        <w:t xml:space="preserve"> and</w:t>
      </w:r>
      <w:r w:rsidRPr="00440DEE">
        <w:t xml:space="preserve"> </w:t>
      </w:r>
      <w:r w:rsidR="009902FD">
        <w:t>are involved</w:t>
      </w:r>
      <w:r w:rsidRPr="00440DEE">
        <w:t xml:space="preserve"> in SA-mediated signal amplification (Xiao </w:t>
      </w:r>
      <w:r w:rsidRPr="00440DEE">
        <w:rPr>
          <w:i/>
        </w:rPr>
        <w:t>et al</w:t>
      </w:r>
      <w:r w:rsidRPr="00440DEE">
        <w:t xml:space="preserve">., 2005). </w:t>
      </w:r>
      <w:r w:rsidR="008606BC">
        <w:t xml:space="preserve">These results are in conflict with published results, as an enhanced susceptibility of </w:t>
      </w:r>
      <w:r w:rsidR="008606BC" w:rsidRPr="008606BC">
        <w:rPr>
          <w:i/>
        </w:rPr>
        <w:t>npr1</w:t>
      </w:r>
      <w:r w:rsidR="008606BC">
        <w:t xml:space="preserve"> and </w:t>
      </w:r>
      <w:r w:rsidR="008606BC" w:rsidRPr="008606BC">
        <w:rPr>
          <w:i/>
        </w:rPr>
        <w:t>pad4</w:t>
      </w:r>
      <w:r w:rsidR="008606BC">
        <w:t xml:space="preserve"> towards </w:t>
      </w:r>
      <w:r w:rsidR="008606BC" w:rsidRPr="008606BC">
        <w:rPr>
          <w:i/>
        </w:rPr>
        <w:t>G.</w:t>
      </w:r>
      <w:r w:rsidR="00740C39">
        <w:rPr>
          <w:i/>
        </w:rPr>
        <w:t xml:space="preserve"> </w:t>
      </w:r>
      <w:r w:rsidR="008606BC" w:rsidRPr="008606BC">
        <w:rPr>
          <w:i/>
        </w:rPr>
        <w:t>orontii</w:t>
      </w:r>
      <w:r w:rsidR="008606BC">
        <w:t xml:space="preserve"> was described previously. One possible reason for these results may lie in experimental conditions, as microscopy analysis of microcolonies can be prone to subjective errors. </w:t>
      </w:r>
      <w:r w:rsidRPr="00440DEE">
        <w:t>A</w:t>
      </w:r>
      <w:r w:rsidR="008606BC">
        <w:t>s a</w:t>
      </w:r>
      <w:r w:rsidRPr="00440DEE">
        <w:t xml:space="preserve"> similar aggravation of symptoms was observed in Pip-treated </w:t>
      </w:r>
      <w:r w:rsidRPr="00440DEE">
        <w:rPr>
          <w:i/>
        </w:rPr>
        <w:t>sid2</w:t>
      </w:r>
      <w:r w:rsidRPr="00440DEE">
        <w:t xml:space="preserve"> plants infected with </w:t>
      </w:r>
      <w:r w:rsidRPr="00440DEE">
        <w:rPr>
          <w:i/>
        </w:rPr>
        <w:t>B.</w:t>
      </w:r>
      <w:r w:rsidR="00740C39">
        <w:rPr>
          <w:i/>
        </w:rPr>
        <w:t xml:space="preserve"> </w:t>
      </w:r>
      <w:r w:rsidRPr="00440DEE">
        <w:rPr>
          <w:i/>
        </w:rPr>
        <w:t>cinerea</w:t>
      </w:r>
      <w:r w:rsidR="008606BC">
        <w:t>, t</w:t>
      </w:r>
      <w:r w:rsidRPr="00440DEE">
        <w:t xml:space="preserve">hese findings </w:t>
      </w:r>
      <w:r w:rsidR="009902FD">
        <w:t xml:space="preserve">may </w:t>
      </w:r>
      <w:r w:rsidR="00740C39">
        <w:t xml:space="preserve">also </w:t>
      </w:r>
      <w:r w:rsidRPr="00440DEE">
        <w:t>hint at a very fine-tuned interaction of SA- and Pip-signalling in plant defen</w:t>
      </w:r>
      <w:r w:rsidR="008606BC">
        <w:t>ce against fungal pathogens</w:t>
      </w:r>
      <w:r w:rsidRPr="00440DEE">
        <w:t xml:space="preserve">. Very high basal resistance to </w:t>
      </w:r>
      <w:r w:rsidRPr="00440DEE">
        <w:rPr>
          <w:i/>
        </w:rPr>
        <w:t>G.</w:t>
      </w:r>
      <w:r w:rsidR="00740C39">
        <w:rPr>
          <w:i/>
        </w:rPr>
        <w:t xml:space="preserve"> </w:t>
      </w:r>
      <w:r w:rsidRPr="00440DEE">
        <w:rPr>
          <w:i/>
        </w:rPr>
        <w:t>orontii</w:t>
      </w:r>
      <w:r w:rsidR="00C95A5B">
        <w:t xml:space="preserve"> was</w:t>
      </w:r>
      <w:r w:rsidRPr="00440DEE">
        <w:t xml:space="preserve"> seen in </w:t>
      </w:r>
      <w:r w:rsidRPr="00440DEE">
        <w:rPr>
          <w:i/>
        </w:rPr>
        <w:t>edr1</w:t>
      </w:r>
      <w:r w:rsidRPr="00440DEE">
        <w:t xml:space="preserve">, in which pretreatment with Pip showed no changes in resistance. The </w:t>
      </w:r>
      <w:r w:rsidRPr="00440DEE">
        <w:rPr>
          <w:i/>
        </w:rPr>
        <w:t>EDR1</w:t>
      </w:r>
      <w:r w:rsidRPr="00440DEE">
        <w:t xml:space="preserve"> gene encodes a conserved MAPKK kinase, which was described to act as a negative regulator of resistance against powdery mildews (Xiao </w:t>
      </w:r>
      <w:r w:rsidRPr="00440DEE">
        <w:rPr>
          <w:i/>
        </w:rPr>
        <w:t>et al</w:t>
      </w:r>
      <w:r w:rsidRPr="00440DEE">
        <w:t xml:space="preserve">., 2005). The triple mutant </w:t>
      </w:r>
      <w:r w:rsidRPr="00440DEE">
        <w:rPr>
          <w:i/>
        </w:rPr>
        <w:t>pen2 pad4 sag101</w:t>
      </w:r>
      <w:r w:rsidRPr="00440DEE">
        <w:t>, which is impaired in penetration resistance,</w:t>
      </w:r>
      <w:r w:rsidR="005D70BF">
        <w:t xml:space="preserve"> as well as</w:t>
      </w:r>
      <w:r w:rsidRPr="00440DEE">
        <w:t xml:space="preserve"> SA</w:t>
      </w:r>
      <w:r w:rsidR="00740C39">
        <w:t>-</w:t>
      </w:r>
      <w:r w:rsidR="005D70BF">
        <w:t>signalling and regulation</w:t>
      </w:r>
      <w:r w:rsidRPr="00440DEE">
        <w:t xml:space="preserve">, exhibited very low basal resistance towards </w:t>
      </w:r>
      <w:r w:rsidRPr="00440DEE">
        <w:rPr>
          <w:i/>
        </w:rPr>
        <w:t>G.</w:t>
      </w:r>
      <w:r w:rsidR="00740C39">
        <w:rPr>
          <w:i/>
        </w:rPr>
        <w:t xml:space="preserve"> </w:t>
      </w:r>
      <w:r w:rsidRPr="00440DEE">
        <w:rPr>
          <w:i/>
        </w:rPr>
        <w:t>orontii</w:t>
      </w:r>
      <w:r w:rsidRPr="00440DEE">
        <w:t>, but was the only mutant line in which</w:t>
      </w:r>
      <w:r w:rsidR="00C95A5B">
        <w:t xml:space="preserve"> a significant</w:t>
      </w:r>
      <w:r w:rsidRPr="00440DEE">
        <w:t xml:space="preserve"> resistance</w:t>
      </w:r>
      <w:r w:rsidR="009902FD">
        <w:t xml:space="preserve"> induction by exogenous </w:t>
      </w:r>
      <w:r w:rsidR="00740C39">
        <w:t>Pip</w:t>
      </w:r>
      <w:r w:rsidR="009902FD">
        <w:t>-treatment</w:t>
      </w:r>
      <w:r w:rsidR="005D70BF">
        <w:t xml:space="preserve"> </w:t>
      </w:r>
      <w:r w:rsidR="00C95A5B">
        <w:t xml:space="preserve">was </w:t>
      </w:r>
      <w:r w:rsidRPr="00440DEE">
        <w:t>observed. This finding shows t</w:t>
      </w:r>
      <w:r w:rsidR="009902FD">
        <w:t>hat the first and foremost</w:t>
      </w:r>
      <w:r w:rsidRPr="00440DEE">
        <w:t xml:space="preserve"> laye</w:t>
      </w:r>
      <w:r>
        <w:t>r of defence against this powdery mildew</w:t>
      </w:r>
      <w:r w:rsidR="009902FD">
        <w:t xml:space="preserve"> pathogen</w:t>
      </w:r>
      <w:r w:rsidRPr="00440DEE">
        <w:t xml:space="preserve"> is penetration resistance and all other defences affect post-penetration processes (Consonni </w:t>
      </w:r>
      <w:r w:rsidRPr="00440DEE">
        <w:rPr>
          <w:i/>
        </w:rPr>
        <w:t xml:space="preserve">et </w:t>
      </w:r>
      <w:r w:rsidRPr="00440DEE">
        <w:rPr>
          <w:i/>
        </w:rPr>
        <w:lastRenderedPageBreak/>
        <w:t>al</w:t>
      </w:r>
      <w:r w:rsidRPr="00440DEE">
        <w:t xml:space="preserve">., 2006). In order to analyse the importance of </w:t>
      </w:r>
      <w:r w:rsidRPr="00440DEE">
        <w:rPr>
          <w:i/>
        </w:rPr>
        <w:t>ALD1, FMO1</w:t>
      </w:r>
      <w:r w:rsidRPr="00440DEE">
        <w:t xml:space="preserve">, and </w:t>
      </w:r>
      <w:r w:rsidRPr="00440DEE">
        <w:rPr>
          <w:i/>
        </w:rPr>
        <w:t>SID2</w:t>
      </w:r>
      <w:r w:rsidR="009902FD">
        <w:t xml:space="preserve"> in the plant-</w:t>
      </w:r>
      <w:r w:rsidRPr="00440DEE">
        <w:t xml:space="preserve">powdery mildew interaction, it would be necessary to generate mutant lines for these genes in the </w:t>
      </w:r>
      <w:r w:rsidRPr="00440DEE">
        <w:rPr>
          <w:i/>
        </w:rPr>
        <w:t>pen2</w:t>
      </w:r>
      <w:r>
        <w:t xml:space="preserve"> background</w:t>
      </w:r>
      <w:r w:rsidR="005D70BF">
        <w:t xml:space="preserve"> and repeat these studies</w:t>
      </w:r>
      <w:r>
        <w:t>.</w:t>
      </w:r>
    </w:p>
    <w:p w:rsidR="00443DBC" w:rsidRDefault="00443DBC" w:rsidP="00443DBC">
      <w:pPr>
        <w:pStyle w:val="berschrift2"/>
        <w:jc w:val="both"/>
        <w:rPr>
          <w:color w:val="auto"/>
        </w:rPr>
        <w:sectPr w:rsidR="00443DBC" w:rsidSect="00B517AA">
          <w:headerReference w:type="default" r:id="rId102"/>
          <w:type w:val="continuous"/>
          <w:pgSz w:w="11906" w:h="16838"/>
          <w:pgMar w:top="1417" w:right="1417" w:bottom="1134" w:left="1417" w:header="708" w:footer="708" w:gutter="0"/>
          <w:cols w:space="708"/>
          <w:titlePg/>
          <w:docGrid w:linePitch="360"/>
        </w:sectPr>
      </w:pPr>
    </w:p>
    <w:p w:rsidR="007C23E7" w:rsidRPr="00873737" w:rsidRDefault="00563EC1" w:rsidP="00873737">
      <w:pPr>
        <w:pStyle w:val="berschrift2"/>
        <w:spacing w:after="240"/>
        <w:jc w:val="both"/>
        <w:rPr>
          <w:color w:val="auto"/>
        </w:rPr>
      </w:pPr>
      <w:bookmarkStart w:id="122" w:name="_Toc435621264"/>
      <w:r>
        <w:rPr>
          <w:color w:val="auto"/>
        </w:rPr>
        <w:lastRenderedPageBreak/>
        <w:t xml:space="preserve">7.12 </w:t>
      </w:r>
      <w:r w:rsidR="00873737" w:rsidRPr="00873737">
        <w:rPr>
          <w:color w:val="auto"/>
        </w:rPr>
        <w:t xml:space="preserve">The metabolic profile of </w:t>
      </w:r>
      <w:r w:rsidR="00873737" w:rsidRPr="00873737">
        <w:rPr>
          <w:i/>
          <w:color w:val="auto"/>
        </w:rPr>
        <w:t>A</w:t>
      </w:r>
      <w:r w:rsidR="00A65127">
        <w:rPr>
          <w:i/>
          <w:color w:val="auto"/>
        </w:rPr>
        <w:t>.</w:t>
      </w:r>
      <w:r w:rsidR="00873737" w:rsidRPr="00873737">
        <w:rPr>
          <w:i/>
          <w:color w:val="auto"/>
        </w:rPr>
        <w:t xml:space="preserve"> thaliana</w:t>
      </w:r>
      <w:r w:rsidR="000F223B">
        <w:rPr>
          <w:color w:val="auto"/>
        </w:rPr>
        <w:t xml:space="preserve"> depending</w:t>
      </w:r>
      <w:r w:rsidR="00873737" w:rsidRPr="00873737">
        <w:rPr>
          <w:color w:val="auto"/>
        </w:rPr>
        <w:t xml:space="preserve"> on the lifestyle of the invading pathogen</w:t>
      </w:r>
      <w:bookmarkEnd w:id="122"/>
    </w:p>
    <w:p w:rsidR="005C0B22" w:rsidRDefault="00440DEE" w:rsidP="00B13844">
      <w:pPr>
        <w:spacing w:after="0" w:line="360" w:lineRule="auto"/>
        <w:jc w:val="both"/>
      </w:pPr>
      <w:r w:rsidRPr="00440DEE">
        <w:t xml:space="preserve">Changes in metabolite accumulation after infection with different kinds of pathogens were compared to identify </w:t>
      </w:r>
      <w:r w:rsidR="00873737">
        <w:t xml:space="preserve">how </w:t>
      </w:r>
      <w:r w:rsidRPr="00440DEE">
        <w:t>differences in pathog</w:t>
      </w:r>
      <w:r w:rsidR="007C23E7">
        <w:t xml:space="preserve">enic lifestyles </w:t>
      </w:r>
      <w:r w:rsidR="00873737">
        <w:t xml:space="preserve">impact the metabolic profile of </w:t>
      </w:r>
      <w:r w:rsidR="00873737" w:rsidRPr="00873737">
        <w:rPr>
          <w:i/>
        </w:rPr>
        <w:t>A.</w:t>
      </w:r>
      <w:r w:rsidR="000F223B">
        <w:rPr>
          <w:i/>
        </w:rPr>
        <w:t xml:space="preserve"> </w:t>
      </w:r>
      <w:r w:rsidR="00873737" w:rsidRPr="00873737">
        <w:rPr>
          <w:i/>
        </w:rPr>
        <w:t>thaliana</w:t>
      </w:r>
      <w:r w:rsidR="00873737">
        <w:t xml:space="preserve"> </w:t>
      </w:r>
      <w:r w:rsidR="007C23E7">
        <w:t>(Table 3; Table 4; Table 5</w:t>
      </w:r>
      <w:r w:rsidRPr="00440DEE">
        <w:t xml:space="preserve">). In the interaction between </w:t>
      </w:r>
      <w:r w:rsidRPr="00440DEE">
        <w:rPr>
          <w:i/>
        </w:rPr>
        <w:t>Arabidopsis</w:t>
      </w:r>
      <w:r w:rsidRPr="00440DEE">
        <w:t xml:space="preserve"> and the hemibiotrophic</w:t>
      </w:r>
      <w:r w:rsidR="00DA2FE5">
        <w:t xml:space="preserve"> bacterium</w:t>
      </w:r>
      <w:r w:rsidRPr="00440DEE">
        <w:t xml:space="preserve"> </w:t>
      </w:r>
      <w:r w:rsidR="000F223B">
        <w:rPr>
          <w:i/>
        </w:rPr>
        <w:t>Psm</w:t>
      </w:r>
      <w:r w:rsidRPr="00440DEE">
        <w:t>, levels of defence metabolites showed significant differences between mock- and pathogen-treated plants. Especially SA</w:t>
      </w:r>
      <w:r w:rsidR="000F223B">
        <w:t>, Camalexin, ICA, Pip, and Lys</w:t>
      </w:r>
      <w:r w:rsidRPr="00440DEE">
        <w:t xml:space="preserve"> accumulate</w:t>
      </w:r>
      <w:r w:rsidR="00873737">
        <w:t>d</w:t>
      </w:r>
      <w:r w:rsidRPr="00440DEE">
        <w:t xml:space="preserve"> to very high leve</w:t>
      </w:r>
      <w:r w:rsidR="00873737">
        <w:t>ls, as did</w:t>
      </w:r>
      <w:r w:rsidRPr="00440DEE">
        <w:t xml:space="preserve"> aromatic amino acids and GABA. Infection with the necrotrophic fungus </w:t>
      </w:r>
      <w:r w:rsidRPr="00440DEE">
        <w:rPr>
          <w:i/>
        </w:rPr>
        <w:t>B.</w:t>
      </w:r>
      <w:r w:rsidR="000F223B">
        <w:rPr>
          <w:i/>
        </w:rPr>
        <w:t xml:space="preserve"> </w:t>
      </w:r>
      <w:r w:rsidRPr="00440DEE">
        <w:rPr>
          <w:i/>
        </w:rPr>
        <w:t>cinerea</w:t>
      </w:r>
      <w:r w:rsidRPr="00440DEE">
        <w:t xml:space="preserve"> led to a significant increase of camalexin and ICA, as well as </w:t>
      </w:r>
      <w:r w:rsidR="00873737">
        <w:t>the yet unidentified</w:t>
      </w:r>
      <w:r w:rsidRPr="00440DEE">
        <w:t xml:space="preserve"> substances 3, 9, and 13. Otherwise, metabolites levels show</w:t>
      </w:r>
      <w:r w:rsidR="00873737">
        <w:t>ed</w:t>
      </w:r>
      <w:r w:rsidRPr="00440DEE">
        <w:t xml:space="preserve"> fewer differences between mock- and pathogen-treated plants than in the </w:t>
      </w:r>
      <w:r w:rsidR="003A084B">
        <w:rPr>
          <w:i/>
        </w:rPr>
        <w:t>Arabidopsis-</w:t>
      </w:r>
      <w:r w:rsidR="000F223B">
        <w:rPr>
          <w:i/>
        </w:rPr>
        <w:t>Psm</w:t>
      </w:r>
      <w:r w:rsidRPr="00440DEE">
        <w:t xml:space="preserve"> interaction. Analyses of interactions between plants and the oomycete </w:t>
      </w:r>
      <w:r w:rsidR="000F223B">
        <w:rPr>
          <w:i/>
        </w:rPr>
        <w:t>Hpa</w:t>
      </w:r>
      <w:r w:rsidRPr="00440DEE">
        <w:t xml:space="preserve"> and the fungus </w:t>
      </w:r>
      <w:r w:rsidRPr="00440DEE">
        <w:rPr>
          <w:i/>
        </w:rPr>
        <w:t>G.</w:t>
      </w:r>
      <w:r w:rsidR="000F223B">
        <w:rPr>
          <w:i/>
        </w:rPr>
        <w:t xml:space="preserve"> </w:t>
      </w:r>
      <w:r w:rsidRPr="00440DEE">
        <w:rPr>
          <w:i/>
        </w:rPr>
        <w:t>orontii</w:t>
      </w:r>
      <w:r w:rsidRPr="00440DEE">
        <w:t xml:space="preserve">, two pathogen species with a highly specialized lifestyle adapted to their host, show clear differences. Infection of </w:t>
      </w:r>
      <w:r w:rsidRPr="00440DEE">
        <w:rPr>
          <w:i/>
        </w:rPr>
        <w:t>Arabidopsis</w:t>
      </w:r>
      <w:r w:rsidRPr="00440DEE">
        <w:t xml:space="preserve"> with</w:t>
      </w:r>
      <w:r w:rsidR="00873737">
        <w:t xml:space="preserve"> the virulent</w:t>
      </w:r>
      <w:r w:rsidRPr="00440DEE">
        <w:t xml:space="preserve"> </w:t>
      </w:r>
      <w:r w:rsidR="000F223B">
        <w:rPr>
          <w:i/>
        </w:rPr>
        <w:t>Hpa</w:t>
      </w:r>
      <w:r w:rsidR="00873737">
        <w:rPr>
          <w:i/>
        </w:rPr>
        <w:t xml:space="preserve"> </w:t>
      </w:r>
      <w:r w:rsidR="00873737">
        <w:t>Noco2</w:t>
      </w:r>
      <w:r w:rsidRPr="00440DEE">
        <w:rPr>
          <w:i/>
        </w:rPr>
        <w:t xml:space="preserve"> </w:t>
      </w:r>
      <w:r w:rsidR="00873737">
        <w:t>elicited</w:t>
      </w:r>
      <w:r w:rsidRPr="00440DEE">
        <w:t xml:space="preserve"> moderate changes in metabolite composition, with a strong increase in camalexin and </w:t>
      </w:r>
      <w:r w:rsidR="000F223B" w:rsidRPr="000F223B">
        <w:t>Aad</w:t>
      </w:r>
      <w:r w:rsidR="003250EC">
        <w:rPr>
          <w:i/>
        </w:rPr>
        <w:t xml:space="preserve"> </w:t>
      </w:r>
      <w:r w:rsidRPr="00440DEE">
        <w:t xml:space="preserve">levels and moderate increase in levels of assorted amino acids. Compared to these results, barely any changes were found in the interaction between </w:t>
      </w:r>
      <w:r w:rsidRPr="00440DEE">
        <w:rPr>
          <w:i/>
        </w:rPr>
        <w:t>Arabidopsis</w:t>
      </w:r>
      <w:r w:rsidRPr="00440DEE">
        <w:t xml:space="preserve"> and the likewise biotrophic pathogen </w:t>
      </w:r>
      <w:r w:rsidRPr="00440DEE">
        <w:rPr>
          <w:i/>
        </w:rPr>
        <w:t>G.</w:t>
      </w:r>
      <w:r w:rsidR="000F223B">
        <w:rPr>
          <w:i/>
        </w:rPr>
        <w:t xml:space="preserve"> </w:t>
      </w:r>
      <w:r w:rsidRPr="00440DEE">
        <w:rPr>
          <w:i/>
        </w:rPr>
        <w:t>orontii</w:t>
      </w:r>
      <w:r w:rsidR="00873737">
        <w:t>. This powdery mildew induced moderate accumulation of c</w:t>
      </w:r>
      <w:r w:rsidRPr="00440DEE">
        <w:t xml:space="preserve">amalexin and Pip, but scarcely changes in levels of other analysed substances. </w:t>
      </w:r>
      <w:r w:rsidR="003A084B">
        <w:t>It is very important to note significant</w:t>
      </w:r>
      <w:r w:rsidRPr="00440DEE">
        <w:t xml:space="preserve"> differences in </w:t>
      </w:r>
      <w:r w:rsidR="00730CE1">
        <w:t>infection protocols with</w:t>
      </w:r>
      <w:r w:rsidRPr="00440DEE">
        <w:t xml:space="preserve"> these pathogens. While </w:t>
      </w:r>
      <w:r w:rsidR="000F223B">
        <w:rPr>
          <w:i/>
        </w:rPr>
        <w:t>Psm</w:t>
      </w:r>
      <w:r w:rsidRPr="00440DEE">
        <w:t xml:space="preserve"> bacteria are infiltrated into the apoplastic space, where they can multiply and get in close contact with a large number of cells, infection with spores of </w:t>
      </w:r>
      <w:r w:rsidRPr="00440DEE">
        <w:rPr>
          <w:i/>
        </w:rPr>
        <w:t>B.</w:t>
      </w:r>
      <w:r w:rsidR="000F223B">
        <w:rPr>
          <w:i/>
        </w:rPr>
        <w:t xml:space="preserve"> </w:t>
      </w:r>
      <w:r w:rsidRPr="00440DEE">
        <w:rPr>
          <w:i/>
        </w:rPr>
        <w:t xml:space="preserve">cinerea, </w:t>
      </w:r>
      <w:r w:rsidR="000F223B">
        <w:rPr>
          <w:i/>
        </w:rPr>
        <w:t>Hpa</w:t>
      </w:r>
      <w:r w:rsidRPr="00440DEE">
        <w:t xml:space="preserve">, and </w:t>
      </w:r>
      <w:r w:rsidRPr="00440DEE">
        <w:rPr>
          <w:i/>
        </w:rPr>
        <w:t>G.</w:t>
      </w:r>
      <w:r w:rsidR="000F223B">
        <w:rPr>
          <w:i/>
        </w:rPr>
        <w:t xml:space="preserve"> </w:t>
      </w:r>
      <w:r w:rsidRPr="00440DEE">
        <w:rPr>
          <w:i/>
        </w:rPr>
        <w:t xml:space="preserve">orontii </w:t>
      </w:r>
      <w:r w:rsidRPr="00440DEE">
        <w:t xml:space="preserve">affects mainly epidermal cells. These differences in infection will have to be minimized in future experiments in order to get more comparable results. </w:t>
      </w:r>
      <w:r w:rsidR="003A084B">
        <w:t>Nevertheless, these data</w:t>
      </w:r>
      <w:r w:rsidR="00C42D4F">
        <w:t xml:space="preserve"> distinctly</w:t>
      </w:r>
      <w:r w:rsidR="003A084B">
        <w:t xml:space="preserve"> show</w:t>
      </w:r>
      <w:r w:rsidR="00C42D4F">
        <w:t xml:space="preserve"> that the metabolite profile of </w:t>
      </w:r>
      <w:r w:rsidR="00C42D4F" w:rsidRPr="003A084B">
        <w:rPr>
          <w:i/>
        </w:rPr>
        <w:t>Arabidopsis thaliana</w:t>
      </w:r>
      <w:r w:rsidR="00C42D4F">
        <w:t xml:space="preserve"> depends on the type of the attacking pathogen. While the metabolic profiles for plants infected with the hemibiotrophic bacterium </w:t>
      </w:r>
      <w:r w:rsidR="000F223B">
        <w:rPr>
          <w:i/>
        </w:rPr>
        <w:t>Psm</w:t>
      </w:r>
      <w:r w:rsidR="00C42D4F">
        <w:t xml:space="preserve"> and the biotrophic oomycete </w:t>
      </w:r>
      <w:r w:rsidR="000F223B">
        <w:rPr>
          <w:i/>
        </w:rPr>
        <w:t>Hpa</w:t>
      </w:r>
      <w:r w:rsidR="00C42D4F">
        <w:t xml:space="preserve"> were found to be quite similar, especially in the case of changes in amino acid accumulation, they differ markedly in plants infected with the fungi </w:t>
      </w:r>
      <w:r w:rsidR="00C42D4F" w:rsidRPr="00C42D4F">
        <w:rPr>
          <w:i/>
        </w:rPr>
        <w:t>B.</w:t>
      </w:r>
      <w:r w:rsidR="000F223B">
        <w:rPr>
          <w:i/>
        </w:rPr>
        <w:t xml:space="preserve"> </w:t>
      </w:r>
      <w:r w:rsidR="00C42D4F" w:rsidRPr="00C42D4F">
        <w:rPr>
          <w:i/>
        </w:rPr>
        <w:t>cinerea</w:t>
      </w:r>
      <w:r w:rsidR="00C42D4F">
        <w:t xml:space="preserve"> and </w:t>
      </w:r>
      <w:r w:rsidR="00C42D4F" w:rsidRPr="00C42D4F">
        <w:rPr>
          <w:i/>
        </w:rPr>
        <w:t>G.</w:t>
      </w:r>
      <w:r w:rsidR="000F223B">
        <w:rPr>
          <w:i/>
        </w:rPr>
        <w:t xml:space="preserve"> </w:t>
      </w:r>
      <w:r w:rsidR="00C42D4F" w:rsidRPr="00C42D4F">
        <w:rPr>
          <w:i/>
        </w:rPr>
        <w:t>orontii</w:t>
      </w:r>
      <w:r w:rsidR="00C42D4F">
        <w:rPr>
          <w:i/>
        </w:rPr>
        <w:t xml:space="preserve">, </w:t>
      </w:r>
      <w:r w:rsidR="00C42D4F">
        <w:t>which in turn were very different from each other. Moreover, accumulation of compounds very specific for each path</w:t>
      </w:r>
      <w:r w:rsidR="00DA2FE5">
        <w:t>ogen may point at differences in</w:t>
      </w:r>
      <w:r w:rsidR="00C42D4F">
        <w:t xml:space="preserve"> manipulation of the plant´s </w:t>
      </w:r>
      <w:r w:rsidR="00C73C1A">
        <w:t xml:space="preserve">metabolism by each pathogen. Identification of the so far unknown compounds will give more insight into the origin of these substances and their role in infection </w:t>
      </w:r>
      <w:r w:rsidR="00443DBC">
        <w:t>by different types of microbes.</w:t>
      </w:r>
    </w:p>
    <w:p w:rsidR="00DA2FE5" w:rsidRDefault="00DA2FE5" w:rsidP="00B13844">
      <w:pPr>
        <w:spacing w:after="0" w:line="360" w:lineRule="auto"/>
        <w:jc w:val="both"/>
        <w:sectPr w:rsidR="00DA2FE5" w:rsidSect="00B517AA">
          <w:headerReference w:type="default" r:id="rId103"/>
          <w:type w:val="continuous"/>
          <w:pgSz w:w="11906" w:h="16838"/>
          <w:pgMar w:top="1417" w:right="1417" w:bottom="1134" w:left="1417" w:header="708" w:footer="708" w:gutter="0"/>
          <w:cols w:space="708"/>
          <w:titlePg/>
          <w:docGrid w:linePitch="360"/>
        </w:sectPr>
      </w:pPr>
    </w:p>
    <w:p w:rsidR="008769F0" w:rsidRDefault="008769F0" w:rsidP="009D6B61">
      <w:pPr>
        <w:pStyle w:val="berschrift1"/>
        <w:spacing w:after="240"/>
        <w:rPr>
          <w:color w:val="000000" w:themeColor="text1"/>
        </w:rPr>
        <w:sectPr w:rsidR="008769F0" w:rsidSect="00B517AA">
          <w:type w:val="continuous"/>
          <w:pgSz w:w="11906" w:h="16838"/>
          <w:pgMar w:top="1417" w:right="1417" w:bottom="1134" w:left="1417" w:header="708" w:footer="708" w:gutter="0"/>
          <w:cols w:space="708"/>
          <w:titlePg/>
          <w:docGrid w:linePitch="360"/>
        </w:sectPr>
      </w:pPr>
    </w:p>
    <w:p w:rsidR="00440DEE" w:rsidRDefault="009D6B61" w:rsidP="009D6B61">
      <w:pPr>
        <w:pStyle w:val="berschrift1"/>
        <w:spacing w:after="240"/>
        <w:rPr>
          <w:color w:val="000000" w:themeColor="text1"/>
        </w:rPr>
      </w:pPr>
      <w:bookmarkStart w:id="123" w:name="_Toc435621265"/>
      <w:r w:rsidRPr="009D6B61">
        <w:rPr>
          <w:color w:val="000000" w:themeColor="text1"/>
        </w:rPr>
        <w:lastRenderedPageBreak/>
        <w:t>8 Conclusions and outlook</w:t>
      </w:r>
      <w:bookmarkEnd w:id="123"/>
      <w:r w:rsidR="00C73C1A" w:rsidRPr="009D6B61">
        <w:rPr>
          <w:color w:val="000000" w:themeColor="text1"/>
        </w:rPr>
        <w:t xml:space="preserve"> </w:t>
      </w:r>
    </w:p>
    <w:p w:rsidR="00376FC6" w:rsidRDefault="003F4437" w:rsidP="00376FC6">
      <w:pPr>
        <w:spacing w:after="0" w:line="360" w:lineRule="auto"/>
        <w:jc w:val="both"/>
      </w:pPr>
      <w:r>
        <w:t xml:space="preserve">In this work it was shown that in </w:t>
      </w:r>
      <w:r w:rsidRPr="003F4437">
        <w:rPr>
          <w:i/>
        </w:rPr>
        <w:t>Arabidopsis thaliana</w:t>
      </w:r>
      <w:r>
        <w:t xml:space="preserve">, </w:t>
      </w:r>
      <w:r w:rsidR="00EC675B">
        <w:t>a large number</w:t>
      </w:r>
      <w:r>
        <w:t xml:space="preserve"> of genes primed for expression in the SAR response </w:t>
      </w:r>
      <w:r w:rsidR="00376FC6">
        <w:t>encode proteins that</w:t>
      </w:r>
      <w:r>
        <w:t xml:space="preserve"> are mostly involved in defence metabolism, defence signalling and in cell wall-related processes. Furthermore, the defence-related genes </w:t>
      </w:r>
      <w:r w:rsidRPr="003F4437">
        <w:rPr>
          <w:i/>
        </w:rPr>
        <w:t>ALD1</w:t>
      </w:r>
      <w:r>
        <w:t>, involved i</w:t>
      </w:r>
      <w:r w:rsidR="006E7F38">
        <w:t>n Pip-biosynthesis</w:t>
      </w:r>
      <w:r>
        <w:t xml:space="preserve">, and </w:t>
      </w:r>
      <w:r w:rsidRPr="003F4437">
        <w:rPr>
          <w:i/>
        </w:rPr>
        <w:t>FMO1</w:t>
      </w:r>
      <w:r>
        <w:t xml:space="preserve">, encoding a flavin-dependent monooxygenase </w:t>
      </w:r>
      <w:r w:rsidR="00444945">
        <w:t>required for Pip-induced resistance</w:t>
      </w:r>
      <w:r>
        <w:t>, were shown to be necess</w:t>
      </w:r>
      <w:r w:rsidR="00B1170A">
        <w:t>ary for priming of gene express</w:t>
      </w:r>
      <w:r>
        <w:t xml:space="preserve">ion. The role of </w:t>
      </w:r>
      <w:r w:rsidRPr="005A0B20">
        <w:rPr>
          <w:i/>
        </w:rPr>
        <w:t>FMO1</w:t>
      </w:r>
      <w:r>
        <w:t xml:space="preserve"> in Pip-induced priming of gene expression and camalexin accumulation was shown to </w:t>
      </w:r>
      <w:r w:rsidR="005A0B20">
        <w:t>be essential, as these</w:t>
      </w:r>
      <w:r>
        <w:t xml:space="preserve"> processes were not longer observed in the </w:t>
      </w:r>
      <w:r w:rsidRPr="005A0B20">
        <w:rPr>
          <w:i/>
        </w:rPr>
        <w:t>fmo1</w:t>
      </w:r>
      <w:r>
        <w:t xml:space="preserve"> mutant line. I</w:t>
      </w:r>
      <w:r w:rsidR="005A0B20">
        <w:t>n future experiments</w:t>
      </w:r>
      <w:r w:rsidR="006B518C">
        <w:t>,</w:t>
      </w:r>
      <w:r w:rsidR="005A0B20">
        <w:t xml:space="preserve"> the function</w:t>
      </w:r>
      <w:r>
        <w:t xml:space="preserve"> of </w:t>
      </w:r>
      <w:r w:rsidR="006E7F38">
        <w:t>SA</w:t>
      </w:r>
      <w:r>
        <w:t xml:space="preserve"> in priming can be further elucidated by </w:t>
      </w:r>
      <w:r w:rsidR="00376FC6">
        <w:t>studying priming of expression of a larger set of</w:t>
      </w:r>
      <w:r>
        <w:t xml:space="preserve"> </w:t>
      </w:r>
      <w:r w:rsidR="00376FC6">
        <w:t xml:space="preserve">genes in </w:t>
      </w:r>
      <w:r>
        <w:t xml:space="preserve">the </w:t>
      </w:r>
      <w:r w:rsidRPr="005A0B20">
        <w:rPr>
          <w:i/>
        </w:rPr>
        <w:t>sid2</w:t>
      </w:r>
      <w:r>
        <w:t xml:space="preserve"> and the </w:t>
      </w:r>
      <w:r w:rsidRPr="005A0B20">
        <w:rPr>
          <w:i/>
        </w:rPr>
        <w:t>sid2 ald1</w:t>
      </w:r>
      <w:r>
        <w:t xml:space="preserve"> mutant lines. Another promising study would be a comparison of </w:t>
      </w:r>
      <w:r w:rsidR="005A0B20">
        <w:t>SAR-</w:t>
      </w:r>
      <w:r>
        <w:t xml:space="preserve">primed and Pip-primed gene expression to </w:t>
      </w:r>
      <w:r w:rsidR="005A0B20">
        <w:t>se</w:t>
      </w:r>
      <w:r w:rsidR="006B518C">
        <w:t>e if the same set of genes show</w:t>
      </w:r>
      <w:r w:rsidR="005A0B20">
        <w:t xml:space="preserve"> primed expression or if there are differences.</w:t>
      </w:r>
      <w:r w:rsidR="00376FC6">
        <w:t xml:space="preserve"> Moreover, a study of priming in gene expression on the whole genome level would give valuable insight of the extent of primed genes in the SAR reaction.</w:t>
      </w:r>
      <w:r w:rsidR="005A0B20">
        <w:t xml:space="preserve"> </w:t>
      </w:r>
    </w:p>
    <w:p w:rsidR="00376FC6" w:rsidRDefault="005A0B20" w:rsidP="00376FC6">
      <w:pPr>
        <w:spacing w:after="0" w:line="360" w:lineRule="auto"/>
        <w:ind w:firstLine="708"/>
        <w:jc w:val="both"/>
      </w:pPr>
      <w:r>
        <w:t>This thesis also p</w:t>
      </w:r>
      <w:r w:rsidR="006B518C">
        <w:t>rovided evidence that MAPK</w:t>
      </w:r>
      <w:r>
        <w:t xml:space="preserve"> signalling is not involved</w:t>
      </w:r>
      <w:r w:rsidR="00B1170A" w:rsidRPr="00B1170A">
        <w:t xml:space="preserve"> </w:t>
      </w:r>
      <w:r w:rsidR="006E7F38">
        <w:t>in SAR and defence priming</w:t>
      </w:r>
      <w:r w:rsidR="006E7F38" w:rsidRPr="00B1170A">
        <w:t xml:space="preserve"> </w:t>
      </w:r>
      <w:r w:rsidR="00B1170A" w:rsidRPr="00B1170A">
        <w:t>to the extent previously described</w:t>
      </w:r>
      <w:r>
        <w:t xml:space="preserve">. Further studies to verify these results should include a repetition of the experiments presented and </w:t>
      </w:r>
      <w:r w:rsidR="006B518C">
        <w:t>analysis of MAPK</w:t>
      </w:r>
      <w:r>
        <w:t xml:space="preserve"> activity in plants</w:t>
      </w:r>
      <w:r w:rsidR="006E7F38">
        <w:t xml:space="preserve"> exogenously</w:t>
      </w:r>
      <w:r>
        <w:t xml:space="preserve"> treated with Pip. F</w:t>
      </w:r>
      <w:r w:rsidR="006B518C">
        <w:t>or studies concerning MAPK</w:t>
      </w:r>
      <w:r>
        <w:t xml:space="preserve"> involvement in defence</w:t>
      </w:r>
      <w:r w:rsidR="006B518C">
        <w:t>,</w:t>
      </w:r>
      <w:r>
        <w:t xml:space="preserve"> the use of a broader range of </w:t>
      </w:r>
      <w:r w:rsidR="00D23D9F">
        <w:rPr>
          <w:i/>
        </w:rPr>
        <w:t>Pseudomonas syringae</w:t>
      </w:r>
      <w:r>
        <w:t xml:space="preserve"> strains</w:t>
      </w:r>
      <w:r w:rsidR="003F4437">
        <w:t xml:space="preserve"> </w:t>
      </w:r>
      <w:r>
        <w:t>might be advisable to see if the type of inducing pathogen might have</w:t>
      </w:r>
      <w:r w:rsidR="006E7F38">
        <w:t xml:space="preserve"> an</w:t>
      </w:r>
      <w:r>
        <w:t xml:space="preserve"> influence on MAPK signalling. </w:t>
      </w:r>
    </w:p>
    <w:p w:rsidR="009D6B61" w:rsidRDefault="00694BC1" w:rsidP="00376FC6">
      <w:pPr>
        <w:spacing w:line="360" w:lineRule="auto"/>
        <w:ind w:firstLine="708"/>
        <w:jc w:val="both"/>
      </w:pPr>
      <w:r>
        <w:t xml:space="preserve">In studies with the necrotrophic fungus </w:t>
      </w:r>
      <w:r w:rsidRPr="00694BC1">
        <w:rPr>
          <w:i/>
        </w:rPr>
        <w:t>Botrytis cinerea</w:t>
      </w:r>
      <w:r>
        <w:t xml:space="preserve">, the biotrophic downy mildew oomycete </w:t>
      </w:r>
      <w:r w:rsidRPr="00694BC1">
        <w:rPr>
          <w:i/>
        </w:rPr>
        <w:t>Hyaloperonospora arabidopsidis</w:t>
      </w:r>
      <w:r>
        <w:t xml:space="preserve">, and the biotrophic powdery mildew fungus </w:t>
      </w:r>
      <w:r w:rsidRPr="00694BC1">
        <w:rPr>
          <w:i/>
        </w:rPr>
        <w:t>Golovinomyces orontii</w:t>
      </w:r>
      <w:r w:rsidR="00376FC6">
        <w:rPr>
          <w:i/>
        </w:rPr>
        <w:t>,</w:t>
      </w:r>
      <w:r>
        <w:t xml:space="preserve"> evidence was provided that </w:t>
      </w:r>
      <w:r w:rsidR="006E7F38">
        <w:t>Pip</w:t>
      </w:r>
      <w:r>
        <w:t xml:space="preserve"> not only accumulates in </w:t>
      </w:r>
      <w:r w:rsidRPr="00694BC1">
        <w:rPr>
          <w:i/>
        </w:rPr>
        <w:t>A.</w:t>
      </w:r>
      <w:r w:rsidR="006E7F38">
        <w:rPr>
          <w:i/>
        </w:rPr>
        <w:t xml:space="preserve"> </w:t>
      </w:r>
      <w:r w:rsidRPr="00694BC1">
        <w:rPr>
          <w:i/>
        </w:rPr>
        <w:t>thaliana</w:t>
      </w:r>
      <w:r>
        <w:t xml:space="preserve"> upon infection with these pathogens, but also that in the case of </w:t>
      </w:r>
      <w:r w:rsidRPr="00694BC1">
        <w:rPr>
          <w:i/>
        </w:rPr>
        <w:t>B.</w:t>
      </w:r>
      <w:r w:rsidR="006E7F38">
        <w:rPr>
          <w:i/>
        </w:rPr>
        <w:t xml:space="preserve"> </w:t>
      </w:r>
      <w:r w:rsidRPr="00694BC1">
        <w:rPr>
          <w:i/>
        </w:rPr>
        <w:t>cinerea</w:t>
      </w:r>
      <w:r>
        <w:t xml:space="preserve"> and </w:t>
      </w:r>
      <w:r w:rsidR="006E7F38">
        <w:rPr>
          <w:i/>
        </w:rPr>
        <w:t>Hpa</w:t>
      </w:r>
      <w:r>
        <w:t xml:space="preserve"> exogenously applied Pip induces resistance against these microbes. Comparative metabolite profiling additionally provided a number of yet unknown compounds and highlighted specific patterns of metabolite accumulation for each interaction. In future experiments the focus should move to gene expression analysis in plants infected with these microbes. Another interesting angle would be a comparative analysis of primed gene expression in plants infected with </w:t>
      </w:r>
      <w:r w:rsidR="006E7F38">
        <w:rPr>
          <w:i/>
        </w:rPr>
        <w:t>Psm</w:t>
      </w:r>
      <w:r>
        <w:t xml:space="preserve">, </w:t>
      </w:r>
      <w:r w:rsidRPr="00694BC1">
        <w:rPr>
          <w:i/>
        </w:rPr>
        <w:t>B.</w:t>
      </w:r>
      <w:r w:rsidR="006E7F38">
        <w:rPr>
          <w:i/>
        </w:rPr>
        <w:t xml:space="preserve"> </w:t>
      </w:r>
      <w:r w:rsidRPr="00694BC1">
        <w:rPr>
          <w:i/>
        </w:rPr>
        <w:t>cinerea</w:t>
      </w:r>
      <w:r>
        <w:t xml:space="preserve">, and </w:t>
      </w:r>
      <w:r w:rsidR="006E7F38">
        <w:rPr>
          <w:i/>
        </w:rPr>
        <w:t>Hpa</w:t>
      </w:r>
      <w:r>
        <w:t>.</w:t>
      </w:r>
    </w:p>
    <w:p w:rsidR="009D6B61" w:rsidRDefault="009D6B61" w:rsidP="009D6B61"/>
    <w:p w:rsidR="009D6B61" w:rsidRDefault="009D6B61" w:rsidP="009D6B61"/>
    <w:p w:rsidR="009D6B61" w:rsidRDefault="009D6B61" w:rsidP="009D6B61"/>
    <w:p w:rsidR="00440DEE" w:rsidRPr="00440DEE" w:rsidRDefault="00440DEE" w:rsidP="00440DEE">
      <w:pPr>
        <w:spacing w:line="360" w:lineRule="auto"/>
        <w:jc w:val="both"/>
      </w:pPr>
    </w:p>
    <w:p w:rsidR="008769F0" w:rsidRDefault="008769F0" w:rsidP="00040BE7">
      <w:pPr>
        <w:pStyle w:val="berschrift1"/>
        <w:spacing w:after="240"/>
        <w:rPr>
          <w:color w:val="auto"/>
        </w:rPr>
        <w:sectPr w:rsidR="008769F0" w:rsidSect="00B517AA">
          <w:headerReference w:type="default" r:id="rId104"/>
          <w:headerReference w:type="first" r:id="rId105"/>
          <w:type w:val="continuous"/>
          <w:pgSz w:w="11906" w:h="16838"/>
          <w:pgMar w:top="1417" w:right="1417" w:bottom="1134" w:left="1417" w:header="708" w:footer="708" w:gutter="0"/>
          <w:cols w:space="708"/>
          <w:titlePg/>
          <w:docGrid w:linePitch="360"/>
        </w:sectPr>
      </w:pPr>
    </w:p>
    <w:p w:rsidR="005C45F6" w:rsidRPr="00040BE7" w:rsidRDefault="009D6B61" w:rsidP="00040BE7">
      <w:pPr>
        <w:pStyle w:val="berschrift1"/>
        <w:spacing w:after="240"/>
        <w:rPr>
          <w:color w:val="auto"/>
        </w:rPr>
      </w:pPr>
      <w:bookmarkStart w:id="124" w:name="_Toc435621266"/>
      <w:r>
        <w:rPr>
          <w:color w:val="auto"/>
        </w:rPr>
        <w:lastRenderedPageBreak/>
        <w:t>9</w:t>
      </w:r>
      <w:r w:rsidR="00941C29">
        <w:rPr>
          <w:color w:val="auto"/>
        </w:rPr>
        <w:t xml:space="preserve"> </w:t>
      </w:r>
      <w:r w:rsidR="005C45F6" w:rsidRPr="00040BE7">
        <w:rPr>
          <w:color w:val="auto"/>
        </w:rPr>
        <w:t>Literature cited</w:t>
      </w:r>
      <w:bookmarkEnd w:id="124"/>
    </w:p>
    <w:p w:rsidR="006969EE" w:rsidRPr="006969EE" w:rsidRDefault="006969EE" w:rsidP="00773890">
      <w:pPr>
        <w:jc w:val="both"/>
        <w:rPr>
          <w:lang w:val="en-US"/>
        </w:rPr>
      </w:pPr>
      <w:proofErr w:type="gramStart"/>
      <w:r w:rsidRPr="006969EE">
        <w:rPr>
          <w:b/>
          <w:lang w:val="en-US"/>
        </w:rPr>
        <w:t>Ahn, I.-P., Kim, S., Lee, Y.-H, and Suh, S.-C.</w:t>
      </w:r>
      <w:proofErr w:type="gramEnd"/>
      <w:r>
        <w:rPr>
          <w:lang w:val="en-US"/>
        </w:rPr>
        <w:t xml:space="preserve"> (2007). </w:t>
      </w:r>
      <w:r w:rsidRPr="006969EE">
        <w:rPr>
          <w:lang w:val="en-US"/>
        </w:rPr>
        <w:t>Vitamin B1-Induced P</w:t>
      </w:r>
      <w:r>
        <w:rPr>
          <w:lang w:val="en-US"/>
        </w:rPr>
        <w:t xml:space="preserve">riming Is Dependent on Hydrogen </w:t>
      </w:r>
      <w:r w:rsidRPr="006969EE">
        <w:rPr>
          <w:lang w:val="en-US"/>
        </w:rPr>
        <w:t xml:space="preserve">Peroxide and the </w:t>
      </w:r>
      <w:r w:rsidRPr="006969EE">
        <w:rPr>
          <w:i/>
          <w:lang w:val="en-US"/>
        </w:rPr>
        <w:t>NPR1</w:t>
      </w:r>
      <w:r w:rsidRPr="006969EE">
        <w:rPr>
          <w:lang w:val="en-US"/>
        </w:rPr>
        <w:t xml:space="preserve"> Gene in Arabidopsis</w:t>
      </w:r>
      <w:r>
        <w:rPr>
          <w:lang w:val="en-US"/>
        </w:rPr>
        <w:t>. Plant Physiol.</w:t>
      </w:r>
      <w:r w:rsidRPr="006969EE">
        <w:rPr>
          <w:lang w:val="en-US"/>
        </w:rPr>
        <w:t xml:space="preserve"> </w:t>
      </w:r>
      <w:r w:rsidRPr="006969EE">
        <w:rPr>
          <w:b/>
          <w:lang w:val="en-US"/>
        </w:rPr>
        <w:t>143:</w:t>
      </w:r>
      <w:r>
        <w:rPr>
          <w:lang w:val="en-US"/>
        </w:rPr>
        <w:t xml:space="preserve"> </w:t>
      </w:r>
      <w:r w:rsidRPr="006969EE">
        <w:rPr>
          <w:lang w:val="en-US"/>
        </w:rPr>
        <w:t>838–848</w:t>
      </w:r>
      <w:r>
        <w:rPr>
          <w:lang w:val="en-US"/>
        </w:rPr>
        <w:t>.</w:t>
      </w:r>
    </w:p>
    <w:p w:rsidR="005C45F6" w:rsidRPr="005C45F6" w:rsidRDefault="005C45F6" w:rsidP="00773890">
      <w:pPr>
        <w:jc w:val="both"/>
      </w:pPr>
      <w:proofErr w:type="gramStart"/>
      <w:r w:rsidRPr="005C45F6">
        <w:rPr>
          <w:b/>
        </w:rPr>
        <w:t>Alabadi, D., Oyama, T., Yanovsky, M.J., Harmon, F.G., Más, P., and Kay, S.A</w:t>
      </w:r>
      <w:r w:rsidRPr="00621A3F">
        <w:rPr>
          <w:b/>
        </w:rPr>
        <w:t>.</w:t>
      </w:r>
      <w:r w:rsidRPr="005C45F6">
        <w:t xml:space="preserve"> (2001).</w:t>
      </w:r>
      <w:proofErr w:type="gramEnd"/>
      <w:r w:rsidRPr="005C45F6">
        <w:t xml:space="preserve"> Reciprocal Regulation </w:t>
      </w:r>
      <w:proofErr w:type="gramStart"/>
      <w:r w:rsidRPr="005C45F6">
        <w:t>Between</w:t>
      </w:r>
      <w:proofErr w:type="gramEnd"/>
      <w:r w:rsidRPr="005C45F6">
        <w:t xml:space="preserve"> </w:t>
      </w:r>
      <w:r w:rsidRPr="005C45F6">
        <w:rPr>
          <w:i/>
          <w:iCs/>
        </w:rPr>
        <w:t xml:space="preserve">TOC1 </w:t>
      </w:r>
      <w:r w:rsidRPr="005C45F6">
        <w:t xml:space="preserve">and </w:t>
      </w:r>
      <w:r w:rsidRPr="005C45F6">
        <w:rPr>
          <w:i/>
          <w:iCs/>
        </w:rPr>
        <w:t>LHY</w:t>
      </w:r>
      <w:r w:rsidRPr="005C45F6">
        <w:t>/</w:t>
      </w:r>
      <w:r w:rsidRPr="005C45F6">
        <w:rPr>
          <w:i/>
          <w:iCs/>
        </w:rPr>
        <w:t xml:space="preserve">CCA1 </w:t>
      </w:r>
      <w:r w:rsidRPr="005C45F6">
        <w:t xml:space="preserve">Within the </w:t>
      </w:r>
      <w:r w:rsidRPr="005C45F6">
        <w:rPr>
          <w:i/>
          <w:iCs/>
        </w:rPr>
        <w:t xml:space="preserve">Arabidopsis </w:t>
      </w:r>
      <w:r w:rsidRPr="005C45F6">
        <w:t xml:space="preserve">Circadian Clock. Science </w:t>
      </w:r>
      <w:r w:rsidRPr="005C45F6">
        <w:rPr>
          <w:b/>
        </w:rPr>
        <w:t>293</w:t>
      </w:r>
      <w:r w:rsidRPr="00621A3F">
        <w:rPr>
          <w:b/>
        </w:rPr>
        <w:t>:</w:t>
      </w:r>
      <w:r w:rsidRPr="005C45F6">
        <w:t xml:space="preserve"> 880-883.</w:t>
      </w:r>
    </w:p>
    <w:p w:rsidR="005C45F6" w:rsidRPr="005C45F6" w:rsidRDefault="005C45F6" w:rsidP="00773890">
      <w:pPr>
        <w:jc w:val="both"/>
      </w:pPr>
      <w:proofErr w:type="gramStart"/>
      <w:r w:rsidRPr="00621A3F">
        <w:rPr>
          <w:b/>
        </w:rPr>
        <w:t xml:space="preserve">Allen, R.L., Bittner-Eddy, P.D., Grenville-Briggs, L.J., Meitz, J.C., Rehmany, A.P., Rose, L.E., and Beynon, J.L. </w:t>
      </w:r>
      <w:r w:rsidRPr="005C45F6">
        <w:t>(2004).</w:t>
      </w:r>
      <w:proofErr w:type="gramEnd"/>
      <w:r w:rsidRPr="005C45F6">
        <w:t xml:space="preserve"> Host-Parasite Coevolutionary Conflict </w:t>
      </w:r>
      <w:proofErr w:type="gramStart"/>
      <w:r w:rsidRPr="005C45F6">
        <w:t>Between</w:t>
      </w:r>
      <w:proofErr w:type="gramEnd"/>
      <w:r w:rsidRPr="005C45F6">
        <w:t xml:space="preserve"> </w:t>
      </w:r>
      <w:r w:rsidRPr="005C45F6">
        <w:rPr>
          <w:i/>
        </w:rPr>
        <w:t>Arabidopsis</w:t>
      </w:r>
      <w:r w:rsidRPr="005C45F6">
        <w:t xml:space="preserve"> and Downy Mildew. Science </w:t>
      </w:r>
      <w:r w:rsidRPr="005C45F6">
        <w:rPr>
          <w:b/>
        </w:rPr>
        <w:t>306</w:t>
      </w:r>
      <w:r w:rsidRPr="00621A3F">
        <w:rPr>
          <w:b/>
        </w:rPr>
        <w:t>:</w:t>
      </w:r>
      <w:r w:rsidRPr="005C45F6">
        <w:t xml:space="preserve"> 1957-1960.</w:t>
      </w:r>
    </w:p>
    <w:p w:rsidR="005C45F6" w:rsidRPr="005C45F6" w:rsidRDefault="005C45F6" w:rsidP="00773890">
      <w:pPr>
        <w:jc w:val="both"/>
        <w:rPr>
          <w:lang w:val="en-US"/>
        </w:rPr>
      </w:pPr>
      <w:r w:rsidRPr="005C45F6">
        <w:rPr>
          <w:b/>
          <w:lang w:val="en-US"/>
        </w:rPr>
        <w:t xml:space="preserve">Amselem, J., Cuomo, C.A., van Kan, J.A.L., Viaud, M., Benito, E.P., Couloux, A., Coutinho, P.M., de Vries, R.P., Dyer, P.S., Fillinger, S., Fournier, E., Gout, L., Hahn, M., Kohn, L., Lapalu, N., Plummer, K.M., Pradier, J.-M., Quévillon, E., Sharon, A., Simon, A., ten Have, A., Tudzynski, B., Tudzynski, P., Wincker, P., Andrew, M., Anthouard, V., Beever, R.E., Beffa, R., Benoit, I., Bouzid, O., Brault, B., Chen, Z., Choquer, M., Collémare, J., Cotton, P., Danchin, E.G., Da Silva, C., Gautier, A., Giraud, C., Giraud, T., Gonzalez, C., Grossetete, S., </w:t>
      </w:r>
      <w:r w:rsidRPr="005C45F6">
        <w:rPr>
          <w:b/>
        </w:rPr>
        <w:t xml:space="preserve">Güldener, U., Henrissat, B., Howlett, B.J., Kodira, C., Kretschmer, M., </w:t>
      </w:r>
      <w:r w:rsidRPr="005C45F6">
        <w:rPr>
          <w:b/>
          <w:lang w:val="en-US"/>
        </w:rPr>
        <w:t>Lappartient, A., Leroch, M., Levis, C., Mauceli, E., Neuvéglise, C., Oeser, B., Pearson, M., Poulain, J., Poussereau, N., Quesneville, H., Rascle, C., Schumacher, J., Ségurens, B., Sexton, A., Silva, E., Sirven, C., Soanes, D.M., Talbot, N.J., Templeton, M., Yandava, C., Yarden, O., Zeng, Q., Rollins, J.A., Lebrun, M.-H., and Dickman, M.</w:t>
      </w:r>
      <w:r w:rsidRPr="005C45F6">
        <w:rPr>
          <w:lang w:val="en-US"/>
        </w:rPr>
        <w:t xml:space="preserve"> (2011). </w:t>
      </w:r>
      <w:proofErr w:type="gramStart"/>
      <w:r w:rsidRPr="005C45F6">
        <w:rPr>
          <w:lang w:val="en-US"/>
        </w:rPr>
        <w:t xml:space="preserve">Genomic Analysis of the Necrotrophic Fungal Pathogens </w:t>
      </w:r>
      <w:r w:rsidRPr="005C45F6">
        <w:rPr>
          <w:i/>
          <w:lang w:val="en-US"/>
        </w:rPr>
        <w:t>Sclerotinia sclerotiorum</w:t>
      </w:r>
      <w:r w:rsidRPr="005C45F6">
        <w:rPr>
          <w:lang w:val="en-US"/>
        </w:rPr>
        <w:t xml:space="preserve"> and </w:t>
      </w:r>
      <w:r w:rsidRPr="005C45F6">
        <w:rPr>
          <w:i/>
          <w:lang w:val="en-US"/>
        </w:rPr>
        <w:t>Botrytis cinerea.</w:t>
      </w:r>
      <w:proofErr w:type="gramEnd"/>
      <w:r w:rsidRPr="005C45F6">
        <w:rPr>
          <w:lang w:val="en-US"/>
        </w:rPr>
        <w:t xml:space="preserve"> PLOS Genetics </w:t>
      </w:r>
      <w:r w:rsidRPr="005C45F6">
        <w:rPr>
          <w:b/>
          <w:lang w:val="en-US"/>
        </w:rPr>
        <w:t>7</w:t>
      </w:r>
      <w:r w:rsidRPr="00621A3F">
        <w:rPr>
          <w:b/>
          <w:lang w:val="en-US"/>
        </w:rPr>
        <w:t>:</w:t>
      </w:r>
      <w:r w:rsidRPr="005C45F6">
        <w:rPr>
          <w:lang w:val="en-US"/>
        </w:rPr>
        <w:t xml:space="preserve"> 1-27.</w:t>
      </w:r>
    </w:p>
    <w:p w:rsidR="005C45F6" w:rsidRPr="005C45F6" w:rsidRDefault="005C45F6" w:rsidP="00773890">
      <w:pPr>
        <w:jc w:val="both"/>
        <w:rPr>
          <w:lang w:val="en-US"/>
        </w:rPr>
      </w:pPr>
      <w:proofErr w:type="gramStart"/>
      <w:r w:rsidRPr="005C45F6">
        <w:rPr>
          <w:b/>
          <w:lang w:val="en-US"/>
        </w:rPr>
        <w:t>Anderson, J.C., Wan, Y., Kim, Y.-M., Pasa-Tolic, L., Metz, T.O., and Peck, S.C.</w:t>
      </w:r>
      <w:r w:rsidRPr="005C45F6">
        <w:rPr>
          <w:lang w:val="en-US"/>
        </w:rPr>
        <w:t xml:space="preserve"> (2014).</w:t>
      </w:r>
      <w:proofErr w:type="gramEnd"/>
      <w:r w:rsidRPr="005C45F6">
        <w:rPr>
          <w:lang w:val="en-US"/>
        </w:rPr>
        <w:t xml:space="preserve"> Decreased abundance of type III secretion system-inducing signals in Arabidopsis mkp1 enhances resistance against Pseudomonas syringae. PNAS </w:t>
      </w:r>
      <w:r w:rsidRPr="005C45F6">
        <w:rPr>
          <w:b/>
          <w:lang w:val="en-US"/>
        </w:rPr>
        <w:t>111</w:t>
      </w:r>
      <w:r w:rsidRPr="00621A3F">
        <w:rPr>
          <w:b/>
          <w:lang w:val="en-US"/>
        </w:rPr>
        <w:t>:</w:t>
      </w:r>
      <w:r w:rsidRPr="005C45F6">
        <w:rPr>
          <w:lang w:val="en-US"/>
        </w:rPr>
        <w:t xml:space="preserve"> 6846–6851.</w:t>
      </w:r>
    </w:p>
    <w:p w:rsidR="005C45F6" w:rsidRPr="005C45F6" w:rsidRDefault="005C45F6" w:rsidP="00773890">
      <w:pPr>
        <w:jc w:val="both"/>
      </w:pPr>
      <w:proofErr w:type="gramStart"/>
      <w:r w:rsidRPr="005C45F6">
        <w:rPr>
          <w:b/>
        </w:rPr>
        <w:t>Asai, T., Tena, G., Plotnikova, J., Willmann, M.R., Chiu, W.L., Gomez-Gomez, L., Boller, T., Ausubel, F.M., and Sheen, J.</w:t>
      </w:r>
      <w:r w:rsidRPr="005C45F6">
        <w:t xml:space="preserve"> (2002).</w:t>
      </w:r>
      <w:proofErr w:type="gramEnd"/>
      <w:r w:rsidRPr="005C45F6">
        <w:t xml:space="preserve"> MAP kinase signalling cascade in </w:t>
      </w:r>
      <w:r w:rsidRPr="005C45F6">
        <w:rPr>
          <w:i/>
        </w:rPr>
        <w:t>Arabidopsis</w:t>
      </w:r>
      <w:r w:rsidRPr="005C45F6">
        <w:t xml:space="preserve"> innate immunity. Nature </w:t>
      </w:r>
      <w:r w:rsidRPr="005C45F6">
        <w:rPr>
          <w:b/>
        </w:rPr>
        <w:t>415</w:t>
      </w:r>
      <w:r w:rsidRPr="00621A3F">
        <w:rPr>
          <w:b/>
        </w:rPr>
        <w:t>:</w:t>
      </w:r>
      <w:r w:rsidRPr="005C45F6">
        <w:t xml:space="preserve"> 977-983.</w:t>
      </w:r>
    </w:p>
    <w:p w:rsidR="005C45F6" w:rsidRPr="005C45F6" w:rsidRDefault="005C45F6" w:rsidP="00773890">
      <w:pPr>
        <w:jc w:val="both"/>
        <w:rPr>
          <w:lang w:val="en-US"/>
        </w:rPr>
      </w:pPr>
      <w:proofErr w:type="gramStart"/>
      <w:r w:rsidRPr="00E0008D">
        <w:rPr>
          <w:b/>
          <w:lang w:val="en-US"/>
        </w:rPr>
        <w:t>Attaran, E., Zeier, T.E., Griebel, T., and Zeier, J.</w:t>
      </w:r>
      <w:r w:rsidRPr="00E0008D">
        <w:rPr>
          <w:lang w:val="en-US"/>
        </w:rPr>
        <w:t xml:space="preserve"> (2009).</w:t>
      </w:r>
      <w:proofErr w:type="gramEnd"/>
      <w:r w:rsidRPr="00E0008D">
        <w:rPr>
          <w:lang w:val="en-US"/>
        </w:rPr>
        <w:t xml:space="preserve"> </w:t>
      </w:r>
      <w:r w:rsidRPr="005C45F6">
        <w:rPr>
          <w:lang w:val="en-US"/>
        </w:rPr>
        <w:t xml:space="preserve">Methyl Salicylate Production and Jasmonate Signaling Are Not Essential for Systemic Acquired Resistance in </w:t>
      </w:r>
      <w:r w:rsidRPr="005C45F6">
        <w:rPr>
          <w:i/>
          <w:lang w:val="en-US"/>
        </w:rPr>
        <w:t xml:space="preserve">Arabidopsis. </w:t>
      </w:r>
      <w:r w:rsidRPr="005C45F6">
        <w:rPr>
          <w:lang w:val="en-US"/>
        </w:rPr>
        <w:t xml:space="preserve">The Plant Cell </w:t>
      </w:r>
      <w:r w:rsidRPr="005C45F6">
        <w:rPr>
          <w:b/>
          <w:lang w:val="en-US"/>
        </w:rPr>
        <w:t>21</w:t>
      </w:r>
      <w:r w:rsidRPr="00621A3F">
        <w:rPr>
          <w:b/>
          <w:lang w:val="en-US"/>
        </w:rPr>
        <w:t>:</w:t>
      </w:r>
      <w:r w:rsidRPr="005C45F6">
        <w:rPr>
          <w:lang w:val="en-US"/>
        </w:rPr>
        <w:t xml:space="preserve"> 954–971.</w:t>
      </w:r>
    </w:p>
    <w:p w:rsidR="005C45F6" w:rsidRPr="005C45F6" w:rsidRDefault="005C45F6" w:rsidP="00773890">
      <w:pPr>
        <w:jc w:val="both"/>
      </w:pPr>
      <w:proofErr w:type="gramStart"/>
      <w:r w:rsidRPr="005C45F6">
        <w:rPr>
          <w:b/>
        </w:rPr>
        <w:t xml:space="preserve">Axtell, M.J. and Staskawicz, B.J. </w:t>
      </w:r>
      <w:r w:rsidRPr="005C45F6">
        <w:t>(2003).</w:t>
      </w:r>
      <w:proofErr w:type="gramEnd"/>
      <w:r w:rsidRPr="005C45F6">
        <w:t xml:space="preserve"> Initiation of </w:t>
      </w:r>
      <w:r w:rsidRPr="005C45F6">
        <w:rPr>
          <w:i/>
        </w:rPr>
        <w:t>RPS2</w:t>
      </w:r>
      <w:r w:rsidRPr="005C45F6">
        <w:t xml:space="preserve">-Specified Disease Resistance in </w:t>
      </w:r>
      <w:r w:rsidRPr="005C45F6">
        <w:rPr>
          <w:i/>
        </w:rPr>
        <w:t>Arabidopsis</w:t>
      </w:r>
      <w:r w:rsidRPr="005C45F6">
        <w:t xml:space="preserve"> Is Coupled to the AvrRpt2-Directed Elimination of RIN4. Cell </w:t>
      </w:r>
      <w:r w:rsidRPr="005C45F6">
        <w:rPr>
          <w:b/>
        </w:rPr>
        <w:t>112</w:t>
      </w:r>
      <w:r w:rsidRPr="00621A3F">
        <w:rPr>
          <w:b/>
        </w:rPr>
        <w:t>:</w:t>
      </w:r>
      <w:r w:rsidRPr="005C45F6">
        <w:t xml:space="preserve"> 369–377. </w:t>
      </w:r>
    </w:p>
    <w:p w:rsidR="005C45F6" w:rsidRPr="005C45F6" w:rsidRDefault="005C45F6" w:rsidP="00773890">
      <w:pPr>
        <w:jc w:val="both"/>
      </w:pPr>
      <w:r w:rsidRPr="005C45F6">
        <w:rPr>
          <w:b/>
        </w:rPr>
        <w:t xml:space="preserve">Bartsch, M., Gobbato, E., Bednarek, P., Debey, S., Schultze, J.L., Bautor, J., and Parker, J.E. </w:t>
      </w:r>
      <w:r w:rsidRPr="005C45F6">
        <w:t xml:space="preserve">(2006). Salicylic Acid–Independent ENHANCED DISEASE SUSCEPTIBILITY1 Signaling in </w:t>
      </w:r>
      <w:r w:rsidRPr="005C45F6">
        <w:rPr>
          <w:i/>
        </w:rPr>
        <w:t>Arabidopsis</w:t>
      </w:r>
      <w:r w:rsidR="00621A3F">
        <w:t xml:space="preserve"> Immunity </w:t>
      </w:r>
      <w:r w:rsidRPr="005C45F6">
        <w:t xml:space="preserve">and Cell Death Is Regulated by the Monooxygenase </w:t>
      </w:r>
      <w:r w:rsidRPr="005C45F6">
        <w:rPr>
          <w:i/>
        </w:rPr>
        <w:t>FMO1</w:t>
      </w:r>
      <w:r w:rsidRPr="005C45F6">
        <w:t xml:space="preserve"> and the Nudix Hydrolase </w:t>
      </w:r>
      <w:r w:rsidRPr="005C45F6">
        <w:rPr>
          <w:i/>
        </w:rPr>
        <w:t xml:space="preserve">NUDT7. </w:t>
      </w:r>
      <w:r w:rsidRPr="005C45F6">
        <w:t xml:space="preserve">The Plant Cell </w:t>
      </w:r>
      <w:r w:rsidRPr="005C45F6">
        <w:rPr>
          <w:b/>
        </w:rPr>
        <w:t>18</w:t>
      </w:r>
      <w:r w:rsidRPr="00621A3F">
        <w:rPr>
          <w:b/>
        </w:rPr>
        <w:t xml:space="preserve">: </w:t>
      </w:r>
      <w:r w:rsidRPr="005C45F6">
        <w:t>1038–1051.</w:t>
      </w:r>
    </w:p>
    <w:p w:rsidR="005C45F6" w:rsidRDefault="005C45F6" w:rsidP="00773890">
      <w:pPr>
        <w:jc w:val="both"/>
        <w:rPr>
          <w:bCs/>
          <w:lang w:val="en-US"/>
        </w:rPr>
      </w:pPr>
      <w:r w:rsidRPr="005C45F6">
        <w:rPr>
          <w:b/>
        </w:rPr>
        <w:t>Baulcombe, D.</w:t>
      </w:r>
      <w:r w:rsidRPr="005C45F6">
        <w:t xml:space="preserve"> (2013). </w:t>
      </w:r>
      <w:r w:rsidRPr="005C45F6">
        <w:rPr>
          <w:bCs/>
          <w:lang w:val="en-US"/>
        </w:rPr>
        <w:t xml:space="preserve">Small RNA—the Secret of Noble Rot. Science </w:t>
      </w:r>
      <w:r w:rsidRPr="005C45F6">
        <w:rPr>
          <w:b/>
          <w:bCs/>
          <w:lang w:val="en-US"/>
        </w:rPr>
        <w:t>342</w:t>
      </w:r>
      <w:r w:rsidRPr="00621A3F">
        <w:rPr>
          <w:b/>
          <w:bCs/>
          <w:lang w:val="en-US"/>
        </w:rPr>
        <w:t>:</w:t>
      </w:r>
      <w:r w:rsidRPr="005C45F6">
        <w:rPr>
          <w:bCs/>
          <w:lang w:val="en-US"/>
        </w:rPr>
        <w:t xml:space="preserve"> 45-46.</w:t>
      </w:r>
    </w:p>
    <w:p w:rsidR="003C4399" w:rsidRPr="005C45F6" w:rsidRDefault="003C4399" w:rsidP="00773890">
      <w:pPr>
        <w:jc w:val="both"/>
        <w:rPr>
          <w:bCs/>
          <w:lang w:val="en-US"/>
        </w:rPr>
      </w:pPr>
      <w:r w:rsidRPr="00E95528">
        <w:rPr>
          <w:b/>
          <w:bCs/>
          <w:lang w:val="en-US"/>
        </w:rPr>
        <w:lastRenderedPageBreak/>
        <w:t>Baxter, L., Tripathy, S., Ishaque, N., Boot, N., Cabral, A., Kemen, E., Thines, M., Ah-Fong, A., Anderson, R., Badejoko, W., Bittner-Eddy, P., Boore, J.L., Chibucos, M.C., Coates, M., Dehal, P., Delehaunty, K., Dong, S., Downton, P., Dumas, B., Fabro, G., Fronick, C., Fuerstenberg, S.I., Fulton, L., Gaulin, E., Govers, F., Hughes, L., Humphray, S., Jiang, R.H.Y., Judelson, H., Kamoun, S., Kyung, K., Meijer, H., Minx, P., Morris, P., Nelson, J., Phuntumart, V., Qutob, D., Rehmany, A., Rougon-Cardoso, A., Ryden, P.,</w:t>
      </w:r>
      <w:r w:rsidR="00E95528" w:rsidRPr="00E95528">
        <w:rPr>
          <w:b/>
          <w:bCs/>
          <w:lang w:val="en-US"/>
        </w:rPr>
        <w:t xml:space="preserve"> </w:t>
      </w:r>
      <w:r w:rsidRPr="00E95528">
        <w:rPr>
          <w:b/>
          <w:bCs/>
          <w:lang w:val="en-US"/>
        </w:rPr>
        <w:t>Torto-Alalibo</w:t>
      </w:r>
      <w:r w:rsidR="00E95528" w:rsidRPr="00E95528">
        <w:rPr>
          <w:b/>
          <w:bCs/>
          <w:lang w:val="en-US"/>
        </w:rPr>
        <w:t xml:space="preserve">, T., Studholme, D., </w:t>
      </w:r>
      <w:r w:rsidRPr="00E95528">
        <w:rPr>
          <w:b/>
          <w:bCs/>
          <w:lang w:val="en-US"/>
        </w:rPr>
        <w:t>Wang,</w:t>
      </w:r>
      <w:r w:rsidR="00E95528" w:rsidRPr="00E95528">
        <w:rPr>
          <w:b/>
          <w:bCs/>
          <w:lang w:val="en-US"/>
        </w:rPr>
        <w:t xml:space="preserve"> Y., </w:t>
      </w:r>
      <w:r w:rsidRPr="00E95528">
        <w:rPr>
          <w:b/>
          <w:bCs/>
          <w:lang w:val="en-US"/>
        </w:rPr>
        <w:t>Win,</w:t>
      </w:r>
      <w:r w:rsidR="00E95528" w:rsidRPr="00E95528">
        <w:rPr>
          <w:b/>
          <w:bCs/>
          <w:lang w:val="en-US"/>
        </w:rPr>
        <w:t xml:space="preserve"> J., </w:t>
      </w:r>
      <w:r w:rsidRPr="00E95528">
        <w:rPr>
          <w:b/>
          <w:bCs/>
          <w:lang w:val="en-US"/>
        </w:rPr>
        <w:t>Wood, J.,</w:t>
      </w:r>
      <w:r w:rsidR="00E95528" w:rsidRPr="00E95528">
        <w:rPr>
          <w:b/>
          <w:bCs/>
          <w:lang w:val="en-US"/>
        </w:rPr>
        <w:t xml:space="preserve"> </w:t>
      </w:r>
      <w:r w:rsidRPr="00E95528">
        <w:rPr>
          <w:b/>
          <w:bCs/>
          <w:lang w:val="en-US"/>
        </w:rPr>
        <w:t xml:space="preserve">Clifton, S.W., </w:t>
      </w:r>
      <w:r w:rsidR="00E95528" w:rsidRPr="00E95528">
        <w:rPr>
          <w:b/>
          <w:bCs/>
          <w:lang w:val="en-US"/>
        </w:rPr>
        <w:t xml:space="preserve">Rogers, J., </w:t>
      </w:r>
      <w:r w:rsidRPr="00E95528">
        <w:rPr>
          <w:b/>
          <w:bCs/>
          <w:lang w:val="en-US"/>
        </w:rPr>
        <w:t>Van den Ackerveken,</w:t>
      </w:r>
      <w:r w:rsidR="00E95528" w:rsidRPr="00E95528">
        <w:rPr>
          <w:b/>
          <w:bCs/>
          <w:lang w:val="en-US"/>
        </w:rPr>
        <w:t xml:space="preserve"> G., </w:t>
      </w:r>
      <w:r w:rsidRPr="00E95528">
        <w:rPr>
          <w:b/>
          <w:bCs/>
          <w:lang w:val="en-US"/>
        </w:rPr>
        <w:t>Jones, J.D.G.,</w:t>
      </w:r>
      <w:r w:rsidR="00E95528" w:rsidRPr="00E95528">
        <w:rPr>
          <w:b/>
          <w:bCs/>
          <w:lang w:val="en-US"/>
        </w:rPr>
        <w:t xml:space="preserve"> McDowell, J.M., Beynon, J., and </w:t>
      </w:r>
      <w:r w:rsidRPr="00E95528">
        <w:rPr>
          <w:b/>
          <w:bCs/>
          <w:lang w:val="en-US"/>
        </w:rPr>
        <w:t>Tyler, B.M.</w:t>
      </w:r>
      <w:r w:rsidR="00E95528">
        <w:rPr>
          <w:bCs/>
          <w:lang w:val="en-US"/>
        </w:rPr>
        <w:t xml:space="preserve"> (2010). </w:t>
      </w:r>
      <w:proofErr w:type="gramStart"/>
      <w:r w:rsidR="00E95528" w:rsidRPr="00E95528">
        <w:rPr>
          <w:bCs/>
          <w:lang w:val="en-US"/>
        </w:rPr>
        <w:t>Signatures of adaptati</w:t>
      </w:r>
      <w:r w:rsidR="00E95528">
        <w:rPr>
          <w:bCs/>
          <w:lang w:val="en-US"/>
        </w:rPr>
        <w:t xml:space="preserve">on to obligate biotrophy in the </w:t>
      </w:r>
      <w:r w:rsidR="00E95528" w:rsidRPr="00E95528">
        <w:rPr>
          <w:bCs/>
          <w:i/>
          <w:lang w:val="en-US"/>
        </w:rPr>
        <w:t>Hyaloperonospora arabidopsidis</w:t>
      </w:r>
      <w:r w:rsidR="00E95528" w:rsidRPr="00E95528">
        <w:rPr>
          <w:bCs/>
          <w:lang w:val="en-US"/>
        </w:rPr>
        <w:t xml:space="preserve"> genome</w:t>
      </w:r>
      <w:r w:rsidR="00E95528">
        <w:rPr>
          <w:bCs/>
          <w:lang w:val="en-US"/>
        </w:rPr>
        <w:t>.</w:t>
      </w:r>
      <w:proofErr w:type="gramEnd"/>
      <w:r w:rsidR="00E95528">
        <w:rPr>
          <w:bCs/>
          <w:lang w:val="en-US"/>
        </w:rPr>
        <w:t xml:space="preserve"> Science </w:t>
      </w:r>
      <w:r w:rsidR="00E95528" w:rsidRPr="00E95528">
        <w:rPr>
          <w:b/>
          <w:bCs/>
          <w:lang w:val="en-US"/>
        </w:rPr>
        <w:t>330:</w:t>
      </w:r>
      <w:r w:rsidR="00E95528">
        <w:rPr>
          <w:bCs/>
          <w:lang w:val="en-US"/>
        </w:rPr>
        <w:t xml:space="preserve"> </w:t>
      </w:r>
      <w:r w:rsidR="00E95528" w:rsidRPr="00E95528">
        <w:rPr>
          <w:bCs/>
          <w:lang w:val="en-US"/>
        </w:rPr>
        <w:t>1549–1551</w:t>
      </w:r>
      <w:r w:rsidR="00E95528">
        <w:rPr>
          <w:bCs/>
          <w:lang w:val="en-US"/>
        </w:rPr>
        <w:t>.</w:t>
      </w:r>
    </w:p>
    <w:p w:rsidR="005C45F6" w:rsidRPr="005C45F6" w:rsidRDefault="005C45F6" w:rsidP="00773890">
      <w:pPr>
        <w:jc w:val="both"/>
      </w:pPr>
      <w:proofErr w:type="gramStart"/>
      <w:r w:rsidRPr="00D7622D">
        <w:rPr>
          <w:b/>
        </w:rPr>
        <w:t>B</w:t>
      </w:r>
      <w:r w:rsidRPr="005C45F6">
        <w:rPr>
          <w:b/>
        </w:rPr>
        <w:t>eckers, G. J.M., Jaskiewicz, M., Liu, Y., Underwood, W.R., He, S.Y., Zhang, S., and Conrath, U</w:t>
      </w:r>
      <w:r w:rsidRPr="00621A3F">
        <w:rPr>
          <w:b/>
        </w:rPr>
        <w:t>.</w:t>
      </w:r>
      <w:r w:rsidRPr="005C45F6">
        <w:t xml:space="preserve"> (2009).</w:t>
      </w:r>
      <w:proofErr w:type="gramEnd"/>
      <w:r w:rsidRPr="005C45F6">
        <w:t xml:space="preserve"> Mitogen-Activated Protein Kinases 3 and 6 </w:t>
      </w:r>
      <w:proofErr w:type="gramStart"/>
      <w:r w:rsidRPr="005C45F6">
        <w:t>Are</w:t>
      </w:r>
      <w:proofErr w:type="gramEnd"/>
      <w:r w:rsidRPr="005C45F6">
        <w:t xml:space="preserve"> Required for Full Priming of Stress Responses in </w:t>
      </w:r>
      <w:r w:rsidRPr="005C45F6">
        <w:rPr>
          <w:i/>
        </w:rPr>
        <w:t>Arabidopsis thaliana</w:t>
      </w:r>
      <w:r w:rsidRPr="005C45F6">
        <w:t xml:space="preserve">. The Plant Cell </w:t>
      </w:r>
      <w:r w:rsidRPr="005C45F6">
        <w:rPr>
          <w:b/>
        </w:rPr>
        <w:t>21</w:t>
      </w:r>
      <w:r w:rsidRPr="00621A3F">
        <w:rPr>
          <w:b/>
        </w:rPr>
        <w:t>:</w:t>
      </w:r>
      <w:r w:rsidRPr="005C45F6">
        <w:t xml:space="preserve"> 944–953.</w:t>
      </w:r>
    </w:p>
    <w:p w:rsidR="005C45F6" w:rsidRPr="005C45F6" w:rsidRDefault="005C45F6" w:rsidP="00773890">
      <w:pPr>
        <w:jc w:val="both"/>
      </w:pPr>
      <w:r w:rsidRPr="005C45F6">
        <w:rPr>
          <w:b/>
        </w:rPr>
        <w:t xml:space="preserve">Bednarek, P., Piślewska-Bednarek, M., Svatoš, A., Schneider, B., Doubský, J., Mansurova, M., Humphry, M., Consonni, C., Panstruga, R., Sanchez-Vallet, A., Molina, A., </w:t>
      </w:r>
      <w:proofErr w:type="gramStart"/>
      <w:r w:rsidRPr="005C45F6">
        <w:rPr>
          <w:b/>
        </w:rPr>
        <w:t>and  Paul</w:t>
      </w:r>
      <w:proofErr w:type="gramEnd"/>
      <w:r w:rsidRPr="005C45F6">
        <w:rPr>
          <w:b/>
        </w:rPr>
        <w:t xml:space="preserve"> Schulze-Lefert, P.</w:t>
      </w:r>
      <w:r w:rsidRPr="005C45F6">
        <w:t xml:space="preserve"> (2009). A Glucosinolate Metabolism Pathway in Living Plant Cells Mediates Broad-Spectrum Antifungal Defense. Science </w:t>
      </w:r>
      <w:r w:rsidRPr="005C45F6">
        <w:rPr>
          <w:b/>
        </w:rPr>
        <w:t>323</w:t>
      </w:r>
      <w:r w:rsidRPr="00621A3F">
        <w:rPr>
          <w:b/>
        </w:rPr>
        <w:t>:</w:t>
      </w:r>
      <w:r w:rsidRPr="005C45F6">
        <w:t xml:space="preserve"> 101-106.</w:t>
      </w:r>
    </w:p>
    <w:p w:rsidR="005C45F6" w:rsidRPr="005C45F6" w:rsidRDefault="005C45F6" w:rsidP="00773890">
      <w:pPr>
        <w:jc w:val="both"/>
      </w:pPr>
      <w:proofErr w:type="gramStart"/>
      <w:r w:rsidRPr="005C45F6">
        <w:rPr>
          <w:b/>
        </w:rPr>
        <w:t>Bender, C.L., Alarcón-Chaidez, F., and Gross, D.</w:t>
      </w:r>
      <w:r w:rsidRPr="005C45F6">
        <w:t xml:space="preserve"> (1999).</w:t>
      </w:r>
      <w:proofErr w:type="gramEnd"/>
      <w:r w:rsidRPr="005C45F6">
        <w:t xml:space="preserve"> </w:t>
      </w:r>
      <w:r w:rsidRPr="00E9137B">
        <w:rPr>
          <w:i/>
        </w:rPr>
        <w:t>Pseudomonas syringae</w:t>
      </w:r>
      <w:r w:rsidRPr="005C45F6">
        <w:t xml:space="preserve"> Phytotoxins: Mode of Action, Regulation, and Biosynthesis by Peptide and Polyketide Synthetases. MICROBIOLOGY AND MOLECULAR BIOLOGY REVIEWS </w:t>
      </w:r>
      <w:r w:rsidRPr="005C45F6">
        <w:rPr>
          <w:b/>
        </w:rPr>
        <w:t>63</w:t>
      </w:r>
      <w:r w:rsidRPr="00E9137B">
        <w:rPr>
          <w:b/>
        </w:rPr>
        <w:t>:</w:t>
      </w:r>
      <w:r w:rsidRPr="005C45F6">
        <w:t xml:space="preserve"> 266–292. </w:t>
      </w:r>
    </w:p>
    <w:p w:rsidR="005C45F6" w:rsidRPr="005C45F6" w:rsidRDefault="005C45F6" w:rsidP="00773890">
      <w:pPr>
        <w:jc w:val="both"/>
      </w:pPr>
      <w:proofErr w:type="gramStart"/>
      <w:r w:rsidRPr="005C45F6">
        <w:rPr>
          <w:b/>
        </w:rPr>
        <w:t>Birch, P.R.J., Rehmany, A.P., Pritchard, L., Kamoun, S., and Beynon, J.L.</w:t>
      </w:r>
      <w:r w:rsidRPr="005C45F6">
        <w:t xml:space="preserve"> (2006).</w:t>
      </w:r>
      <w:proofErr w:type="gramEnd"/>
      <w:r w:rsidRPr="005C45F6">
        <w:t xml:space="preserve"> Trafficking arms: oomycete effectors enter host plant cells. TRENDS in Microbiology </w:t>
      </w:r>
      <w:r w:rsidRPr="005C45F6">
        <w:rPr>
          <w:b/>
        </w:rPr>
        <w:t>14</w:t>
      </w:r>
      <w:r w:rsidRPr="00E9137B">
        <w:rPr>
          <w:b/>
        </w:rPr>
        <w:t>:</w:t>
      </w:r>
      <w:r w:rsidRPr="005C45F6">
        <w:t xml:space="preserve"> 8-11.</w:t>
      </w:r>
    </w:p>
    <w:p w:rsidR="005C45F6" w:rsidRPr="005C45F6" w:rsidRDefault="005C45F6" w:rsidP="00773890">
      <w:pPr>
        <w:jc w:val="both"/>
      </w:pPr>
      <w:proofErr w:type="gramStart"/>
      <w:r w:rsidRPr="005C45F6">
        <w:rPr>
          <w:b/>
        </w:rPr>
        <w:t>Birch, P.R.J., Boevink, P.C., Gilroy, E.M., Hein, I., Pritchard, L., and Whisson, S.C.</w:t>
      </w:r>
      <w:r w:rsidRPr="005C45F6">
        <w:t xml:space="preserve"> (2008).</w:t>
      </w:r>
      <w:proofErr w:type="gramEnd"/>
      <w:r w:rsidRPr="005C45F6">
        <w:t xml:space="preserve"> Oomycete RXLR effectors: delivery, functional redundancy and durable disease resistance. Current Opinion in Plant Biology </w:t>
      </w:r>
      <w:r w:rsidRPr="005C45F6">
        <w:rPr>
          <w:b/>
        </w:rPr>
        <w:t>11</w:t>
      </w:r>
      <w:r w:rsidRPr="00E9137B">
        <w:rPr>
          <w:b/>
        </w:rPr>
        <w:t>:</w:t>
      </w:r>
      <w:r w:rsidRPr="005C45F6">
        <w:t xml:space="preserve"> 373–379.</w:t>
      </w:r>
    </w:p>
    <w:p w:rsidR="005C45F6" w:rsidRPr="005C45F6" w:rsidRDefault="005C45F6" w:rsidP="00773890">
      <w:pPr>
        <w:jc w:val="both"/>
      </w:pPr>
      <w:proofErr w:type="gramStart"/>
      <w:r w:rsidRPr="005C45F6">
        <w:rPr>
          <w:b/>
        </w:rPr>
        <w:t>Block,</w:t>
      </w:r>
      <w:proofErr w:type="gramEnd"/>
      <w:r w:rsidRPr="005C45F6">
        <w:rPr>
          <w:b/>
        </w:rPr>
        <w:t xml:space="preserve"> A., Toruño, T.Y., Elowsky, C.G., Zhang, C., Steinbrenner, J., Beynon, J., and Alfano, J.R.</w:t>
      </w:r>
      <w:r w:rsidRPr="005C45F6">
        <w:t xml:space="preserve"> (2013). The </w:t>
      </w:r>
      <w:r w:rsidRPr="005C45F6">
        <w:rPr>
          <w:i/>
        </w:rPr>
        <w:t>Pseudomonas syringae</w:t>
      </w:r>
      <w:r w:rsidRPr="005C45F6">
        <w:t xml:space="preserve"> type III effector HopD1 suppresses effector-triggered immunity, localizes to the endoplasmic reticulum, and targets the Arabidopsis transcription factor NTL9. New Phytologist </w:t>
      </w:r>
      <w:r w:rsidRPr="005C45F6">
        <w:rPr>
          <w:b/>
        </w:rPr>
        <w:t>201</w:t>
      </w:r>
      <w:r w:rsidRPr="00E9137B">
        <w:rPr>
          <w:b/>
        </w:rPr>
        <w:t>:</w:t>
      </w:r>
      <w:r w:rsidRPr="005C45F6">
        <w:t xml:space="preserve"> 1358-1370.</w:t>
      </w:r>
    </w:p>
    <w:p w:rsidR="005C45F6" w:rsidRPr="005C45F6" w:rsidRDefault="005C45F6" w:rsidP="00773890">
      <w:pPr>
        <w:jc w:val="both"/>
        <w:rPr>
          <w:lang w:val="en-US"/>
        </w:rPr>
      </w:pPr>
      <w:proofErr w:type="gramStart"/>
      <w:r w:rsidRPr="005C45F6">
        <w:rPr>
          <w:b/>
        </w:rPr>
        <w:t>Boller, T. and Felix, G.</w:t>
      </w:r>
      <w:r w:rsidRPr="005C45F6">
        <w:t xml:space="preserve"> (2009).</w:t>
      </w:r>
      <w:proofErr w:type="gramEnd"/>
      <w:r w:rsidRPr="005C45F6">
        <w:t xml:space="preserve"> </w:t>
      </w:r>
      <w:r w:rsidRPr="005C45F6">
        <w:rPr>
          <w:lang w:val="en-US"/>
        </w:rPr>
        <w:t xml:space="preserve">A Renaissance of Elicitors: Perception of Microbe-Associated Molecular Patterns and Danger Signals by Pattern-Recognition Receptors. </w:t>
      </w:r>
      <w:proofErr w:type="gramStart"/>
      <w:r w:rsidRPr="005C45F6">
        <w:rPr>
          <w:lang w:val="en-US"/>
        </w:rPr>
        <w:t>Annu.</w:t>
      </w:r>
      <w:proofErr w:type="gramEnd"/>
      <w:r w:rsidRPr="005C45F6">
        <w:rPr>
          <w:lang w:val="en-US"/>
        </w:rPr>
        <w:t xml:space="preserve"> Rev. Plant Biol. </w:t>
      </w:r>
      <w:r w:rsidRPr="005C45F6">
        <w:rPr>
          <w:b/>
          <w:lang w:val="en-US"/>
        </w:rPr>
        <w:t>60</w:t>
      </w:r>
      <w:r w:rsidRPr="00E9137B">
        <w:rPr>
          <w:b/>
          <w:lang w:val="en-US"/>
        </w:rPr>
        <w:t>:</w:t>
      </w:r>
      <w:r w:rsidRPr="005C45F6">
        <w:rPr>
          <w:lang w:val="en-US"/>
        </w:rPr>
        <w:t xml:space="preserve"> 379–406.</w:t>
      </w:r>
    </w:p>
    <w:p w:rsidR="005C45F6" w:rsidRPr="005C45F6" w:rsidRDefault="005C45F6" w:rsidP="00773890">
      <w:pPr>
        <w:jc w:val="both"/>
        <w:rPr>
          <w:bCs/>
          <w:iCs/>
        </w:rPr>
      </w:pPr>
      <w:proofErr w:type="gramStart"/>
      <w:r w:rsidRPr="005C45F6">
        <w:rPr>
          <w:b/>
          <w:bCs/>
        </w:rPr>
        <w:t>Böttcher, C., Chapman, A., Fellermeier, F., Choudhary, M., Scheel, D., and Glawischnig, E.</w:t>
      </w:r>
      <w:r w:rsidRPr="005C45F6">
        <w:rPr>
          <w:bCs/>
        </w:rPr>
        <w:t xml:space="preserve"> (2014).</w:t>
      </w:r>
      <w:proofErr w:type="gramEnd"/>
      <w:r w:rsidRPr="005C45F6">
        <w:rPr>
          <w:bCs/>
        </w:rPr>
        <w:t xml:space="preserve"> </w:t>
      </w:r>
      <w:proofErr w:type="gramStart"/>
      <w:r w:rsidRPr="005C45F6">
        <w:rPr>
          <w:bCs/>
        </w:rPr>
        <w:t xml:space="preserve">The biosynthetic pathway of indole-3-carbaldehyde and indole-3-carboxylic acid derivatives in </w:t>
      </w:r>
      <w:r w:rsidRPr="005C45F6">
        <w:rPr>
          <w:bCs/>
          <w:i/>
          <w:iCs/>
        </w:rPr>
        <w:t>Arabidopsis thaliana</w:t>
      </w:r>
      <w:r w:rsidRPr="005C45F6">
        <w:rPr>
          <w:bCs/>
        </w:rPr>
        <w:t>.</w:t>
      </w:r>
      <w:proofErr w:type="gramEnd"/>
      <w:r w:rsidRPr="005C45F6">
        <w:rPr>
          <w:bCs/>
        </w:rPr>
        <w:t xml:space="preserve"> </w:t>
      </w:r>
      <w:r w:rsidRPr="005C45F6">
        <w:rPr>
          <w:bCs/>
          <w:iCs/>
        </w:rPr>
        <w:t xml:space="preserve">Plant Physiol. </w:t>
      </w:r>
      <w:r w:rsidRPr="005C45F6">
        <w:rPr>
          <w:b/>
          <w:bCs/>
          <w:iCs/>
        </w:rPr>
        <w:t>165:</w:t>
      </w:r>
      <w:r w:rsidRPr="005C45F6">
        <w:rPr>
          <w:bCs/>
          <w:iCs/>
        </w:rPr>
        <w:t xml:space="preserve"> 841-853.</w:t>
      </w:r>
    </w:p>
    <w:p w:rsidR="005C45F6" w:rsidRPr="005C45F6" w:rsidRDefault="005C45F6" w:rsidP="00773890">
      <w:pPr>
        <w:jc w:val="both"/>
      </w:pPr>
      <w:r w:rsidRPr="005C45F6">
        <w:rPr>
          <w:b/>
          <w:bCs/>
        </w:rPr>
        <w:t xml:space="preserve">Bradford, M. M. </w:t>
      </w:r>
      <w:r w:rsidRPr="005C45F6">
        <w:rPr>
          <w:bCs/>
        </w:rPr>
        <w:t>(1976).</w:t>
      </w:r>
      <w:r w:rsidRPr="005C45F6">
        <w:rPr>
          <w:b/>
          <w:bCs/>
        </w:rPr>
        <w:t xml:space="preserve"> </w:t>
      </w:r>
      <w:r w:rsidRPr="005C45F6">
        <w:t xml:space="preserve">A rapid and sensitive method for the quantitation of microgram quantities of protein utilizing the principle of protein - dye binding. Analytical Biochemistry </w:t>
      </w:r>
      <w:r w:rsidRPr="005C45F6">
        <w:rPr>
          <w:b/>
        </w:rPr>
        <w:t>72</w:t>
      </w:r>
      <w:r w:rsidRPr="00E9137B">
        <w:rPr>
          <w:b/>
        </w:rPr>
        <w:t>:</w:t>
      </w:r>
      <w:r w:rsidRPr="005C45F6">
        <w:t xml:space="preserve"> 248 – 254.</w:t>
      </w:r>
    </w:p>
    <w:p w:rsidR="005C45F6" w:rsidRDefault="005C45F6" w:rsidP="00773890">
      <w:pPr>
        <w:jc w:val="both"/>
      </w:pPr>
      <w:r w:rsidRPr="005C45F6">
        <w:rPr>
          <w:b/>
        </w:rPr>
        <w:t>Bruce, T.J.A., Matthes, M.C., Napier, J.A., and Pickett, J.A</w:t>
      </w:r>
      <w:r w:rsidRPr="00E9137B">
        <w:rPr>
          <w:b/>
        </w:rPr>
        <w:t xml:space="preserve">. </w:t>
      </w:r>
      <w:r w:rsidRPr="005C45F6">
        <w:t xml:space="preserve">(2007) Stressful ‘‘memories’’ of plants: Evidence and possible mechanisms. Plant Science </w:t>
      </w:r>
      <w:r w:rsidRPr="005C45F6">
        <w:rPr>
          <w:b/>
        </w:rPr>
        <w:t>173</w:t>
      </w:r>
      <w:r w:rsidRPr="00E9137B">
        <w:rPr>
          <w:b/>
        </w:rPr>
        <w:t>:</w:t>
      </w:r>
      <w:r w:rsidRPr="005C45F6">
        <w:t xml:space="preserve"> 603–608.</w:t>
      </w:r>
    </w:p>
    <w:p w:rsidR="00D7622D" w:rsidRDefault="00D7622D" w:rsidP="00773890">
      <w:pPr>
        <w:jc w:val="both"/>
        <w:rPr>
          <w:lang w:val="en-US"/>
        </w:rPr>
      </w:pPr>
      <w:proofErr w:type="gramStart"/>
      <w:r w:rsidRPr="00D7622D">
        <w:rPr>
          <w:b/>
          <w:lang w:val="en-US"/>
        </w:rPr>
        <w:lastRenderedPageBreak/>
        <w:t>Caillaud, M.-C., Asai, S., Rallapalli, G., Piquerez, S., Fabro, G., and Jones, J.D.G.</w:t>
      </w:r>
      <w:r>
        <w:rPr>
          <w:lang w:val="en-US"/>
        </w:rPr>
        <w:t xml:space="preserve"> (2013).</w:t>
      </w:r>
      <w:proofErr w:type="gramEnd"/>
      <w:r>
        <w:rPr>
          <w:lang w:val="en-US"/>
        </w:rPr>
        <w:t xml:space="preserve"> </w:t>
      </w:r>
      <w:r w:rsidRPr="00D7622D">
        <w:rPr>
          <w:lang w:val="en-US"/>
        </w:rPr>
        <w:t>A Downy Mildew Effe</w:t>
      </w:r>
      <w:r>
        <w:rPr>
          <w:lang w:val="en-US"/>
        </w:rPr>
        <w:t>ctor Attenuates Salicylic Acid–</w:t>
      </w:r>
      <w:r w:rsidRPr="00D7622D">
        <w:rPr>
          <w:lang w:val="en-US"/>
        </w:rPr>
        <w:t>Triggered Immunity in Arabidopsis by Interacting with</w:t>
      </w:r>
      <w:r>
        <w:rPr>
          <w:lang w:val="en-US"/>
        </w:rPr>
        <w:t xml:space="preserve"> </w:t>
      </w:r>
      <w:r w:rsidRPr="00D7622D">
        <w:rPr>
          <w:lang w:val="en-US"/>
        </w:rPr>
        <w:t>the Host Mediator Complex</w:t>
      </w:r>
      <w:r>
        <w:rPr>
          <w:lang w:val="en-US"/>
        </w:rPr>
        <w:t xml:space="preserve">. </w:t>
      </w:r>
      <w:r w:rsidRPr="00981B76">
        <w:rPr>
          <w:lang w:val="en-US"/>
        </w:rPr>
        <w:t xml:space="preserve">PLoS Biol </w:t>
      </w:r>
      <w:r w:rsidRPr="00981B76">
        <w:rPr>
          <w:b/>
          <w:lang w:val="en-US"/>
        </w:rPr>
        <w:t xml:space="preserve">11: </w:t>
      </w:r>
      <w:r w:rsidRPr="00981B76">
        <w:rPr>
          <w:lang w:val="en-US"/>
        </w:rPr>
        <w:t>e1001732.</w:t>
      </w:r>
    </w:p>
    <w:p w:rsidR="00830B5E" w:rsidRPr="00D7622D" w:rsidRDefault="00830B5E" w:rsidP="00773890">
      <w:pPr>
        <w:jc w:val="both"/>
        <w:rPr>
          <w:lang w:val="en-US"/>
        </w:rPr>
      </w:pPr>
      <w:r w:rsidRPr="00830B5E">
        <w:rPr>
          <w:b/>
          <w:lang w:val="en-US"/>
        </w:rPr>
        <w:t>Cashman, J.R.</w:t>
      </w:r>
      <w:r w:rsidRPr="00830B5E">
        <w:rPr>
          <w:lang w:val="en-US"/>
        </w:rPr>
        <w:t xml:space="preserve"> (2004)</w:t>
      </w:r>
      <w:r>
        <w:rPr>
          <w:lang w:val="en-US"/>
        </w:rPr>
        <w:t>.</w:t>
      </w:r>
      <w:r w:rsidRPr="00830B5E">
        <w:rPr>
          <w:lang w:val="en-US"/>
        </w:rPr>
        <w:t xml:space="preserve"> </w:t>
      </w:r>
      <w:proofErr w:type="gramStart"/>
      <w:r w:rsidRPr="00830B5E">
        <w:rPr>
          <w:lang w:val="en-US"/>
        </w:rPr>
        <w:t>The implication</w:t>
      </w:r>
      <w:r>
        <w:rPr>
          <w:lang w:val="en-US"/>
        </w:rPr>
        <w:t xml:space="preserve">s of polymorphisms in mammalian </w:t>
      </w:r>
      <w:r w:rsidRPr="00830B5E">
        <w:rPr>
          <w:lang w:val="en-US"/>
        </w:rPr>
        <w:t>flavin-containing monooxygenases in drug d</w:t>
      </w:r>
      <w:r>
        <w:rPr>
          <w:lang w:val="en-US"/>
        </w:rPr>
        <w:t xml:space="preserve">iscovery and </w:t>
      </w:r>
      <w:r w:rsidRPr="00830B5E">
        <w:rPr>
          <w:lang w:val="en-US"/>
        </w:rPr>
        <w:t>dev</w:t>
      </w:r>
      <w:r>
        <w:rPr>
          <w:lang w:val="en-US"/>
        </w:rPr>
        <w:t>elopment.</w:t>
      </w:r>
      <w:proofErr w:type="gramEnd"/>
      <w:r>
        <w:rPr>
          <w:lang w:val="en-US"/>
        </w:rPr>
        <w:t xml:space="preserve"> </w:t>
      </w:r>
      <w:proofErr w:type="gramStart"/>
      <w:r>
        <w:rPr>
          <w:lang w:val="en-US"/>
        </w:rPr>
        <w:t>Drug Discov.</w:t>
      </w:r>
      <w:proofErr w:type="gramEnd"/>
      <w:r>
        <w:rPr>
          <w:lang w:val="en-US"/>
        </w:rPr>
        <w:t xml:space="preserve"> Today, </w:t>
      </w:r>
      <w:r w:rsidRPr="00830B5E">
        <w:rPr>
          <w:b/>
          <w:lang w:val="en-US"/>
        </w:rPr>
        <w:t>9:</w:t>
      </w:r>
      <w:r w:rsidRPr="00830B5E">
        <w:rPr>
          <w:lang w:val="en-US"/>
        </w:rPr>
        <w:t xml:space="preserve"> 574–581.</w:t>
      </w:r>
    </w:p>
    <w:p w:rsidR="005C45F6" w:rsidRPr="005C45F6" w:rsidRDefault="005C45F6" w:rsidP="00773890">
      <w:pPr>
        <w:jc w:val="both"/>
        <w:rPr>
          <w:bCs/>
        </w:rPr>
      </w:pPr>
      <w:proofErr w:type="gramStart"/>
      <w:r w:rsidRPr="005C45F6">
        <w:rPr>
          <w:b/>
          <w:bCs/>
        </w:rPr>
        <w:t xml:space="preserve">Chandran, D., Rickert, J., Cherk, C., Dotson, B.R., and Wildermuth, M.C. </w:t>
      </w:r>
      <w:r w:rsidRPr="005C45F6">
        <w:rPr>
          <w:bCs/>
        </w:rPr>
        <w:t>(2013).</w:t>
      </w:r>
      <w:proofErr w:type="gramEnd"/>
      <w:r w:rsidRPr="005C45F6">
        <w:rPr>
          <w:bCs/>
        </w:rPr>
        <w:t xml:space="preserve"> Host Cell Ploidy Underlying the Fungal Feeding Site Is a Determinant of Powdery Mildew Growth and Reproduction. MPMI </w:t>
      </w:r>
      <w:r w:rsidRPr="005C45F6">
        <w:rPr>
          <w:b/>
          <w:bCs/>
        </w:rPr>
        <w:t>26</w:t>
      </w:r>
      <w:r w:rsidRPr="00E9137B">
        <w:rPr>
          <w:b/>
          <w:bCs/>
        </w:rPr>
        <w:t xml:space="preserve">: </w:t>
      </w:r>
      <w:r w:rsidRPr="005C45F6">
        <w:rPr>
          <w:bCs/>
        </w:rPr>
        <w:t>537–545.</w:t>
      </w:r>
    </w:p>
    <w:p w:rsidR="005C45F6" w:rsidRDefault="005C45F6" w:rsidP="00773890">
      <w:pPr>
        <w:jc w:val="both"/>
      </w:pPr>
      <w:r w:rsidRPr="005C45F6">
        <w:rPr>
          <w:b/>
        </w:rPr>
        <w:t xml:space="preserve">Chen, H., Xue, L., Chintamanani, S., Germain, H., Lin, H., Cui, H., </w:t>
      </w:r>
      <w:proofErr w:type="gramStart"/>
      <w:r w:rsidRPr="005C45F6">
        <w:rPr>
          <w:b/>
        </w:rPr>
        <w:t>Cai</w:t>
      </w:r>
      <w:proofErr w:type="gramEnd"/>
      <w:r w:rsidRPr="005C45F6">
        <w:rPr>
          <w:b/>
        </w:rPr>
        <w:t>, R., Zuo, J., Tang, X., Li, X., Guo, H., and Zhou, J.-M.</w:t>
      </w:r>
      <w:r w:rsidRPr="005C45F6">
        <w:t xml:space="preserve"> (2009). ETHYLENE INSENSITIVE3 and ETHYLENE INSENSITIVE3-LIKE1 Repress </w:t>
      </w:r>
      <w:r w:rsidRPr="005C45F6">
        <w:rPr>
          <w:i/>
        </w:rPr>
        <w:t>SALICYLIC ACID INDUCTION DEFICIENT2</w:t>
      </w:r>
      <w:r w:rsidRPr="005C45F6">
        <w:t xml:space="preserve"> Expression to Negatively Regulate Plant Innate</w:t>
      </w:r>
      <w:r w:rsidRPr="005C45F6">
        <w:rPr>
          <w:i/>
        </w:rPr>
        <w:t xml:space="preserve"> </w:t>
      </w:r>
      <w:r w:rsidRPr="005C45F6">
        <w:t xml:space="preserve">Immunity in </w:t>
      </w:r>
      <w:r w:rsidRPr="005C45F6">
        <w:rPr>
          <w:i/>
        </w:rPr>
        <w:t>Arabidopsis.</w:t>
      </w:r>
      <w:r w:rsidRPr="005C45F6">
        <w:t xml:space="preserve"> The Plant Cell </w:t>
      </w:r>
      <w:r w:rsidRPr="005C45F6">
        <w:rPr>
          <w:b/>
        </w:rPr>
        <w:t>21</w:t>
      </w:r>
      <w:r w:rsidRPr="00B20799">
        <w:rPr>
          <w:b/>
        </w:rPr>
        <w:t>:</w:t>
      </w:r>
      <w:r w:rsidRPr="005C45F6">
        <w:t xml:space="preserve"> 2527–2540. </w:t>
      </w:r>
    </w:p>
    <w:p w:rsidR="000B55CC" w:rsidRPr="005C45F6" w:rsidRDefault="000B55CC" w:rsidP="00773890">
      <w:pPr>
        <w:jc w:val="both"/>
      </w:pPr>
      <w:r w:rsidRPr="000B55CC">
        <w:rPr>
          <w:b/>
        </w:rPr>
        <w:t>Chester, K.S.</w:t>
      </w:r>
      <w:r>
        <w:t xml:space="preserve"> (1933). </w:t>
      </w:r>
      <w:proofErr w:type="gramStart"/>
      <w:r>
        <w:t>The problem of acquired physiological immunity in plants.</w:t>
      </w:r>
      <w:proofErr w:type="gramEnd"/>
      <w:r>
        <w:t xml:space="preserve"> Q. Rev. Biol. </w:t>
      </w:r>
      <w:r w:rsidRPr="000B55CC">
        <w:rPr>
          <w:b/>
        </w:rPr>
        <w:t>8:</w:t>
      </w:r>
      <w:r>
        <w:t xml:space="preserve"> 275–324.</w:t>
      </w:r>
    </w:p>
    <w:p w:rsidR="005C45F6" w:rsidRPr="005C45F6" w:rsidRDefault="005C45F6" w:rsidP="00773890">
      <w:pPr>
        <w:jc w:val="both"/>
      </w:pPr>
      <w:proofErr w:type="gramStart"/>
      <w:r w:rsidRPr="005C45F6">
        <w:rPr>
          <w:b/>
        </w:rPr>
        <w:t>Chinchilla, D., Bauer, Z., Regenass, M., Boller, T., and Felix, G.</w:t>
      </w:r>
      <w:r w:rsidRPr="005C45F6">
        <w:t xml:space="preserve"> (2006).</w:t>
      </w:r>
      <w:proofErr w:type="gramEnd"/>
      <w:r w:rsidRPr="005C45F6">
        <w:t xml:space="preserve"> The Arabidopsis Receptor Kinase FLS2 Binds flg22 and Determines the Specificity of Flagellin Perception. The Plant Cell </w:t>
      </w:r>
      <w:r w:rsidRPr="005C45F6">
        <w:rPr>
          <w:b/>
        </w:rPr>
        <w:t>18</w:t>
      </w:r>
      <w:r w:rsidRPr="00B20799">
        <w:rPr>
          <w:b/>
        </w:rPr>
        <w:t xml:space="preserve">: </w:t>
      </w:r>
      <w:r w:rsidRPr="005C45F6">
        <w:t xml:space="preserve">465–476. </w:t>
      </w:r>
    </w:p>
    <w:p w:rsidR="005C45F6" w:rsidRPr="005C45F6" w:rsidRDefault="005C45F6" w:rsidP="00773890">
      <w:pPr>
        <w:jc w:val="both"/>
      </w:pPr>
      <w:r w:rsidRPr="005C45F6">
        <w:rPr>
          <w:b/>
        </w:rPr>
        <w:t>Chinchilla, D., Zipfel, C., Robatzek, S., Kemmerling, B., Nürnberger</w:t>
      </w:r>
      <w:proofErr w:type="gramStart"/>
      <w:r w:rsidRPr="005C45F6">
        <w:rPr>
          <w:b/>
        </w:rPr>
        <w:t>,  T</w:t>
      </w:r>
      <w:proofErr w:type="gramEnd"/>
      <w:r w:rsidRPr="005C45F6">
        <w:rPr>
          <w:b/>
        </w:rPr>
        <w:t>., Jones, J.D.G., Felix, G., and Boller, T.</w:t>
      </w:r>
      <w:r w:rsidRPr="005C45F6">
        <w:t xml:space="preserve"> (2007). A flagellin-induced complex of the receptor FLS2 and BAK1 initiates plant defence. Nature </w:t>
      </w:r>
      <w:r w:rsidRPr="005C45F6">
        <w:rPr>
          <w:b/>
        </w:rPr>
        <w:t>448:</w:t>
      </w:r>
      <w:r w:rsidRPr="005C45F6">
        <w:t xml:space="preserve"> 497-501.</w:t>
      </w:r>
    </w:p>
    <w:p w:rsidR="005C45F6" w:rsidRPr="005C45F6" w:rsidRDefault="005C45F6" w:rsidP="00773890">
      <w:pPr>
        <w:jc w:val="both"/>
        <w:rPr>
          <w:lang w:val="en-US"/>
        </w:rPr>
      </w:pPr>
      <w:proofErr w:type="gramStart"/>
      <w:r w:rsidRPr="005C45F6">
        <w:rPr>
          <w:b/>
          <w:lang w:val="en-US"/>
        </w:rPr>
        <w:t>Coates, M.E. and Beynon, J.L.</w:t>
      </w:r>
      <w:r w:rsidRPr="005C45F6">
        <w:rPr>
          <w:lang w:val="en-US"/>
        </w:rPr>
        <w:t xml:space="preserve"> (2010).</w:t>
      </w:r>
      <w:proofErr w:type="gramEnd"/>
      <w:r w:rsidRPr="005C45F6">
        <w:rPr>
          <w:lang w:val="en-US"/>
        </w:rPr>
        <w:t xml:space="preserve"> </w:t>
      </w:r>
      <w:proofErr w:type="gramStart"/>
      <w:r w:rsidRPr="005C45F6">
        <w:rPr>
          <w:i/>
          <w:iCs/>
          <w:lang w:val="en-US"/>
        </w:rPr>
        <w:t xml:space="preserve">Hyaloperonospora arabidopsidis </w:t>
      </w:r>
      <w:r w:rsidRPr="005C45F6">
        <w:rPr>
          <w:lang w:val="en-US"/>
        </w:rPr>
        <w:t>as a Pathogen Model.</w:t>
      </w:r>
      <w:proofErr w:type="gramEnd"/>
      <w:r w:rsidRPr="005C45F6">
        <w:rPr>
          <w:lang w:val="en-US"/>
        </w:rPr>
        <w:t xml:space="preserve"> </w:t>
      </w:r>
      <w:proofErr w:type="gramStart"/>
      <w:r w:rsidRPr="005C45F6">
        <w:rPr>
          <w:lang w:val="en-US"/>
        </w:rPr>
        <w:t>Annu.</w:t>
      </w:r>
      <w:proofErr w:type="gramEnd"/>
      <w:r w:rsidRPr="005C45F6">
        <w:rPr>
          <w:lang w:val="en-US"/>
        </w:rPr>
        <w:t xml:space="preserve"> Rev. Phytopathol. </w:t>
      </w:r>
      <w:r w:rsidRPr="005C45F6">
        <w:rPr>
          <w:b/>
          <w:lang w:val="en-US"/>
        </w:rPr>
        <w:t>48</w:t>
      </w:r>
      <w:r w:rsidRPr="00B20799">
        <w:rPr>
          <w:b/>
          <w:lang w:val="en-US"/>
        </w:rPr>
        <w:t>:</w:t>
      </w:r>
      <w:r w:rsidRPr="005C45F6">
        <w:rPr>
          <w:lang w:val="en-US"/>
        </w:rPr>
        <w:t xml:space="preserve"> 329–45.</w:t>
      </w:r>
    </w:p>
    <w:p w:rsidR="005C45F6" w:rsidRPr="005C45F6" w:rsidRDefault="005C45F6" w:rsidP="00773890">
      <w:pPr>
        <w:jc w:val="both"/>
        <w:rPr>
          <w:lang w:val="en-US"/>
        </w:rPr>
      </w:pPr>
      <w:r w:rsidRPr="005C45F6">
        <w:rPr>
          <w:b/>
          <w:lang w:val="en-US"/>
        </w:rPr>
        <w:t>Cohen, Y.R.</w:t>
      </w:r>
      <w:r w:rsidRPr="005C45F6">
        <w:rPr>
          <w:lang w:val="en-US"/>
        </w:rPr>
        <w:t xml:space="preserve"> (2002). </w:t>
      </w:r>
      <w:proofErr w:type="gramStart"/>
      <w:r w:rsidRPr="005C45F6">
        <w:rPr>
          <w:lang w:val="en-US"/>
        </w:rPr>
        <w:t>β-Aminobutyric</w:t>
      </w:r>
      <w:proofErr w:type="gramEnd"/>
      <w:r w:rsidRPr="005C45F6">
        <w:rPr>
          <w:lang w:val="en-US"/>
        </w:rPr>
        <w:t xml:space="preserve"> Acid-Induced Resistance Against Plant Pathogens. Plant Disease </w:t>
      </w:r>
      <w:r w:rsidRPr="005C45F6">
        <w:rPr>
          <w:b/>
          <w:lang w:val="en-US"/>
        </w:rPr>
        <w:t>68</w:t>
      </w:r>
      <w:r w:rsidRPr="00B20799">
        <w:rPr>
          <w:b/>
          <w:lang w:val="en-US"/>
        </w:rPr>
        <w:t xml:space="preserve">: </w:t>
      </w:r>
      <w:r w:rsidRPr="005C45F6">
        <w:rPr>
          <w:lang w:val="en-US"/>
        </w:rPr>
        <w:t>448-457.</w:t>
      </w:r>
    </w:p>
    <w:p w:rsidR="005C45F6" w:rsidRPr="005C45F6" w:rsidRDefault="005C45F6" w:rsidP="00773890">
      <w:pPr>
        <w:jc w:val="both"/>
        <w:rPr>
          <w:bCs/>
        </w:rPr>
      </w:pPr>
      <w:proofErr w:type="gramStart"/>
      <w:r w:rsidRPr="005C45F6">
        <w:rPr>
          <w:b/>
          <w:bCs/>
        </w:rPr>
        <w:t xml:space="preserve">Conrath, U., Pieterse, C.M.J., and Mauch-Mani, B. </w:t>
      </w:r>
      <w:r w:rsidRPr="005C45F6">
        <w:rPr>
          <w:bCs/>
        </w:rPr>
        <w:t>(2001).</w:t>
      </w:r>
      <w:proofErr w:type="gramEnd"/>
      <w:r w:rsidRPr="005C45F6">
        <w:rPr>
          <w:bCs/>
        </w:rPr>
        <w:t xml:space="preserve"> </w:t>
      </w:r>
      <w:r w:rsidRPr="005C45F6">
        <w:rPr>
          <w:b/>
          <w:bCs/>
        </w:rPr>
        <w:t xml:space="preserve"> </w:t>
      </w:r>
      <w:proofErr w:type="gramStart"/>
      <w:r w:rsidRPr="005C45F6">
        <w:rPr>
          <w:bCs/>
        </w:rPr>
        <w:t>Priming in plant–pathogen interactions.</w:t>
      </w:r>
      <w:proofErr w:type="gramEnd"/>
      <w:r w:rsidRPr="005C45F6">
        <w:rPr>
          <w:bCs/>
        </w:rPr>
        <w:t xml:space="preserve"> TRENDS in Plant Science </w:t>
      </w:r>
      <w:r w:rsidRPr="005C45F6">
        <w:rPr>
          <w:b/>
          <w:bCs/>
        </w:rPr>
        <w:t>7</w:t>
      </w:r>
      <w:r w:rsidRPr="00B20799">
        <w:rPr>
          <w:b/>
          <w:bCs/>
        </w:rPr>
        <w:t>:</w:t>
      </w:r>
      <w:r w:rsidRPr="005C45F6">
        <w:rPr>
          <w:bCs/>
        </w:rPr>
        <w:t xml:space="preserve"> 210-216.</w:t>
      </w:r>
    </w:p>
    <w:p w:rsidR="005C45F6" w:rsidRPr="005C45F6" w:rsidRDefault="005C45F6" w:rsidP="00773890">
      <w:pPr>
        <w:jc w:val="both"/>
        <w:rPr>
          <w:bCs/>
        </w:rPr>
      </w:pPr>
      <w:r w:rsidRPr="005C45F6">
        <w:rPr>
          <w:b/>
          <w:bCs/>
        </w:rPr>
        <w:t xml:space="preserve">Conrath, U. </w:t>
      </w:r>
      <w:r w:rsidRPr="005C45F6">
        <w:rPr>
          <w:bCs/>
        </w:rPr>
        <w:t xml:space="preserve">(2011). </w:t>
      </w:r>
      <w:proofErr w:type="gramStart"/>
      <w:r w:rsidRPr="005C45F6">
        <w:rPr>
          <w:bCs/>
        </w:rPr>
        <w:t>Molecular aspects of defence priming.</w:t>
      </w:r>
      <w:proofErr w:type="gramEnd"/>
      <w:r w:rsidRPr="005C45F6">
        <w:rPr>
          <w:bCs/>
        </w:rPr>
        <w:t xml:space="preserve"> TRENDS in Plant Science </w:t>
      </w:r>
      <w:r w:rsidRPr="005C45F6">
        <w:rPr>
          <w:b/>
          <w:bCs/>
        </w:rPr>
        <w:t>16</w:t>
      </w:r>
      <w:r w:rsidRPr="00B20799">
        <w:rPr>
          <w:b/>
          <w:bCs/>
        </w:rPr>
        <w:t xml:space="preserve">: </w:t>
      </w:r>
      <w:r w:rsidRPr="005C45F6">
        <w:rPr>
          <w:bCs/>
        </w:rPr>
        <w:t>524-531.</w:t>
      </w:r>
    </w:p>
    <w:p w:rsidR="005C45F6" w:rsidRPr="005C45F6" w:rsidRDefault="005C45F6" w:rsidP="00773890">
      <w:pPr>
        <w:jc w:val="both"/>
        <w:rPr>
          <w:lang w:val="en-US"/>
        </w:rPr>
      </w:pPr>
      <w:r w:rsidRPr="005C45F6">
        <w:rPr>
          <w:b/>
          <w:lang w:val="en-US"/>
        </w:rPr>
        <w:t>Consonni, C., Humphry, M.E., Hartmann, H.A., Livaja, M., Durner, J., Westphal, L., Vogel, J., Lipka, V., Kemmerling, B., Schulze-Lefert, P., Somerville, S.C., and Panstruga, R.</w:t>
      </w:r>
      <w:r w:rsidRPr="005C45F6">
        <w:rPr>
          <w:lang w:val="en-US"/>
        </w:rPr>
        <w:t xml:space="preserve"> (2006). </w:t>
      </w:r>
      <w:proofErr w:type="gramStart"/>
      <w:r w:rsidRPr="005C45F6">
        <w:rPr>
          <w:lang w:val="en-US"/>
        </w:rPr>
        <w:t>Conserved requirement for a plant host cell protein in powdery mildew pathogenesis.</w:t>
      </w:r>
      <w:proofErr w:type="gramEnd"/>
      <w:r w:rsidRPr="005C45F6">
        <w:rPr>
          <w:lang w:val="en-US"/>
        </w:rPr>
        <w:t xml:space="preserve"> Nature Genetics </w:t>
      </w:r>
      <w:r w:rsidRPr="005C45F6">
        <w:rPr>
          <w:b/>
          <w:lang w:val="en-US"/>
        </w:rPr>
        <w:t>38</w:t>
      </w:r>
      <w:r w:rsidRPr="00B20799">
        <w:rPr>
          <w:b/>
          <w:lang w:val="en-US"/>
        </w:rPr>
        <w:t xml:space="preserve">: </w:t>
      </w:r>
      <w:r w:rsidRPr="005C45F6">
        <w:rPr>
          <w:lang w:val="en-US"/>
        </w:rPr>
        <w:t>716-720.</w:t>
      </w:r>
    </w:p>
    <w:p w:rsidR="005C45F6" w:rsidRPr="005C45F6" w:rsidRDefault="005C45F6" w:rsidP="00773890">
      <w:pPr>
        <w:jc w:val="both"/>
        <w:rPr>
          <w:lang w:val="en-US"/>
        </w:rPr>
      </w:pPr>
      <w:r w:rsidRPr="005C45F6">
        <w:rPr>
          <w:b/>
          <w:lang w:val="en-US"/>
        </w:rPr>
        <w:t>Cui, F., Wu, S., Sun, W., Coaker, G., Kunkel, B., He, P., and Shan, L.</w:t>
      </w:r>
      <w:r w:rsidRPr="005C45F6">
        <w:rPr>
          <w:lang w:val="en-US"/>
        </w:rPr>
        <w:t xml:space="preserve"> (2013). </w:t>
      </w:r>
      <w:proofErr w:type="gramStart"/>
      <w:r w:rsidRPr="005C45F6">
        <w:rPr>
          <w:lang w:val="en-US"/>
        </w:rPr>
        <w:t xml:space="preserve">The </w:t>
      </w:r>
      <w:r w:rsidRPr="005C45F6">
        <w:rPr>
          <w:i/>
          <w:lang w:val="en-US"/>
        </w:rPr>
        <w:t>Pseudomonas syringae</w:t>
      </w:r>
      <w:r w:rsidRPr="005C45F6">
        <w:rPr>
          <w:lang w:val="en-US"/>
        </w:rPr>
        <w:t xml:space="preserve"> Type III Effector AvrRpt2 Promotes Pathogen Virulence via Stimulating Arabidopsis Auxin/Indole Acetic Acid Protein Turnover.</w:t>
      </w:r>
      <w:proofErr w:type="gramEnd"/>
      <w:r w:rsidRPr="005C45F6">
        <w:rPr>
          <w:lang w:val="en-US"/>
        </w:rPr>
        <w:t xml:space="preserve"> Plant Physiology </w:t>
      </w:r>
      <w:r w:rsidRPr="005C45F6">
        <w:rPr>
          <w:b/>
          <w:lang w:val="en-US"/>
        </w:rPr>
        <w:t>162</w:t>
      </w:r>
      <w:r w:rsidRPr="00B20799">
        <w:rPr>
          <w:b/>
          <w:lang w:val="en-US"/>
        </w:rPr>
        <w:t>:</w:t>
      </w:r>
      <w:r w:rsidRPr="005C45F6">
        <w:rPr>
          <w:lang w:val="en-US"/>
        </w:rPr>
        <w:t xml:space="preserve"> 1018–1029.</w:t>
      </w:r>
    </w:p>
    <w:p w:rsidR="005C45F6" w:rsidRPr="005C45F6" w:rsidRDefault="005C45F6" w:rsidP="00773890">
      <w:pPr>
        <w:jc w:val="both"/>
      </w:pPr>
      <w:proofErr w:type="gramStart"/>
      <w:r w:rsidRPr="005C45F6">
        <w:rPr>
          <w:b/>
        </w:rPr>
        <w:t xml:space="preserve">Czechowski, T., Stitt, M., Altmann, T., Udvardi, M.K., and Scheible, W.R. </w:t>
      </w:r>
      <w:r w:rsidRPr="005C45F6">
        <w:t>(2005).</w:t>
      </w:r>
      <w:proofErr w:type="gramEnd"/>
      <w:r w:rsidRPr="005C45F6">
        <w:t xml:space="preserve"> </w:t>
      </w:r>
      <w:proofErr w:type="gramStart"/>
      <w:r w:rsidRPr="005C45F6">
        <w:t>Genome-Wide Identification and Testing of Superior Reference Genes for Transcript Normalization in Arabidopsis.</w:t>
      </w:r>
      <w:proofErr w:type="gramEnd"/>
      <w:r w:rsidRPr="005C45F6">
        <w:t xml:space="preserve"> Plant Physiology </w:t>
      </w:r>
      <w:r w:rsidRPr="005C45F6">
        <w:rPr>
          <w:b/>
        </w:rPr>
        <w:t>139</w:t>
      </w:r>
      <w:r w:rsidRPr="00B20799">
        <w:rPr>
          <w:b/>
        </w:rPr>
        <w:t xml:space="preserve">: </w:t>
      </w:r>
      <w:r w:rsidRPr="005C45F6">
        <w:t>5–17.</w:t>
      </w:r>
    </w:p>
    <w:p w:rsidR="005C45F6" w:rsidRPr="005C45F6" w:rsidRDefault="00B20799" w:rsidP="00773890">
      <w:pPr>
        <w:jc w:val="both"/>
      </w:pPr>
      <w:proofErr w:type="gramStart"/>
      <w:r>
        <w:rPr>
          <w:b/>
        </w:rPr>
        <w:lastRenderedPageBreak/>
        <w:t>D</w:t>
      </w:r>
      <w:r w:rsidR="005C45F6" w:rsidRPr="005C45F6">
        <w:rPr>
          <w:b/>
        </w:rPr>
        <w:t>a Cunha, L., McFall, A.J., and Mackey, D.</w:t>
      </w:r>
      <w:r w:rsidR="005C45F6" w:rsidRPr="005C45F6">
        <w:t xml:space="preserve"> (2006).</w:t>
      </w:r>
      <w:proofErr w:type="gramEnd"/>
      <w:r w:rsidR="005C45F6" w:rsidRPr="005C45F6">
        <w:t xml:space="preserve"> Innate immunity in plants: a continuum of layered defenses. Microbes and Infection </w:t>
      </w:r>
      <w:r w:rsidR="005C45F6" w:rsidRPr="005C45F6">
        <w:rPr>
          <w:b/>
        </w:rPr>
        <w:t>8</w:t>
      </w:r>
      <w:r w:rsidR="005C45F6" w:rsidRPr="00B20799">
        <w:rPr>
          <w:b/>
        </w:rPr>
        <w:t>:</w:t>
      </w:r>
      <w:r w:rsidR="005C45F6" w:rsidRPr="005C45F6">
        <w:t xml:space="preserve"> 1372-1381.</w:t>
      </w:r>
    </w:p>
    <w:p w:rsidR="005C45F6" w:rsidRPr="005C45F6" w:rsidRDefault="005C45F6" w:rsidP="00773890">
      <w:pPr>
        <w:jc w:val="both"/>
      </w:pPr>
      <w:proofErr w:type="gramStart"/>
      <w:r w:rsidRPr="005C45F6">
        <w:rPr>
          <w:b/>
          <w:bCs/>
          <w:lang w:val="en-US"/>
        </w:rPr>
        <w:t xml:space="preserve">Dempsey, D.A., Vlot, A.C., Wildermuth, M.C., and Klessig, D.F. </w:t>
      </w:r>
      <w:r w:rsidRPr="005C45F6">
        <w:rPr>
          <w:bCs/>
          <w:lang w:val="en-US"/>
        </w:rPr>
        <w:t>(2011).</w:t>
      </w:r>
      <w:proofErr w:type="gramEnd"/>
      <w:r w:rsidRPr="005C45F6">
        <w:rPr>
          <w:bCs/>
          <w:lang w:val="en-US"/>
        </w:rPr>
        <w:t xml:space="preserve"> </w:t>
      </w:r>
      <w:proofErr w:type="gramStart"/>
      <w:r w:rsidRPr="005C45F6">
        <w:rPr>
          <w:bCs/>
          <w:lang w:val="en-US"/>
        </w:rPr>
        <w:t>Salicylic Acid Biosynthesis and Metabolism.</w:t>
      </w:r>
      <w:proofErr w:type="gramEnd"/>
      <w:r w:rsidRPr="005C45F6">
        <w:rPr>
          <w:bCs/>
          <w:lang w:val="en-US"/>
        </w:rPr>
        <w:t xml:space="preserve"> The Arabidopsis Book 1-24.</w:t>
      </w:r>
    </w:p>
    <w:p w:rsidR="005C45F6" w:rsidRPr="005C45F6" w:rsidRDefault="005C45F6" w:rsidP="00773890">
      <w:pPr>
        <w:jc w:val="both"/>
      </w:pPr>
      <w:proofErr w:type="gramStart"/>
      <w:r w:rsidRPr="005C45F6">
        <w:rPr>
          <w:b/>
        </w:rPr>
        <w:t>Durrant, W.E. and Dong, X</w:t>
      </w:r>
      <w:r w:rsidRPr="00B20799">
        <w:rPr>
          <w:b/>
        </w:rPr>
        <w:t>.</w:t>
      </w:r>
      <w:r w:rsidRPr="005C45F6">
        <w:t xml:space="preserve"> (2004).</w:t>
      </w:r>
      <w:proofErr w:type="gramEnd"/>
      <w:r w:rsidRPr="005C45F6">
        <w:t xml:space="preserve"> </w:t>
      </w:r>
      <w:proofErr w:type="gramStart"/>
      <w:r w:rsidRPr="005C45F6">
        <w:t>Systemic Acquired Resistance.</w:t>
      </w:r>
      <w:proofErr w:type="gramEnd"/>
      <w:r w:rsidRPr="005C45F6">
        <w:t xml:space="preserve"> </w:t>
      </w:r>
      <w:proofErr w:type="gramStart"/>
      <w:r w:rsidRPr="005C45F6">
        <w:t>Annu.</w:t>
      </w:r>
      <w:proofErr w:type="gramEnd"/>
      <w:r w:rsidRPr="005C45F6">
        <w:t xml:space="preserve"> Rev. Phytopathol. </w:t>
      </w:r>
      <w:r w:rsidRPr="005C45F6">
        <w:rPr>
          <w:b/>
        </w:rPr>
        <w:t>42</w:t>
      </w:r>
      <w:r w:rsidRPr="00B20799">
        <w:rPr>
          <w:b/>
        </w:rPr>
        <w:t>:</w:t>
      </w:r>
      <w:r w:rsidRPr="005C45F6">
        <w:t>185–209.</w:t>
      </w:r>
    </w:p>
    <w:p w:rsidR="005C45F6" w:rsidRPr="005C45F6" w:rsidRDefault="005C45F6" w:rsidP="00773890">
      <w:pPr>
        <w:jc w:val="both"/>
      </w:pPr>
      <w:proofErr w:type="gramStart"/>
      <w:r w:rsidRPr="005C45F6">
        <w:rPr>
          <w:b/>
        </w:rPr>
        <w:t>Eastmond, P.J., Li, Y., and Graham, I.A</w:t>
      </w:r>
      <w:r w:rsidRPr="00B20799">
        <w:rPr>
          <w:b/>
        </w:rPr>
        <w:t xml:space="preserve">. </w:t>
      </w:r>
      <w:r w:rsidRPr="005C45F6">
        <w:t>(2003).</w:t>
      </w:r>
      <w:proofErr w:type="gramEnd"/>
      <w:r w:rsidRPr="005C45F6">
        <w:t xml:space="preserve"> Is trehalose-6-phosphate a regulator of sugar metabolism in plants? Journal of Experimental Botany </w:t>
      </w:r>
      <w:r w:rsidRPr="005C45F6">
        <w:rPr>
          <w:b/>
        </w:rPr>
        <w:t>54</w:t>
      </w:r>
      <w:r w:rsidRPr="00B20799">
        <w:rPr>
          <w:b/>
        </w:rPr>
        <w:t>:</w:t>
      </w:r>
      <w:r w:rsidRPr="005C45F6">
        <w:t xml:space="preserve"> 533-537.</w:t>
      </w:r>
    </w:p>
    <w:p w:rsidR="005C45F6" w:rsidRPr="005C45F6" w:rsidRDefault="005C45F6" w:rsidP="00773890">
      <w:pPr>
        <w:jc w:val="both"/>
      </w:pPr>
      <w:proofErr w:type="gramStart"/>
      <w:r w:rsidRPr="00E0008D">
        <w:rPr>
          <w:b/>
          <w:lang w:val="en-US"/>
        </w:rPr>
        <w:t>Eberharter, A. and Becker, P.B.</w:t>
      </w:r>
      <w:r w:rsidRPr="00E0008D">
        <w:rPr>
          <w:lang w:val="en-US"/>
        </w:rPr>
        <w:t xml:space="preserve"> (2002).</w:t>
      </w:r>
      <w:proofErr w:type="gramEnd"/>
      <w:r w:rsidRPr="00E0008D">
        <w:rPr>
          <w:lang w:val="en-US"/>
        </w:rPr>
        <w:t xml:space="preserve"> </w:t>
      </w:r>
      <w:r w:rsidRPr="005C45F6">
        <w:t xml:space="preserve">Histone acetylation: a switch between repressive and permissive chromatin. EMBO reports </w:t>
      </w:r>
      <w:r w:rsidRPr="005C45F6">
        <w:rPr>
          <w:b/>
        </w:rPr>
        <w:t>3</w:t>
      </w:r>
      <w:r w:rsidRPr="00B20799">
        <w:rPr>
          <w:b/>
        </w:rPr>
        <w:t>:</w:t>
      </w:r>
      <w:r w:rsidRPr="005C45F6">
        <w:t xml:space="preserve"> 224-229.</w:t>
      </w:r>
    </w:p>
    <w:p w:rsidR="005C45F6" w:rsidRDefault="005C45F6" w:rsidP="00773890">
      <w:pPr>
        <w:jc w:val="both"/>
      </w:pPr>
      <w:r w:rsidRPr="005C45F6">
        <w:rPr>
          <w:b/>
          <w:lang w:val="en-US"/>
        </w:rPr>
        <w:t xml:space="preserve">Ellinger, D., Naumann, M., Falter, C., Zwikowics, C., Jamrow, T., </w:t>
      </w:r>
      <w:r w:rsidRPr="005C45F6">
        <w:rPr>
          <w:b/>
        </w:rPr>
        <w:t>Manisseri, C., Somerville, S.C., and Voigt, C.A.</w:t>
      </w:r>
      <w:r w:rsidRPr="005C45F6">
        <w:t xml:space="preserve"> (2013). </w:t>
      </w:r>
      <w:proofErr w:type="gramStart"/>
      <w:r w:rsidRPr="005C45F6">
        <w:t>Elevated Early Callose Deposition Results in Complete Penetration Resistance to Powdery Mildew in Arabidopsis.</w:t>
      </w:r>
      <w:proofErr w:type="gramEnd"/>
      <w:r w:rsidRPr="005C45F6">
        <w:t xml:space="preserve"> Plant Physiology </w:t>
      </w:r>
      <w:r w:rsidRPr="005C45F6">
        <w:rPr>
          <w:b/>
        </w:rPr>
        <w:t>161</w:t>
      </w:r>
      <w:r w:rsidRPr="00B20799">
        <w:rPr>
          <w:b/>
        </w:rPr>
        <w:t xml:space="preserve">: </w:t>
      </w:r>
      <w:r w:rsidRPr="005C45F6">
        <w:t xml:space="preserve">1433–1444. </w:t>
      </w:r>
    </w:p>
    <w:p w:rsidR="00C36BD8" w:rsidRPr="005C45F6" w:rsidRDefault="00C36BD8" w:rsidP="00773890">
      <w:pPr>
        <w:jc w:val="both"/>
      </w:pPr>
      <w:proofErr w:type="gramStart"/>
      <w:r w:rsidRPr="00C36BD8">
        <w:rPr>
          <w:b/>
        </w:rPr>
        <w:t>Ellis, C., and Turner, J. G.</w:t>
      </w:r>
      <w:r>
        <w:t xml:space="preserve"> (2001).</w:t>
      </w:r>
      <w:proofErr w:type="gramEnd"/>
      <w:r>
        <w:t xml:space="preserve"> The </w:t>
      </w:r>
      <w:r w:rsidRPr="00C36BD8">
        <w:rPr>
          <w:i/>
        </w:rPr>
        <w:t>Arabidopsis</w:t>
      </w:r>
      <w:r>
        <w:t xml:space="preserve"> mutant </w:t>
      </w:r>
      <w:r w:rsidRPr="00C36BD8">
        <w:rPr>
          <w:i/>
        </w:rPr>
        <w:t>cev1</w:t>
      </w:r>
      <w:r>
        <w:t xml:space="preserve"> has constitutively active jasmonate and ethylene signal pathways and enhanced resistance to pathogens. Plant Cell </w:t>
      </w:r>
      <w:r w:rsidRPr="00C36BD8">
        <w:rPr>
          <w:b/>
        </w:rPr>
        <w:t>13:</w:t>
      </w:r>
      <w:r>
        <w:t xml:space="preserve"> 1025-1033.</w:t>
      </w:r>
    </w:p>
    <w:p w:rsidR="005C45F6" w:rsidRPr="005C45F6" w:rsidRDefault="005C45F6" w:rsidP="00773890">
      <w:pPr>
        <w:jc w:val="both"/>
        <w:rPr>
          <w:bCs/>
          <w:iCs/>
        </w:rPr>
      </w:pPr>
      <w:proofErr w:type="gramStart"/>
      <w:r w:rsidRPr="005C45F6">
        <w:rPr>
          <w:b/>
          <w:bCs/>
        </w:rPr>
        <w:t>Fabro, G., Kovács, I., Pavet, V., Szabados, L., and Alvarez, M.</w:t>
      </w:r>
      <w:r w:rsidRPr="005C45F6">
        <w:rPr>
          <w:bCs/>
        </w:rPr>
        <w:t xml:space="preserve"> (2004).</w:t>
      </w:r>
      <w:proofErr w:type="gramEnd"/>
      <w:r w:rsidRPr="005C45F6">
        <w:rPr>
          <w:bCs/>
        </w:rPr>
        <w:t xml:space="preserve"> Proline Accumulation and </w:t>
      </w:r>
      <w:r w:rsidRPr="005C45F6">
        <w:rPr>
          <w:bCs/>
          <w:i/>
          <w:iCs/>
        </w:rPr>
        <w:t xml:space="preserve">AtP5CS2 </w:t>
      </w:r>
      <w:r w:rsidRPr="005C45F6">
        <w:rPr>
          <w:bCs/>
        </w:rPr>
        <w:t xml:space="preserve">Gene Activation Are Induced by Plant-Pathogen Incompatible Interactions in </w:t>
      </w:r>
      <w:r w:rsidRPr="005C45F6">
        <w:rPr>
          <w:bCs/>
          <w:i/>
          <w:iCs/>
        </w:rPr>
        <w:t xml:space="preserve">Arabidopsis. </w:t>
      </w:r>
      <w:r w:rsidRPr="005C45F6">
        <w:rPr>
          <w:bCs/>
          <w:iCs/>
        </w:rPr>
        <w:t xml:space="preserve">MPMI </w:t>
      </w:r>
      <w:r w:rsidRPr="005C45F6">
        <w:rPr>
          <w:b/>
          <w:bCs/>
          <w:iCs/>
        </w:rPr>
        <w:t>17</w:t>
      </w:r>
      <w:r w:rsidRPr="00B20799">
        <w:rPr>
          <w:b/>
          <w:bCs/>
          <w:iCs/>
        </w:rPr>
        <w:t>:</w:t>
      </w:r>
      <w:r w:rsidRPr="005C45F6">
        <w:rPr>
          <w:bCs/>
          <w:iCs/>
        </w:rPr>
        <w:t xml:space="preserve"> 343–350.</w:t>
      </w:r>
    </w:p>
    <w:p w:rsidR="005C45F6" w:rsidRPr="005C45F6" w:rsidRDefault="005C45F6" w:rsidP="00773890">
      <w:pPr>
        <w:jc w:val="both"/>
      </w:pPr>
      <w:r w:rsidRPr="005C45F6">
        <w:rPr>
          <w:b/>
        </w:rPr>
        <w:t>Fabro, G., Di Rienzo, J.A., Voigt, C.A., Savchenko, T., Dehesh, K., Somerville, S., and Alvarez, M.E.</w:t>
      </w:r>
      <w:r w:rsidRPr="005C45F6">
        <w:t xml:space="preserve"> (2008). Genome-Wide Expression Profiling Arabidopsis at the Stage of </w:t>
      </w:r>
      <w:r w:rsidRPr="005C45F6">
        <w:rPr>
          <w:i/>
        </w:rPr>
        <w:t>Golovinomyces cichoracearum</w:t>
      </w:r>
      <w:r w:rsidR="00B20799">
        <w:t xml:space="preserve"> </w:t>
      </w:r>
      <w:r w:rsidRPr="005C45F6">
        <w:t xml:space="preserve">Haustorium Formation. Plant Physiology </w:t>
      </w:r>
      <w:r w:rsidRPr="005C45F6">
        <w:rPr>
          <w:b/>
        </w:rPr>
        <w:t>146</w:t>
      </w:r>
      <w:r w:rsidRPr="00B20799">
        <w:rPr>
          <w:b/>
        </w:rPr>
        <w:t>:</w:t>
      </w:r>
      <w:r w:rsidRPr="005C45F6">
        <w:t xml:space="preserve"> 1421–1439.</w:t>
      </w:r>
    </w:p>
    <w:p w:rsidR="005C45F6" w:rsidRPr="005C45F6" w:rsidRDefault="005C45F6" w:rsidP="00773890">
      <w:pPr>
        <w:jc w:val="both"/>
      </w:pPr>
      <w:proofErr w:type="gramStart"/>
      <w:r w:rsidRPr="005C45F6">
        <w:rPr>
          <w:b/>
        </w:rPr>
        <w:t xml:space="preserve">Fan, J., Crooks, C., and Lamb, C. </w:t>
      </w:r>
      <w:r w:rsidRPr="005C45F6">
        <w:t>(2008).</w:t>
      </w:r>
      <w:proofErr w:type="gramEnd"/>
      <w:r w:rsidRPr="005C45F6">
        <w:t xml:space="preserve"> High-throughput quantitative luminescence assay of the growth in planta of </w:t>
      </w:r>
      <w:r w:rsidRPr="005C45F6">
        <w:rPr>
          <w:i/>
        </w:rPr>
        <w:t>Pseudomonas syringae</w:t>
      </w:r>
      <w:r w:rsidRPr="005C45F6">
        <w:t xml:space="preserve"> chromosomally tagged with </w:t>
      </w:r>
      <w:r w:rsidRPr="005C45F6">
        <w:rPr>
          <w:i/>
        </w:rPr>
        <w:t>Photorhabdus luminescens</w:t>
      </w:r>
      <w:r w:rsidRPr="005C45F6">
        <w:t xml:space="preserve"> luxCDABE. The Plant Journal </w:t>
      </w:r>
      <w:r w:rsidRPr="005C45F6">
        <w:rPr>
          <w:b/>
        </w:rPr>
        <w:t>53</w:t>
      </w:r>
      <w:r w:rsidRPr="00B20799">
        <w:rPr>
          <w:b/>
        </w:rPr>
        <w:t>:</w:t>
      </w:r>
      <w:r w:rsidRPr="005C45F6">
        <w:t xml:space="preserve"> 393–399.</w:t>
      </w:r>
    </w:p>
    <w:p w:rsidR="005C45F6" w:rsidRPr="005C45F6" w:rsidRDefault="005C45F6" w:rsidP="00773890">
      <w:pPr>
        <w:jc w:val="both"/>
      </w:pPr>
      <w:proofErr w:type="gramStart"/>
      <w:r w:rsidRPr="00040BE7">
        <w:rPr>
          <w:b/>
        </w:rPr>
        <w:t>Ffrench-Constant, R.H., Rocheleau, T.A., Steichen, J.C., and Chalmers, A.E.</w:t>
      </w:r>
      <w:r w:rsidRPr="005C45F6">
        <w:t xml:space="preserve"> (1993).</w:t>
      </w:r>
      <w:proofErr w:type="gramEnd"/>
      <w:r w:rsidRPr="005C45F6">
        <w:t xml:space="preserve"> </w:t>
      </w:r>
      <w:r w:rsidRPr="005C45F6">
        <w:rPr>
          <w:bCs/>
        </w:rPr>
        <w:t xml:space="preserve">A point mutation in a </w:t>
      </w:r>
      <w:r w:rsidRPr="005C45F6">
        <w:rPr>
          <w:bCs/>
          <w:i/>
          <w:iCs/>
        </w:rPr>
        <w:t>Drosophila</w:t>
      </w:r>
      <w:r w:rsidRPr="005C45F6">
        <w:rPr>
          <w:bCs/>
        </w:rPr>
        <w:t xml:space="preserve"> GABA receptor confers insecticide resistance. </w:t>
      </w:r>
      <w:r w:rsidRPr="005C45F6">
        <w:rPr>
          <w:bCs/>
          <w:i/>
          <w:iCs/>
        </w:rPr>
        <w:t>Nature</w:t>
      </w:r>
      <w:r w:rsidRPr="005C45F6">
        <w:rPr>
          <w:bCs/>
        </w:rPr>
        <w:t xml:space="preserve"> </w:t>
      </w:r>
      <w:r w:rsidRPr="005C45F6">
        <w:rPr>
          <w:b/>
          <w:bCs/>
        </w:rPr>
        <w:t>363</w:t>
      </w:r>
      <w:r w:rsidRPr="00B20799">
        <w:rPr>
          <w:b/>
          <w:bCs/>
        </w:rPr>
        <w:t>:</w:t>
      </w:r>
      <w:r w:rsidRPr="005C45F6">
        <w:rPr>
          <w:bCs/>
        </w:rPr>
        <w:t xml:space="preserve"> 449 – 451.</w:t>
      </w:r>
    </w:p>
    <w:p w:rsidR="005C45F6" w:rsidRPr="005C45F6" w:rsidRDefault="005C45F6" w:rsidP="00773890">
      <w:pPr>
        <w:jc w:val="both"/>
      </w:pPr>
      <w:proofErr w:type="gramStart"/>
      <w:r w:rsidRPr="005C45F6">
        <w:rPr>
          <w:b/>
        </w:rPr>
        <w:t>Ferrari, S., Plotnikova, J.M., De Lorenzo, G., and Ausubel, F.</w:t>
      </w:r>
      <w:proofErr w:type="gramEnd"/>
      <w:r w:rsidRPr="005C45F6">
        <w:t xml:space="preserve"> </w:t>
      </w:r>
      <w:r w:rsidR="00ED2BAD">
        <w:t xml:space="preserve"> (2003). </w:t>
      </w:r>
      <w:r w:rsidRPr="005C45F6">
        <w:rPr>
          <w:i/>
        </w:rPr>
        <w:t xml:space="preserve">Arabidopsis </w:t>
      </w:r>
      <w:r w:rsidRPr="005C45F6">
        <w:t xml:space="preserve">local resistance to </w:t>
      </w:r>
      <w:r w:rsidRPr="005C45F6">
        <w:rPr>
          <w:i/>
        </w:rPr>
        <w:t xml:space="preserve">Botrytis cinerea </w:t>
      </w:r>
      <w:r w:rsidRPr="005C45F6">
        <w:t xml:space="preserve">involves salicylic acid and camalexin and requires </w:t>
      </w:r>
      <w:r w:rsidRPr="005C45F6">
        <w:rPr>
          <w:i/>
        </w:rPr>
        <w:t>EDS4</w:t>
      </w:r>
      <w:r w:rsidRPr="005C45F6">
        <w:t xml:space="preserve"> and </w:t>
      </w:r>
      <w:r w:rsidRPr="005C45F6">
        <w:rPr>
          <w:i/>
        </w:rPr>
        <w:t>PAD2</w:t>
      </w:r>
      <w:r w:rsidRPr="005C45F6">
        <w:t xml:space="preserve">, but not </w:t>
      </w:r>
      <w:r w:rsidRPr="005C45F6">
        <w:rPr>
          <w:i/>
        </w:rPr>
        <w:t xml:space="preserve">SID2, EDS5 </w:t>
      </w:r>
      <w:r w:rsidRPr="005C45F6">
        <w:t xml:space="preserve">or </w:t>
      </w:r>
      <w:r w:rsidRPr="005C45F6">
        <w:rPr>
          <w:i/>
        </w:rPr>
        <w:t>PAD4.</w:t>
      </w:r>
      <w:r w:rsidRPr="005C45F6">
        <w:t xml:space="preserve"> The Plant Journal </w:t>
      </w:r>
      <w:r w:rsidRPr="005C45F6">
        <w:rPr>
          <w:b/>
        </w:rPr>
        <w:t>35</w:t>
      </w:r>
      <w:r w:rsidRPr="00ED2BAD">
        <w:rPr>
          <w:b/>
        </w:rPr>
        <w:t>:</w:t>
      </w:r>
      <w:r w:rsidRPr="005C45F6">
        <w:t xml:space="preserve"> 193-205.</w:t>
      </w:r>
    </w:p>
    <w:p w:rsidR="005C45F6" w:rsidRDefault="005C45F6" w:rsidP="00773890">
      <w:pPr>
        <w:jc w:val="both"/>
      </w:pPr>
      <w:proofErr w:type="gramStart"/>
      <w:r w:rsidRPr="005C45F6">
        <w:rPr>
          <w:b/>
        </w:rPr>
        <w:t>Ferrari, S., Galletti, R., Denoux, C., De Lorenzo, G., Ausubel, F.M., and Dewdney, J.</w:t>
      </w:r>
      <w:r w:rsidRPr="005C45F6">
        <w:t xml:space="preserve"> (2007).</w:t>
      </w:r>
      <w:proofErr w:type="gramEnd"/>
      <w:r w:rsidRPr="005C45F6">
        <w:t xml:space="preserve"> Resistance to </w:t>
      </w:r>
      <w:r w:rsidRPr="005C45F6">
        <w:rPr>
          <w:i/>
        </w:rPr>
        <w:t>Botrytis cinerea</w:t>
      </w:r>
      <w:r w:rsidRPr="005C45F6">
        <w:t xml:space="preserve"> Induced in Arabidopsis by Elicitors Is Independent of Salicylic Acid, Ethylene, or Jasmonate Signaling </w:t>
      </w:r>
      <w:proofErr w:type="gramStart"/>
      <w:r w:rsidRPr="005C45F6">
        <w:t>But</w:t>
      </w:r>
      <w:proofErr w:type="gramEnd"/>
      <w:r w:rsidRPr="005C45F6">
        <w:t xml:space="preserve"> Requires </w:t>
      </w:r>
      <w:r w:rsidRPr="005C45F6">
        <w:rPr>
          <w:i/>
        </w:rPr>
        <w:t xml:space="preserve">PHYTOALEXIN DEFICIENT3. </w:t>
      </w:r>
      <w:r w:rsidR="00EE1DE3">
        <w:t>Plant Physiol.</w:t>
      </w:r>
      <w:r w:rsidRPr="005C45F6">
        <w:rPr>
          <w:i/>
        </w:rPr>
        <w:t xml:space="preserve"> </w:t>
      </w:r>
      <w:r w:rsidRPr="005C45F6">
        <w:rPr>
          <w:b/>
        </w:rPr>
        <w:t>144</w:t>
      </w:r>
      <w:r w:rsidRPr="00ED2BAD">
        <w:rPr>
          <w:b/>
        </w:rPr>
        <w:t>:</w:t>
      </w:r>
      <w:r w:rsidRPr="005C45F6">
        <w:t xml:space="preserve"> 367–379.</w:t>
      </w:r>
    </w:p>
    <w:p w:rsidR="00EE1DE3" w:rsidRPr="00EE1DE3" w:rsidRDefault="00EE1DE3" w:rsidP="00773890">
      <w:pPr>
        <w:jc w:val="both"/>
        <w:rPr>
          <w:lang w:val="en-US"/>
        </w:rPr>
      </w:pPr>
      <w:r w:rsidRPr="001B6360">
        <w:rPr>
          <w:b/>
          <w:lang w:val="en-US"/>
        </w:rPr>
        <w:t xml:space="preserve">Feys, B.J., Moisan, L.J., Newman, </w:t>
      </w:r>
      <w:proofErr w:type="gramStart"/>
      <w:r w:rsidRPr="001B6360">
        <w:rPr>
          <w:b/>
          <w:lang w:val="en-US"/>
        </w:rPr>
        <w:t>MA.,</w:t>
      </w:r>
      <w:proofErr w:type="gramEnd"/>
      <w:r w:rsidRPr="001B6360">
        <w:rPr>
          <w:b/>
          <w:lang w:val="en-US"/>
        </w:rPr>
        <w:t xml:space="preserve"> and Parker, J.E.</w:t>
      </w:r>
      <w:r w:rsidRPr="001B6360">
        <w:rPr>
          <w:lang w:val="en-US"/>
        </w:rPr>
        <w:t xml:space="preserve"> (2001). </w:t>
      </w:r>
      <w:proofErr w:type="gramStart"/>
      <w:r>
        <w:t>Direct interaction between the</w:t>
      </w:r>
      <w:r>
        <w:rPr>
          <w:lang w:val="en-US"/>
        </w:rPr>
        <w:t xml:space="preserve"> </w:t>
      </w:r>
      <w:r w:rsidRPr="00EE1DE3">
        <w:rPr>
          <w:i/>
        </w:rPr>
        <w:t>Arabidopsis</w:t>
      </w:r>
      <w:r>
        <w:t xml:space="preserve"> disease resistance signaling</w:t>
      </w:r>
      <w:r>
        <w:rPr>
          <w:lang w:val="en-US"/>
        </w:rPr>
        <w:t xml:space="preserve"> </w:t>
      </w:r>
      <w:r>
        <w:t>proteins, EDS1 and PAD4.</w:t>
      </w:r>
      <w:proofErr w:type="gramEnd"/>
      <w:r>
        <w:t xml:space="preserve"> EMBO J.</w:t>
      </w:r>
      <w:r>
        <w:rPr>
          <w:lang w:val="en-US"/>
        </w:rPr>
        <w:t xml:space="preserve"> </w:t>
      </w:r>
      <w:r w:rsidRPr="00EE1DE3">
        <w:rPr>
          <w:b/>
        </w:rPr>
        <w:t>20:</w:t>
      </w:r>
      <w:r>
        <w:t xml:space="preserve"> 5400–11.</w:t>
      </w:r>
    </w:p>
    <w:p w:rsidR="005C45F6" w:rsidRDefault="005C45F6" w:rsidP="00773890">
      <w:pPr>
        <w:jc w:val="both"/>
      </w:pPr>
      <w:r w:rsidRPr="005C45F6">
        <w:rPr>
          <w:b/>
        </w:rPr>
        <w:lastRenderedPageBreak/>
        <w:t xml:space="preserve">Flor, H.H. </w:t>
      </w:r>
      <w:r w:rsidRPr="005C45F6">
        <w:t xml:space="preserve">(1942). </w:t>
      </w:r>
      <w:proofErr w:type="gramStart"/>
      <w:r w:rsidRPr="005C45F6">
        <w:t>Inheritance of pathogenicity in Melampsora lini.</w:t>
      </w:r>
      <w:proofErr w:type="gramEnd"/>
      <w:r w:rsidRPr="005C45F6">
        <w:t xml:space="preserve"> Phytopathology </w:t>
      </w:r>
      <w:r w:rsidRPr="005C45F6">
        <w:rPr>
          <w:b/>
        </w:rPr>
        <w:t>32</w:t>
      </w:r>
      <w:r w:rsidRPr="00ED2BAD">
        <w:rPr>
          <w:b/>
        </w:rPr>
        <w:t>:</w:t>
      </w:r>
      <w:r w:rsidRPr="005C45F6">
        <w:t xml:space="preserve"> 653–69.</w:t>
      </w:r>
    </w:p>
    <w:p w:rsidR="0086420B" w:rsidRPr="0086420B" w:rsidRDefault="0086420B" w:rsidP="00773890">
      <w:pPr>
        <w:jc w:val="both"/>
      </w:pPr>
      <w:proofErr w:type="gramStart"/>
      <w:r w:rsidRPr="0086420B">
        <w:rPr>
          <w:b/>
          <w:lang w:val="en-US"/>
        </w:rPr>
        <w:t xml:space="preserve">Franke, R., Briesen, I., Wojciechowski, T., Faust, A., </w:t>
      </w:r>
      <w:r w:rsidRPr="0086420B">
        <w:rPr>
          <w:b/>
        </w:rPr>
        <w:t>Yephremov, A., Nawrath, C., and Schreiber, L.</w:t>
      </w:r>
      <w:r>
        <w:t xml:space="preserve"> (2005).</w:t>
      </w:r>
      <w:proofErr w:type="gramEnd"/>
      <w:r>
        <w:t xml:space="preserve"> Apoplastic polyesters in </w:t>
      </w:r>
      <w:r w:rsidRPr="0086420B">
        <w:rPr>
          <w:i/>
        </w:rPr>
        <w:t>Arabidopsis</w:t>
      </w:r>
      <w:r>
        <w:t xml:space="preserve"> surface tissues – A typical suberin and a particular cutin. </w:t>
      </w:r>
      <w:r w:rsidRPr="0086420B">
        <w:t>Phytoc</w:t>
      </w:r>
      <w:r w:rsidR="00A9499F">
        <w:t xml:space="preserve">hemistry </w:t>
      </w:r>
      <w:r w:rsidR="00A9499F" w:rsidRPr="00A9499F">
        <w:rPr>
          <w:b/>
        </w:rPr>
        <w:t>66:</w:t>
      </w:r>
      <w:r w:rsidRPr="0086420B">
        <w:t xml:space="preserve"> 2643–2658</w:t>
      </w:r>
      <w:r w:rsidR="00A9499F">
        <w:t>.</w:t>
      </w:r>
    </w:p>
    <w:p w:rsidR="00D7476B" w:rsidRPr="005C45F6" w:rsidRDefault="00D7476B" w:rsidP="00773890">
      <w:pPr>
        <w:jc w:val="both"/>
      </w:pPr>
      <w:proofErr w:type="gramStart"/>
      <w:r w:rsidRPr="00D7476B">
        <w:rPr>
          <w:b/>
        </w:rPr>
        <w:t>Frye, C.A. and Innes, R.W.</w:t>
      </w:r>
      <w:r>
        <w:t xml:space="preserve"> (1998).</w:t>
      </w:r>
      <w:proofErr w:type="gramEnd"/>
      <w:r>
        <w:t xml:space="preserve"> </w:t>
      </w:r>
      <w:proofErr w:type="gramStart"/>
      <w:r>
        <w:t xml:space="preserve">An </w:t>
      </w:r>
      <w:r w:rsidRPr="00674CD1">
        <w:rPr>
          <w:i/>
        </w:rPr>
        <w:t>Arabidopsis</w:t>
      </w:r>
      <w:r>
        <w:t xml:space="preserve"> Mutant with Enhanced Resistance to Powdery Mildew.</w:t>
      </w:r>
      <w:proofErr w:type="gramEnd"/>
      <w:r>
        <w:t xml:space="preserve"> The Plant Cell </w:t>
      </w:r>
      <w:r w:rsidRPr="00D7476B">
        <w:rPr>
          <w:b/>
        </w:rPr>
        <w:t>10:</w:t>
      </w:r>
      <w:r w:rsidRPr="00D7476B">
        <w:t xml:space="preserve"> 947–956</w:t>
      </w:r>
      <w:r>
        <w:t>.</w:t>
      </w:r>
    </w:p>
    <w:p w:rsidR="005C45F6" w:rsidRPr="005C45F6" w:rsidRDefault="005C45F6" w:rsidP="00773890">
      <w:pPr>
        <w:jc w:val="both"/>
      </w:pPr>
      <w:r w:rsidRPr="005C45F6">
        <w:rPr>
          <w:b/>
        </w:rPr>
        <w:t>Fu, Z.Q., Yan, S., Saleh, A., Wang, W., Ruble, J., Oka, N., Mohan, R., Spoel, S.H., Tada, Y., Zheng, N., and Dong, X.</w:t>
      </w:r>
      <w:r w:rsidRPr="005C45F6">
        <w:t xml:space="preserve"> (2012). NPR3 and NPR4 are receptors for the immune signal salicylic acid in plants. Nature </w:t>
      </w:r>
      <w:r w:rsidRPr="005C45F6">
        <w:rPr>
          <w:b/>
        </w:rPr>
        <w:t>486</w:t>
      </w:r>
      <w:r w:rsidRPr="00ED2BAD">
        <w:rPr>
          <w:b/>
        </w:rPr>
        <w:t>:</w:t>
      </w:r>
      <w:r w:rsidRPr="005C45F6">
        <w:t xml:space="preserve"> 228-233.</w:t>
      </w:r>
    </w:p>
    <w:p w:rsidR="005C45F6" w:rsidRPr="005C45F6" w:rsidRDefault="005C45F6" w:rsidP="00773890">
      <w:pPr>
        <w:jc w:val="both"/>
        <w:rPr>
          <w:iCs/>
        </w:rPr>
      </w:pPr>
      <w:r w:rsidRPr="005C45F6">
        <w:rPr>
          <w:b/>
          <w:iCs/>
        </w:rPr>
        <w:t>Glawischnig, E.</w:t>
      </w:r>
      <w:r w:rsidRPr="005C45F6">
        <w:rPr>
          <w:iCs/>
        </w:rPr>
        <w:t xml:space="preserve"> (2007). </w:t>
      </w:r>
      <w:proofErr w:type="gramStart"/>
      <w:r w:rsidRPr="005C45F6">
        <w:rPr>
          <w:iCs/>
        </w:rPr>
        <w:t>Molecules of interest-Camalexin.</w:t>
      </w:r>
      <w:proofErr w:type="gramEnd"/>
      <w:r w:rsidRPr="005C45F6">
        <w:rPr>
          <w:iCs/>
        </w:rPr>
        <w:t xml:space="preserve"> Phytochemistry </w:t>
      </w:r>
      <w:r w:rsidRPr="005C45F6">
        <w:rPr>
          <w:b/>
          <w:iCs/>
        </w:rPr>
        <w:t>68</w:t>
      </w:r>
      <w:r w:rsidRPr="00CD30F2">
        <w:rPr>
          <w:b/>
          <w:iCs/>
        </w:rPr>
        <w:t>:</w:t>
      </w:r>
      <w:r w:rsidRPr="005C45F6">
        <w:rPr>
          <w:iCs/>
        </w:rPr>
        <w:t xml:space="preserve"> 401–406.</w:t>
      </w:r>
    </w:p>
    <w:p w:rsidR="005C45F6" w:rsidRPr="005C45F6" w:rsidRDefault="005C45F6" w:rsidP="00773890">
      <w:pPr>
        <w:jc w:val="both"/>
        <w:rPr>
          <w:iCs/>
        </w:rPr>
      </w:pPr>
      <w:proofErr w:type="gramStart"/>
      <w:r w:rsidRPr="005C45F6">
        <w:rPr>
          <w:b/>
          <w:iCs/>
        </w:rPr>
        <w:t>Glazebrook, J. and Ausubel, F.M.</w:t>
      </w:r>
      <w:r w:rsidRPr="005C45F6">
        <w:rPr>
          <w:iCs/>
        </w:rPr>
        <w:t xml:space="preserve"> (1994).</w:t>
      </w:r>
      <w:proofErr w:type="gramEnd"/>
      <w:r w:rsidRPr="005C45F6">
        <w:rPr>
          <w:iCs/>
        </w:rPr>
        <w:t xml:space="preserve"> </w:t>
      </w:r>
      <w:proofErr w:type="gramStart"/>
      <w:r w:rsidRPr="005C45F6">
        <w:rPr>
          <w:iCs/>
        </w:rPr>
        <w:t xml:space="preserve">Isolation of phytoalexin-deficient mutants of </w:t>
      </w:r>
      <w:r w:rsidRPr="005C45F6">
        <w:rPr>
          <w:i/>
          <w:iCs/>
        </w:rPr>
        <w:t>Arabidopsis thaliana</w:t>
      </w:r>
      <w:r w:rsidRPr="005C45F6">
        <w:rPr>
          <w:iCs/>
        </w:rPr>
        <w:t xml:space="preserve"> and characterization of their interactions with bacterial pathogens.</w:t>
      </w:r>
      <w:proofErr w:type="gramEnd"/>
      <w:r w:rsidRPr="005C45F6">
        <w:rPr>
          <w:iCs/>
        </w:rPr>
        <w:t xml:space="preserve">  PNAS </w:t>
      </w:r>
      <w:r w:rsidRPr="005C45F6">
        <w:rPr>
          <w:b/>
          <w:iCs/>
        </w:rPr>
        <w:t>91</w:t>
      </w:r>
      <w:r w:rsidRPr="00CD30F2">
        <w:rPr>
          <w:b/>
          <w:iCs/>
        </w:rPr>
        <w:t>:</w:t>
      </w:r>
      <w:r w:rsidRPr="005C45F6">
        <w:rPr>
          <w:iCs/>
        </w:rPr>
        <w:t xml:space="preserve"> 8955-8959.</w:t>
      </w:r>
    </w:p>
    <w:p w:rsidR="005C45F6" w:rsidRPr="005C45F6" w:rsidRDefault="005C45F6" w:rsidP="00773890">
      <w:pPr>
        <w:jc w:val="both"/>
        <w:rPr>
          <w:iCs/>
        </w:rPr>
      </w:pPr>
      <w:r w:rsidRPr="005C45F6">
        <w:rPr>
          <w:b/>
          <w:iCs/>
        </w:rPr>
        <w:t>Glazebrook, J.</w:t>
      </w:r>
      <w:r w:rsidRPr="005C45F6">
        <w:rPr>
          <w:iCs/>
        </w:rPr>
        <w:t xml:space="preserve"> (2005). </w:t>
      </w:r>
      <w:proofErr w:type="gramStart"/>
      <w:r w:rsidRPr="005C45F6">
        <w:rPr>
          <w:iCs/>
        </w:rPr>
        <w:t>Contrasting Mechanisms of Defense against Biotrophic and Necrotrophic Pathogens.</w:t>
      </w:r>
      <w:proofErr w:type="gramEnd"/>
      <w:r w:rsidRPr="005C45F6">
        <w:rPr>
          <w:iCs/>
        </w:rPr>
        <w:t xml:space="preserve"> </w:t>
      </w:r>
      <w:proofErr w:type="gramStart"/>
      <w:r w:rsidRPr="005C45F6">
        <w:rPr>
          <w:iCs/>
        </w:rPr>
        <w:t>Annu.</w:t>
      </w:r>
      <w:proofErr w:type="gramEnd"/>
      <w:r w:rsidRPr="005C45F6">
        <w:rPr>
          <w:iCs/>
        </w:rPr>
        <w:t xml:space="preserve"> Rev. Phytopathol. </w:t>
      </w:r>
      <w:r w:rsidRPr="005C45F6">
        <w:rPr>
          <w:b/>
          <w:iCs/>
        </w:rPr>
        <w:t>43</w:t>
      </w:r>
      <w:r w:rsidRPr="00CD30F2">
        <w:rPr>
          <w:b/>
          <w:iCs/>
        </w:rPr>
        <w:t>:</w:t>
      </w:r>
      <w:r w:rsidRPr="005C45F6">
        <w:rPr>
          <w:iCs/>
        </w:rPr>
        <w:t xml:space="preserve"> 205–227.</w:t>
      </w:r>
    </w:p>
    <w:p w:rsidR="005C45F6" w:rsidRPr="005C45F6" w:rsidRDefault="005C45F6" w:rsidP="00773890">
      <w:pPr>
        <w:jc w:val="both"/>
        <w:rPr>
          <w:iCs/>
        </w:rPr>
      </w:pPr>
      <w:proofErr w:type="gramStart"/>
      <w:r w:rsidRPr="005C45F6">
        <w:rPr>
          <w:b/>
          <w:iCs/>
        </w:rPr>
        <w:t xml:space="preserve">Gómez-Gómez, L. and Boller, T. </w:t>
      </w:r>
      <w:r w:rsidRPr="005C45F6">
        <w:rPr>
          <w:iCs/>
        </w:rPr>
        <w:t>(2000).</w:t>
      </w:r>
      <w:proofErr w:type="gramEnd"/>
      <w:r w:rsidRPr="005C45F6">
        <w:rPr>
          <w:iCs/>
        </w:rPr>
        <w:t xml:space="preserve"> FLS2: An LRR Receptor–like Kinase Involved in the Perception of the Bacterial Elicitor Flagellin in Arabidopsis. Molecular Cell </w:t>
      </w:r>
      <w:r w:rsidRPr="005C45F6">
        <w:rPr>
          <w:b/>
          <w:iCs/>
        </w:rPr>
        <w:t>5</w:t>
      </w:r>
      <w:r w:rsidRPr="00CD30F2">
        <w:rPr>
          <w:b/>
          <w:iCs/>
        </w:rPr>
        <w:t>:</w:t>
      </w:r>
      <w:r w:rsidRPr="005C45F6">
        <w:rPr>
          <w:iCs/>
        </w:rPr>
        <w:t xml:space="preserve"> 1003–1011.</w:t>
      </w:r>
    </w:p>
    <w:p w:rsidR="005C45F6" w:rsidRPr="00CD30F2" w:rsidRDefault="005C45F6" w:rsidP="00773890">
      <w:pPr>
        <w:jc w:val="both"/>
        <w:rPr>
          <w:bCs/>
          <w:iCs/>
        </w:rPr>
      </w:pPr>
      <w:proofErr w:type="gramStart"/>
      <w:r w:rsidRPr="005C45F6">
        <w:rPr>
          <w:b/>
          <w:iCs/>
        </w:rPr>
        <w:t xml:space="preserve">Govrin, E.M. and Levine, A. </w:t>
      </w:r>
      <w:r w:rsidRPr="005C45F6">
        <w:rPr>
          <w:iCs/>
        </w:rPr>
        <w:t>(2000).</w:t>
      </w:r>
      <w:proofErr w:type="gramEnd"/>
      <w:r w:rsidRPr="005C45F6">
        <w:rPr>
          <w:iCs/>
        </w:rPr>
        <w:t xml:space="preserve"> </w:t>
      </w:r>
      <w:r w:rsidRPr="005C45F6">
        <w:rPr>
          <w:bCs/>
          <w:iCs/>
        </w:rPr>
        <w:t>The hypersensitive response fac</w:t>
      </w:r>
      <w:r w:rsidR="00CD30F2">
        <w:rPr>
          <w:bCs/>
          <w:iCs/>
        </w:rPr>
        <w:t xml:space="preserve">ilitates plant infection by the </w:t>
      </w:r>
      <w:r w:rsidRPr="005C45F6">
        <w:rPr>
          <w:bCs/>
          <w:iCs/>
        </w:rPr>
        <w:t xml:space="preserve">necrotrophic pathogen </w:t>
      </w:r>
      <w:r w:rsidRPr="005C45F6">
        <w:rPr>
          <w:bCs/>
          <w:i/>
          <w:iCs/>
        </w:rPr>
        <w:t xml:space="preserve">Botrytis cinerea. </w:t>
      </w:r>
      <w:r w:rsidRPr="005C45F6">
        <w:rPr>
          <w:bCs/>
          <w:iCs/>
        </w:rPr>
        <w:t>Current Biology</w:t>
      </w:r>
      <w:r w:rsidRPr="005C45F6">
        <w:rPr>
          <w:b/>
          <w:bCs/>
          <w:iCs/>
        </w:rPr>
        <w:t xml:space="preserve"> 10</w:t>
      </w:r>
      <w:r w:rsidRPr="00CD30F2">
        <w:rPr>
          <w:b/>
          <w:bCs/>
          <w:iCs/>
        </w:rPr>
        <w:t>:</w:t>
      </w:r>
      <w:r w:rsidR="00CD30F2" w:rsidRPr="00CD30F2">
        <w:rPr>
          <w:b/>
          <w:bCs/>
          <w:iCs/>
        </w:rPr>
        <w:t xml:space="preserve"> </w:t>
      </w:r>
      <w:r w:rsidRPr="005C45F6">
        <w:rPr>
          <w:bCs/>
          <w:iCs/>
        </w:rPr>
        <w:t>751–757.</w:t>
      </w:r>
    </w:p>
    <w:p w:rsidR="005C45F6" w:rsidRPr="005C45F6" w:rsidRDefault="005C45F6" w:rsidP="00773890">
      <w:pPr>
        <w:jc w:val="both"/>
        <w:rPr>
          <w:bCs/>
          <w:iCs/>
        </w:rPr>
      </w:pPr>
      <w:proofErr w:type="gramStart"/>
      <w:r w:rsidRPr="005C45F6">
        <w:rPr>
          <w:b/>
          <w:iCs/>
        </w:rPr>
        <w:t>Govrin, E.M. and Levine, A.</w:t>
      </w:r>
      <w:r w:rsidRPr="005C45F6">
        <w:rPr>
          <w:iCs/>
        </w:rPr>
        <w:t xml:space="preserve"> (2002).</w:t>
      </w:r>
      <w:proofErr w:type="gramEnd"/>
      <w:r w:rsidRPr="005C45F6">
        <w:rPr>
          <w:iCs/>
        </w:rPr>
        <w:t xml:space="preserve"> </w:t>
      </w:r>
      <w:r w:rsidRPr="005C45F6">
        <w:rPr>
          <w:bCs/>
          <w:iCs/>
        </w:rPr>
        <w:t xml:space="preserve">Infection of </w:t>
      </w:r>
      <w:r w:rsidRPr="005C45F6">
        <w:rPr>
          <w:bCs/>
          <w:i/>
          <w:iCs/>
        </w:rPr>
        <w:t xml:space="preserve">Arabidopsis </w:t>
      </w:r>
      <w:r w:rsidRPr="005C45F6">
        <w:rPr>
          <w:bCs/>
          <w:iCs/>
        </w:rPr>
        <w:t xml:space="preserve">with a necrotrophic pathogen, </w:t>
      </w:r>
      <w:r w:rsidRPr="005C45F6">
        <w:rPr>
          <w:bCs/>
          <w:i/>
          <w:iCs/>
        </w:rPr>
        <w:t>Botrytis cinerea</w:t>
      </w:r>
      <w:r w:rsidRPr="005C45F6">
        <w:rPr>
          <w:bCs/>
          <w:iCs/>
        </w:rPr>
        <w:t xml:space="preserve">, elicits various defense responses but does not induce systemic acquired resistance (SAR). </w:t>
      </w:r>
      <w:r w:rsidRPr="005C45F6">
        <w:rPr>
          <w:bCs/>
          <w:i/>
          <w:iCs/>
        </w:rPr>
        <w:t xml:space="preserve">Plant Molecular Biology </w:t>
      </w:r>
      <w:r w:rsidRPr="005C45F6">
        <w:rPr>
          <w:b/>
          <w:bCs/>
          <w:iCs/>
        </w:rPr>
        <w:t xml:space="preserve">48: </w:t>
      </w:r>
      <w:r w:rsidRPr="005C45F6">
        <w:rPr>
          <w:bCs/>
          <w:iCs/>
        </w:rPr>
        <w:t>267–276.</w:t>
      </w:r>
    </w:p>
    <w:p w:rsidR="005C45F6" w:rsidRDefault="005C45F6" w:rsidP="00773890">
      <w:pPr>
        <w:jc w:val="both"/>
        <w:rPr>
          <w:bCs/>
          <w:iCs/>
        </w:rPr>
      </w:pPr>
      <w:proofErr w:type="gramStart"/>
      <w:r w:rsidRPr="00E0008D">
        <w:rPr>
          <w:b/>
          <w:bCs/>
          <w:iCs/>
          <w:lang w:val="en-US"/>
        </w:rPr>
        <w:t>Gruner, K., Griebel, T., Návarová, H., Attaran, E., and Zeier, J.</w:t>
      </w:r>
      <w:r w:rsidRPr="00E0008D">
        <w:rPr>
          <w:bCs/>
          <w:iCs/>
          <w:lang w:val="en-US"/>
        </w:rPr>
        <w:t xml:space="preserve"> (2013).</w:t>
      </w:r>
      <w:proofErr w:type="gramEnd"/>
      <w:r w:rsidRPr="00E0008D">
        <w:rPr>
          <w:bCs/>
          <w:iCs/>
          <w:lang w:val="en-US"/>
        </w:rPr>
        <w:t xml:space="preserve"> </w:t>
      </w:r>
      <w:proofErr w:type="gramStart"/>
      <w:r w:rsidRPr="005C45F6">
        <w:rPr>
          <w:bCs/>
          <w:iCs/>
        </w:rPr>
        <w:t>Reprogramming of plants during systemic acquired resistance.</w:t>
      </w:r>
      <w:proofErr w:type="gramEnd"/>
      <w:r w:rsidRPr="005C45F6">
        <w:rPr>
          <w:bCs/>
          <w:iCs/>
        </w:rPr>
        <w:t xml:space="preserve">  Frontiers in Plant Science </w:t>
      </w:r>
      <w:r w:rsidRPr="005C45F6">
        <w:rPr>
          <w:b/>
          <w:bCs/>
          <w:iCs/>
        </w:rPr>
        <w:t>4</w:t>
      </w:r>
      <w:r w:rsidRPr="00CD30F2">
        <w:rPr>
          <w:b/>
          <w:bCs/>
          <w:iCs/>
        </w:rPr>
        <w:t>:</w:t>
      </w:r>
      <w:r w:rsidRPr="005C45F6">
        <w:rPr>
          <w:bCs/>
          <w:iCs/>
        </w:rPr>
        <w:t xml:space="preserve"> 1-28.</w:t>
      </w:r>
    </w:p>
    <w:p w:rsidR="000E49AB" w:rsidRPr="005C45F6" w:rsidRDefault="000E49AB" w:rsidP="00773890">
      <w:pPr>
        <w:jc w:val="both"/>
        <w:rPr>
          <w:bCs/>
          <w:iCs/>
        </w:rPr>
      </w:pPr>
      <w:proofErr w:type="gramStart"/>
      <w:r w:rsidRPr="000E49AB">
        <w:rPr>
          <w:b/>
          <w:bCs/>
          <w:iCs/>
        </w:rPr>
        <w:t>Gu</w:t>
      </w:r>
      <w:proofErr w:type="gramEnd"/>
      <w:r w:rsidRPr="000E49AB">
        <w:rPr>
          <w:b/>
          <w:bCs/>
          <w:iCs/>
        </w:rPr>
        <w:t>, Y. Q., Wildermuth, M. C., Chakravarthy, S., Loh, Y. T., Yang, C., He, X., Han, Y., and Martin, G. B.</w:t>
      </w:r>
      <w:r w:rsidRPr="000E49AB">
        <w:rPr>
          <w:bCs/>
          <w:iCs/>
        </w:rPr>
        <w:t xml:space="preserve"> </w:t>
      </w:r>
      <w:r>
        <w:rPr>
          <w:bCs/>
          <w:iCs/>
        </w:rPr>
        <w:t>(</w:t>
      </w:r>
      <w:r w:rsidRPr="000E49AB">
        <w:rPr>
          <w:bCs/>
          <w:iCs/>
        </w:rPr>
        <w:t>2002</w:t>
      </w:r>
      <w:r>
        <w:rPr>
          <w:bCs/>
          <w:iCs/>
        </w:rPr>
        <w:t>)</w:t>
      </w:r>
      <w:r w:rsidRPr="000E49AB">
        <w:rPr>
          <w:bCs/>
          <w:iCs/>
        </w:rPr>
        <w:t>. Tom</w:t>
      </w:r>
      <w:r>
        <w:rPr>
          <w:bCs/>
          <w:iCs/>
        </w:rPr>
        <w:t xml:space="preserve">ato transcription factors Pti4, </w:t>
      </w:r>
      <w:r w:rsidRPr="000E49AB">
        <w:rPr>
          <w:bCs/>
          <w:iCs/>
        </w:rPr>
        <w:t>Pti5, and Pti6 activate defense respo</w:t>
      </w:r>
      <w:r>
        <w:rPr>
          <w:bCs/>
          <w:iCs/>
        </w:rPr>
        <w:t xml:space="preserve">nses in </w:t>
      </w:r>
      <w:r w:rsidRPr="000E49AB">
        <w:rPr>
          <w:bCs/>
          <w:i/>
          <w:iCs/>
        </w:rPr>
        <w:t>Arabidopsis</w:t>
      </w:r>
      <w:r>
        <w:rPr>
          <w:bCs/>
          <w:iCs/>
        </w:rPr>
        <w:t xml:space="preserve">. Plant Cell </w:t>
      </w:r>
      <w:r w:rsidRPr="000E49AB">
        <w:rPr>
          <w:b/>
          <w:bCs/>
          <w:iCs/>
        </w:rPr>
        <w:t>14:</w:t>
      </w:r>
      <w:r>
        <w:rPr>
          <w:bCs/>
          <w:iCs/>
        </w:rPr>
        <w:t xml:space="preserve"> </w:t>
      </w:r>
      <w:r w:rsidRPr="000E49AB">
        <w:rPr>
          <w:bCs/>
          <w:iCs/>
        </w:rPr>
        <w:t>817-831.</w:t>
      </w:r>
    </w:p>
    <w:p w:rsidR="005C45F6" w:rsidRDefault="005C45F6" w:rsidP="00773890">
      <w:pPr>
        <w:jc w:val="both"/>
        <w:rPr>
          <w:bCs/>
          <w:iCs/>
        </w:rPr>
      </w:pPr>
      <w:proofErr w:type="gramStart"/>
      <w:r w:rsidRPr="005C45F6">
        <w:rPr>
          <w:b/>
          <w:bCs/>
          <w:iCs/>
        </w:rPr>
        <w:t>Gupta, V., Willits, M.G., and Glazebrook, J.</w:t>
      </w:r>
      <w:r w:rsidRPr="005C45F6">
        <w:rPr>
          <w:bCs/>
          <w:iCs/>
        </w:rPr>
        <w:t xml:space="preserve"> (2000).</w:t>
      </w:r>
      <w:proofErr w:type="gramEnd"/>
      <w:r w:rsidRPr="005C45F6">
        <w:rPr>
          <w:bCs/>
          <w:iCs/>
        </w:rPr>
        <w:t xml:space="preserve"> </w:t>
      </w:r>
      <w:r w:rsidRPr="005C45F6">
        <w:rPr>
          <w:bCs/>
          <w:i/>
          <w:iCs/>
        </w:rPr>
        <w:t>Arabidopsis thaliana EDS4</w:t>
      </w:r>
      <w:r w:rsidRPr="005C45F6">
        <w:rPr>
          <w:bCs/>
          <w:iCs/>
        </w:rPr>
        <w:t xml:space="preserve"> Contributes to Salicylic Acid (SA)-Dependent Expression of Defense Responses: Evidence for Inhibition of Jasmonic Acid Signaling by SA. MPMI </w:t>
      </w:r>
      <w:r w:rsidRPr="005C45F6">
        <w:rPr>
          <w:b/>
          <w:bCs/>
          <w:iCs/>
        </w:rPr>
        <w:t>13</w:t>
      </w:r>
      <w:r w:rsidRPr="00CD30F2">
        <w:rPr>
          <w:b/>
          <w:bCs/>
          <w:iCs/>
        </w:rPr>
        <w:t>:</w:t>
      </w:r>
      <w:r w:rsidR="004211F7">
        <w:rPr>
          <w:bCs/>
          <w:iCs/>
        </w:rPr>
        <w:t xml:space="preserve"> 503-</w:t>
      </w:r>
      <w:r w:rsidRPr="005C45F6">
        <w:rPr>
          <w:bCs/>
          <w:iCs/>
        </w:rPr>
        <w:t>511.</w:t>
      </w:r>
    </w:p>
    <w:p w:rsidR="00553428" w:rsidRPr="005C45F6" w:rsidRDefault="004211F7" w:rsidP="00773890">
      <w:pPr>
        <w:jc w:val="both"/>
        <w:rPr>
          <w:bCs/>
          <w:iCs/>
        </w:rPr>
      </w:pPr>
      <w:r w:rsidRPr="004211F7">
        <w:rPr>
          <w:b/>
          <w:bCs/>
          <w:iCs/>
        </w:rPr>
        <w:t>Hamel, L.P., Nicole, M.C., Sritubtim, S., Morency, M.J., Ellis, M., Ehlting, J., Beaudoin, N., Barbazuk, B., Klessig, D., Lee, J., Martin, G., Mundy, J., Ohashi, Y., Scheel, D., Sheen, J., Xing, T., Zhang, S., Seguin, A., and Ellis, B.E.</w:t>
      </w:r>
      <w:r w:rsidR="00553428" w:rsidRPr="00553428">
        <w:rPr>
          <w:bCs/>
          <w:iCs/>
        </w:rPr>
        <w:t xml:space="preserve"> </w:t>
      </w:r>
      <w:r>
        <w:rPr>
          <w:bCs/>
          <w:iCs/>
        </w:rPr>
        <w:t>(</w:t>
      </w:r>
      <w:r w:rsidR="00553428" w:rsidRPr="00553428">
        <w:rPr>
          <w:bCs/>
          <w:iCs/>
        </w:rPr>
        <w:t>200</w:t>
      </w:r>
      <w:r>
        <w:rPr>
          <w:bCs/>
          <w:iCs/>
        </w:rPr>
        <w:t xml:space="preserve">6). Ancient signals: comparative </w:t>
      </w:r>
      <w:r w:rsidR="00553428" w:rsidRPr="00553428">
        <w:rPr>
          <w:bCs/>
          <w:iCs/>
        </w:rPr>
        <w:t xml:space="preserve">genomics of plant MAPK and MAPKK gene families. Trends Plant Sci. </w:t>
      </w:r>
      <w:r w:rsidR="00553428" w:rsidRPr="004211F7">
        <w:rPr>
          <w:b/>
          <w:bCs/>
          <w:iCs/>
        </w:rPr>
        <w:t>11:</w:t>
      </w:r>
      <w:r>
        <w:rPr>
          <w:bCs/>
          <w:iCs/>
        </w:rPr>
        <w:t xml:space="preserve"> 192-</w:t>
      </w:r>
      <w:r w:rsidR="00553428" w:rsidRPr="00553428">
        <w:rPr>
          <w:bCs/>
          <w:iCs/>
        </w:rPr>
        <w:t>98</w:t>
      </w:r>
      <w:r>
        <w:rPr>
          <w:bCs/>
          <w:iCs/>
        </w:rPr>
        <w:t>.</w:t>
      </w:r>
    </w:p>
    <w:p w:rsidR="00DE0D6E" w:rsidRDefault="00DE0D6E" w:rsidP="00773890">
      <w:pPr>
        <w:jc w:val="both"/>
        <w:rPr>
          <w:b/>
          <w:bCs/>
          <w:iCs/>
          <w:lang w:val="en-US"/>
        </w:rPr>
      </w:pPr>
    </w:p>
    <w:p w:rsidR="005C45F6" w:rsidRPr="005C45F6" w:rsidRDefault="005C45F6" w:rsidP="00773890">
      <w:pPr>
        <w:jc w:val="both"/>
        <w:rPr>
          <w:bCs/>
          <w:iCs/>
          <w:lang w:val="en-US"/>
        </w:rPr>
      </w:pPr>
      <w:proofErr w:type="gramStart"/>
      <w:r w:rsidRPr="00E0008D">
        <w:rPr>
          <w:b/>
          <w:bCs/>
          <w:iCs/>
          <w:lang w:val="en-US"/>
        </w:rPr>
        <w:lastRenderedPageBreak/>
        <w:t>Hansjakob, A., Riederer, M., and Hildebrandt, U.</w:t>
      </w:r>
      <w:r w:rsidRPr="00E0008D">
        <w:rPr>
          <w:bCs/>
          <w:iCs/>
          <w:lang w:val="en-US"/>
        </w:rPr>
        <w:t xml:space="preserve"> (2011).</w:t>
      </w:r>
      <w:proofErr w:type="gramEnd"/>
      <w:r w:rsidRPr="00E0008D">
        <w:rPr>
          <w:bCs/>
          <w:iCs/>
          <w:lang w:val="en-US"/>
        </w:rPr>
        <w:t xml:space="preserve"> </w:t>
      </w:r>
      <w:r w:rsidRPr="005C45F6">
        <w:rPr>
          <w:bCs/>
          <w:iCs/>
          <w:lang w:val="en-US"/>
        </w:rPr>
        <w:t xml:space="preserve">Wax matters: absence of very-long-chain aldehydes from the leaf cuticular wax of the </w:t>
      </w:r>
      <w:r w:rsidRPr="005C45F6">
        <w:rPr>
          <w:bCs/>
          <w:i/>
          <w:iCs/>
          <w:lang w:val="en-US"/>
        </w:rPr>
        <w:t>glossy11</w:t>
      </w:r>
      <w:r w:rsidRPr="005C45F6">
        <w:rPr>
          <w:bCs/>
          <w:iCs/>
          <w:lang w:val="en-US"/>
        </w:rPr>
        <w:t xml:space="preserve"> mutant of maize compromises the prepenetration processes of </w:t>
      </w:r>
      <w:r w:rsidRPr="005C45F6">
        <w:rPr>
          <w:bCs/>
          <w:i/>
          <w:iCs/>
          <w:lang w:val="en-US"/>
        </w:rPr>
        <w:t xml:space="preserve">Blumeria graminis. Plant Pathology </w:t>
      </w:r>
      <w:r w:rsidRPr="005C45F6">
        <w:rPr>
          <w:b/>
          <w:bCs/>
          <w:iCs/>
          <w:lang w:val="en-US"/>
        </w:rPr>
        <w:t>60</w:t>
      </w:r>
      <w:r w:rsidRPr="00CD30F2">
        <w:rPr>
          <w:b/>
          <w:bCs/>
          <w:iCs/>
          <w:lang w:val="en-US"/>
        </w:rPr>
        <w:t>:</w:t>
      </w:r>
      <w:r w:rsidRPr="005C45F6">
        <w:rPr>
          <w:bCs/>
          <w:iCs/>
          <w:lang w:val="en-US"/>
        </w:rPr>
        <w:t xml:space="preserve"> 1151–1161.</w:t>
      </w:r>
    </w:p>
    <w:p w:rsidR="005C45F6" w:rsidRDefault="005C45F6" w:rsidP="00773890">
      <w:pPr>
        <w:jc w:val="both"/>
        <w:rPr>
          <w:bCs/>
          <w:iCs/>
          <w:lang w:val="en-US"/>
        </w:rPr>
      </w:pPr>
      <w:r w:rsidRPr="005C45F6">
        <w:rPr>
          <w:b/>
          <w:bCs/>
          <w:iCs/>
          <w:lang w:val="en-US"/>
        </w:rPr>
        <w:t>Heese, A., Hann, D.R., Gimenez-Ibanez, S., Jones, A.M.E., He, K., Li, J., Schroeder, J.I., Peck, S.C., and Rathjen, J.P.</w:t>
      </w:r>
      <w:r w:rsidRPr="005C45F6">
        <w:rPr>
          <w:bCs/>
          <w:iCs/>
          <w:lang w:val="en-US"/>
        </w:rPr>
        <w:t xml:space="preserve"> (2007). The receptor-like kinase SERK3/BAK1 is a central regulator of innate immunity in plants. PNAS </w:t>
      </w:r>
      <w:r w:rsidRPr="005C45F6">
        <w:rPr>
          <w:b/>
          <w:bCs/>
          <w:iCs/>
          <w:lang w:val="en-US"/>
        </w:rPr>
        <w:t>104</w:t>
      </w:r>
      <w:r w:rsidRPr="00CD30F2">
        <w:rPr>
          <w:b/>
          <w:bCs/>
          <w:iCs/>
          <w:lang w:val="en-US"/>
        </w:rPr>
        <w:t xml:space="preserve">: </w:t>
      </w:r>
      <w:r w:rsidRPr="005C45F6">
        <w:rPr>
          <w:bCs/>
          <w:iCs/>
          <w:lang w:val="en-US"/>
        </w:rPr>
        <w:t>12217–12222.</w:t>
      </w:r>
    </w:p>
    <w:p w:rsidR="00921F22" w:rsidRPr="005C45F6" w:rsidRDefault="00553428" w:rsidP="00773890">
      <w:pPr>
        <w:jc w:val="both"/>
        <w:rPr>
          <w:bCs/>
          <w:iCs/>
          <w:lang w:val="en-US"/>
        </w:rPr>
      </w:pPr>
      <w:r>
        <w:rPr>
          <w:b/>
          <w:bCs/>
          <w:iCs/>
          <w:lang w:val="en-US"/>
        </w:rPr>
        <w:t xml:space="preserve">Ichimura, K., Shinozakia, K., Tena, G., Sheen, J., Henry, Y., Champion, A., Kreis, M., </w:t>
      </w:r>
      <w:r w:rsidR="00921F22" w:rsidRPr="00921F22">
        <w:rPr>
          <w:b/>
          <w:bCs/>
          <w:iCs/>
          <w:lang w:val="en-US"/>
        </w:rPr>
        <w:t>Zhang, S., Hirt, H., Wilson, C., Heberle-Bors, E., Ellis, B.E., Morris, P.C.</w:t>
      </w:r>
      <w:r>
        <w:rPr>
          <w:b/>
          <w:bCs/>
          <w:iCs/>
          <w:lang w:val="en-US"/>
        </w:rPr>
        <w:t>,</w:t>
      </w:r>
      <w:r w:rsidR="00921F22" w:rsidRPr="00921F22">
        <w:rPr>
          <w:b/>
          <w:bCs/>
          <w:iCs/>
          <w:lang w:val="en-US"/>
        </w:rPr>
        <w:t xml:space="preserve"> Innes, R.W., Ecker, J.R., Scheel, D., Klessig, D.F., Machida, Y., Mundy, J., Ohashi, Y., and Walker, J.C.</w:t>
      </w:r>
      <w:r w:rsidR="00921F22">
        <w:rPr>
          <w:bCs/>
          <w:iCs/>
          <w:lang w:val="en-US"/>
        </w:rPr>
        <w:t xml:space="preserve"> (</w:t>
      </w:r>
      <w:r w:rsidR="00921F22" w:rsidRPr="00921F22">
        <w:rPr>
          <w:bCs/>
          <w:iCs/>
          <w:lang w:val="en-US"/>
        </w:rPr>
        <w:t>2002</w:t>
      </w:r>
      <w:r w:rsidR="00921F22">
        <w:rPr>
          <w:bCs/>
          <w:iCs/>
          <w:lang w:val="en-US"/>
        </w:rPr>
        <w:t>)</w:t>
      </w:r>
      <w:r w:rsidR="00921F22" w:rsidRPr="00921F22">
        <w:rPr>
          <w:bCs/>
          <w:iCs/>
          <w:lang w:val="en-US"/>
        </w:rPr>
        <w:t>. M</w:t>
      </w:r>
      <w:r w:rsidR="00921F22">
        <w:rPr>
          <w:bCs/>
          <w:iCs/>
          <w:lang w:val="en-US"/>
        </w:rPr>
        <w:t xml:space="preserve">itogen-activated protein kinase </w:t>
      </w:r>
      <w:r w:rsidR="00921F22" w:rsidRPr="00921F22">
        <w:rPr>
          <w:bCs/>
          <w:iCs/>
          <w:lang w:val="en-US"/>
        </w:rPr>
        <w:t xml:space="preserve">cascades in plants: a new nomenclature. Trends Plant Sci. </w:t>
      </w:r>
      <w:r w:rsidR="00921F22" w:rsidRPr="00921F22">
        <w:rPr>
          <w:b/>
          <w:bCs/>
          <w:iCs/>
          <w:lang w:val="en-US"/>
        </w:rPr>
        <w:t>7:</w:t>
      </w:r>
      <w:r w:rsidR="00921F22">
        <w:rPr>
          <w:bCs/>
          <w:iCs/>
          <w:lang w:val="en-US"/>
        </w:rPr>
        <w:t xml:space="preserve"> </w:t>
      </w:r>
      <w:r w:rsidR="00921F22" w:rsidRPr="00921F22">
        <w:rPr>
          <w:bCs/>
          <w:iCs/>
          <w:lang w:val="en-US"/>
        </w:rPr>
        <w:t>301–8</w:t>
      </w:r>
      <w:r w:rsidR="00921F22">
        <w:rPr>
          <w:bCs/>
          <w:iCs/>
          <w:lang w:val="en-US"/>
        </w:rPr>
        <w:t>.</w:t>
      </w:r>
    </w:p>
    <w:p w:rsidR="005C45F6" w:rsidRDefault="005C45F6" w:rsidP="00773890">
      <w:pPr>
        <w:jc w:val="both"/>
        <w:rPr>
          <w:bCs/>
          <w:iCs/>
        </w:rPr>
      </w:pPr>
      <w:proofErr w:type="gramStart"/>
      <w:r w:rsidRPr="005C45F6">
        <w:rPr>
          <w:b/>
          <w:bCs/>
          <w:iCs/>
        </w:rPr>
        <w:t>Jaskiewicz, M., Conrath, U., and Peterhänsel, C</w:t>
      </w:r>
      <w:r w:rsidRPr="00CD30F2">
        <w:rPr>
          <w:b/>
          <w:bCs/>
          <w:iCs/>
        </w:rPr>
        <w:t xml:space="preserve">. </w:t>
      </w:r>
      <w:r w:rsidRPr="005C45F6">
        <w:rPr>
          <w:bCs/>
          <w:iCs/>
        </w:rPr>
        <w:t>(2011).</w:t>
      </w:r>
      <w:proofErr w:type="gramEnd"/>
      <w:r w:rsidRPr="005C45F6">
        <w:rPr>
          <w:bCs/>
          <w:iCs/>
        </w:rPr>
        <w:t xml:space="preserve"> Chromatin modification acts as a memory for systemic acquired resistance in the plant stress response. EMBO reports </w:t>
      </w:r>
      <w:r w:rsidRPr="005C45F6">
        <w:rPr>
          <w:b/>
          <w:bCs/>
          <w:iCs/>
        </w:rPr>
        <w:t>12</w:t>
      </w:r>
      <w:r w:rsidRPr="00CD30F2">
        <w:rPr>
          <w:b/>
          <w:bCs/>
          <w:iCs/>
        </w:rPr>
        <w:t>:</w:t>
      </w:r>
      <w:r w:rsidRPr="005C45F6">
        <w:rPr>
          <w:bCs/>
          <w:iCs/>
        </w:rPr>
        <w:t xml:space="preserve"> 50-55. </w:t>
      </w:r>
    </w:p>
    <w:p w:rsidR="00143760" w:rsidRPr="005C45F6" w:rsidRDefault="00143760" w:rsidP="00773890">
      <w:pPr>
        <w:jc w:val="both"/>
        <w:rPr>
          <w:bCs/>
          <w:iCs/>
        </w:rPr>
      </w:pPr>
      <w:proofErr w:type="gramStart"/>
      <w:r w:rsidRPr="00143760">
        <w:rPr>
          <w:b/>
          <w:bCs/>
          <w:iCs/>
        </w:rPr>
        <w:t>Jirage, D., Tootle, T.L., Reuber, T.L., Frost, L.N., Feys, B.J., Parker, J.E., Ausubel, F.M., and Glazebrook, J.</w:t>
      </w:r>
      <w:r>
        <w:rPr>
          <w:bCs/>
          <w:iCs/>
        </w:rPr>
        <w:t xml:space="preserve"> (1999).</w:t>
      </w:r>
      <w:proofErr w:type="gramEnd"/>
      <w:r>
        <w:rPr>
          <w:bCs/>
          <w:iCs/>
        </w:rPr>
        <w:t xml:space="preserve"> </w:t>
      </w:r>
      <w:r w:rsidRPr="00143760">
        <w:rPr>
          <w:bCs/>
          <w:i/>
          <w:iCs/>
        </w:rPr>
        <w:t>Arabidopsis thaliana PAD4</w:t>
      </w:r>
      <w:r>
        <w:rPr>
          <w:bCs/>
          <w:iCs/>
        </w:rPr>
        <w:t xml:space="preserve"> encodes a lipase-like gene </w:t>
      </w:r>
      <w:r w:rsidRPr="00143760">
        <w:rPr>
          <w:bCs/>
          <w:iCs/>
        </w:rPr>
        <w:t>that is important for salicylic acid signaling</w:t>
      </w:r>
      <w:r>
        <w:rPr>
          <w:bCs/>
          <w:iCs/>
        </w:rPr>
        <w:t xml:space="preserve">. PNAS </w:t>
      </w:r>
      <w:r w:rsidRPr="00143760">
        <w:rPr>
          <w:b/>
          <w:bCs/>
          <w:iCs/>
        </w:rPr>
        <w:t>96:</w:t>
      </w:r>
      <w:r>
        <w:rPr>
          <w:bCs/>
          <w:iCs/>
        </w:rPr>
        <w:t xml:space="preserve"> </w:t>
      </w:r>
      <w:r w:rsidRPr="00143760">
        <w:rPr>
          <w:bCs/>
          <w:iCs/>
        </w:rPr>
        <w:t>13583–13588</w:t>
      </w:r>
      <w:r>
        <w:rPr>
          <w:bCs/>
          <w:iCs/>
        </w:rPr>
        <w:t>.</w:t>
      </w:r>
    </w:p>
    <w:p w:rsidR="005C45F6" w:rsidRDefault="005C45F6" w:rsidP="00773890">
      <w:pPr>
        <w:jc w:val="both"/>
        <w:rPr>
          <w:bCs/>
          <w:iCs/>
        </w:rPr>
      </w:pPr>
      <w:proofErr w:type="gramStart"/>
      <w:r w:rsidRPr="005C45F6">
        <w:rPr>
          <w:b/>
          <w:bCs/>
          <w:iCs/>
        </w:rPr>
        <w:t>Jones, J.D.G. and Dangl, J.L.</w:t>
      </w:r>
      <w:r w:rsidRPr="005C45F6">
        <w:rPr>
          <w:bCs/>
          <w:iCs/>
        </w:rPr>
        <w:t xml:space="preserve"> (2006).</w:t>
      </w:r>
      <w:proofErr w:type="gramEnd"/>
      <w:r w:rsidRPr="005C45F6">
        <w:rPr>
          <w:bCs/>
          <w:iCs/>
        </w:rPr>
        <w:t xml:space="preserve"> </w:t>
      </w:r>
      <w:proofErr w:type="gramStart"/>
      <w:r w:rsidRPr="005C45F6">
        <w:rPr>
          <w:bCs/>
          <w:iCs/>
        </w:rPr>
        <w:t>The plant immune system.</w:t>
      </w:r>
      <w:proofErr w:type="gramEnd"/>
      <w:r w:rsidRPr="005C45F6">
        <w:rPr>
          <w:bCs/>
          <w:iCs/>
        </w:rPr>
        <w:t xml:space="preserve"> Nature </w:t>
      </w:r>
      <w:r w:rsidRPr="005C45F6">
        <w:rPr>
          <w:b/>
          <w:bCs/>
          <w:iCs/>
        </w:rPr>
        <w:t>444</w:t>
      </w:r>
      <w:r w:rsidRPr="00CD30F2">
        <w:rPr>
          <w:b/>
          <w:bCs/>
          <w:iCs/>
        </w:rPr>
        <w:t>:</w:t>
      </w:r>
      <w:r w:rsidRPr="005C45F6">
        <w:rPr>
          <w:bCs/>
          <w:iCs/>
        </w:rPr>
        <w:t xml:space="preserve"> 323-329.</w:t>
      </w:r>
    </w:p>
    <w:p w:rsidR="00AC7B93" w:rsidRPr="005C45F6" w:rsidRDefault="00AC7B93" w:rsidP="00773890">
      <w:pPr>
        <w:jc w:val="both"/>
        <w:rPr>
          <w:bCs/>
          <w:iCs/>
        </w:rPr>
      </w:pPr>
      <w:proofErr w:type="gramStart"/>
      <w:r w:rsidRPr="00AC7B93">
        <w:rPr>
          <w:b/>
          <w:bCs/>
          <w:iCs/>
        </w:rPr>
        <w:t>Jung, H.W., Tschaplinski, T.J., Wang, L., Glazebrook, J., and Greenberg, J.T.</w:t>
      </w:r>
      <w:r>
        <w:rPr>
          <w:bCs/>
          <w:iCs/>
        </w:rPr>
        <w:t xml:space="preserve"> (2009).</w:t>
      </w:r>
      <w:proofErr w:type="gramEnd"/>
      <w:r>
        <w:rPr>
          <w:bCs/>
          <w:iCs/>
        </w:rPr>
        <w:t xml:space="preserve"> </w:t>
      </w:r>
      <w:proofErr w:type="gramStart"/>
      <w:r w:rsidRPr="00AC7B93">
        <w:rPr>
          <w:bCs/>
          <w:iCs/>
        </w:rPr>
        <w:t>Priming in Systemic Plant Immunity</w:t>
      </w:r>
      <w:r>
        <w:rPr>
          <w:bCs/>
          <w:iCs/>
        </w:rPr>
        <w:t>.</w:t>
      </w:r>
      <w:proofErr w:type="gramEnd"/>
      <w:r>
        <w:rPr>
          <w:bCs/>
          <w:iCs/>
        </w:rPr>
        <w:t xml:space="preserve"> Science </w:t>
      </w:r>
      <w:r w:rsidRPr="00AC7B93">
        <w:rPr>
          <w:b/>
          <w:bCs/>
          <w:iCs/>
        </w:rPr>
        <w:t>324:</w:t>
      </w:r>
      <w:r>
        <w:rPr>
          <w:bCs/>
          <w:iCs/>
        </w:rPr>
        <w:t xml:space="preserve"> 89-91.</w:t>
      </w:r>
    </w:p>
    <w:p w:rsidR="005C45F6" w:rsidRDefault="005C45F6" w:rsidP="00773890">
      <w:pPr>
        <w:jc w:val="both"/>
        <w:rPr>
          <w:bCs/>
          <w:iCs/>
          <w:lang w:val="en-US"/>
        </w:rPr>
      </w:pPr>
      <w:proofErr w:type="gramStart"/>
      <w:r w:rsidRPr="005C45F6">
        <w:rPr>
          <w:b/>
          <w:bCs/>
          <w:iCs/>
          <w:lang w:val="en-US"/>
        </w:rPr>
        <w:t>Katsir, L., Schilmiller, A.L., Staswick, P.E., He, S.Y., and Howe, G.A.</w:t>
      </w:r>
      <w:r w:rsidRPr="005C45F6">
        <w:rPr>
          <w:bCs/>
          <w:iCs/>
          <w:lang w:val="en-US"/>
        </w:rPr>
        <w:t xml:space="preserve"> (2008).</w:t>
      </w:r>
      <w:proofErr w:type="gramEnd"/>
      <w:r w:rsidRPr="005C45F6">
        <w:rPr>
          <w:bCs/>
          <w:iCs/>
          <w:lang w:val="en-US"/>
        </w:rPr>
        <w:t xml:space="preserve"> COI1 is a critical component of a receptor for jasmonate and the bacterial virulence factor coronatine. PNAS </w:t>
      </w:r>
      <w:r w:rsidRPr="005C45F6">
        <w:rPr>
          <w:b/>
          <w:bCs/>
          <w:iCs/>
          <w:lang w:val="en-US"/>
        </w:rPr>
        <w:t>105</w:t>
      </w:r>
      <w:r w:rsidRPr="00CD30F2">
        <w:rPr>
          <w:b/>
          <w:bCs/>
          <w:iCs/>
          <w:lang w:val="en-US"/>
        </w:rPr>
        <w:t>:</w:t>
      </w:r>
      <w:r w:rsidRPr="005C45F6">
        <w:rPr>
          <w:bCs/>
          <w:iCs/>
          <w:lang w:val="en-US"/>
        </w:rPr>
        <w:t xml:space="preserve"> 7100–7105.</w:t>
      </w:r>
    </w:p>
    <w:p w:rsidR="00BB3CF1" w:rsidRDefault="00BB3CF1" w:rsidP="00773890">
      <w:pPr>
        <w:jc w:val="both"/>
        <w:rPr>
          <w:bCs/>
          <w:iCs/>
          <w:lang w:val="en-US"/>
        </w:rPr>
      </w:pPr>
      <w:proofErr w:type="gramStart"/>
      <w:r w:rsidRPr="002952A5">
        <w:rPr>
          <w:b/>
          <w:bCs/>
          <w:iCs/>
          <w:lang w:val="en-US"/>
        </w:rPr>
        <w:t>Kauss, H., Theisingerhinkel, E., Mindermann, R., and Conrath, U.</w:t>
      </w:r>
      <w:r w:rsidRPr="002952A5">
        <w:rPr>
          <w:bCs/>
          <w:iCs/>
          <w:lang w:val="en-US"/>
        </w:rPr>
        <w:t xml:space="preserve"> (1992).</w:t>
      </w:r>
      <w:proofErr w:type="gramEnd"/>
      <w:r w:rsidRPr="002952A5">
        <w:rPr>
          <w:bCs/>
          <w:iCs/>
          <w:lang w:val="en-US"/>
        </w:rPr>
        <w:t xml:space="preserve"> </w:t>
      </w:r>
      <w:r w:rsidRPr="00BB3CF1">
        <w:rPr>
          <w:bCs/>
          <w:iCs/>
          <w:lang w:val="en-US"/>
        </w:rPr>
        <w:t>Dichloroisonicotinic and salic</w:t>
      </w:r>
      <w:r>
        <w:rPr>
          <w:bCs/>
          <w:iCs/>
          <w:lang w:val="en-US"/>
        </w:rPr>
        <w:t xml:space="preserve">ylic acid, inducers of systemic </w:t>
      </w:r>
      <w:r w:rsidRPr="00BB3CF1">
        <w:rPr>
          <w:bCs/>
          <w:iCs/>
          <w:lang w:val="en-US"/>
        </w:rPr>
        <w:t>acqu</w:t>
      </w:r>
      <w:r>
        <w:rPr>
          <w:bCs/>
          <w:iCs/>
          <w:lang w:val="en-US"/>
        </w:rPr>
        <w:t xml:space="preserve">ired resistance, enhance fungal </w:t>
      </w:r>
      <w:r w:rsidRPr="00BB3CF1">
        <w:rPr>
          <w:bCs/>
          <w:iCs/>
          <w:lang w:val="en-US"/>
        </w:rPr>
        <w:t>elicitor respo</w:t>
      </w:r>
      <w:r>
        <w:rPr>
          <w:bCs/>
          <w:iCs/>
          <w:lang w:val="en-US"/>
        </w:rPr>
        <w:t xml:space="preserve">nses in parsley cells. Plant J. </w:t>
      </w:r>
      <w:r w:rsidRPr="00BB3CF1">
        <w:rPr>
          <w:b/>
          <w:bCs/>
          <w:iCs/>
          <w:lang w:val="en-US"/>
        </w:rPr>
        <w:t>2:</w:t>
      </w:r>
      <w:r>
        <w:rPr>
          <w:bCs/>
          <w:iCs/>
          <w:lang w:val="en-US"/>
        </w:rPr>
        <w:t xml:space="preserve"> </w:t>
      </w:r>
      <w:r w:rsidRPr="00BB3CF1">
        <w:rPr>
          <w:bCs/>
          <w:iCs/>
          <w:lang w:val="en-US"/>
        </w:rPr>
        <w:t>655–60</w:t>
      </w:r>
      <w:r>
        <w:rPr>
          <w:bCs/>
          <w:iCs/>
          <w:lang w:val="en-US"/>
        </w:rPr>
        <w:t>.</w:t>
      </w:r>
    </w:p>
    <w:p w:rsidR="00D4013E" w:rsidRDefault="00D4013E" w:rsidP="00773890">
      <w:pPr>
        <w:jc w:val="both"/>
        <w:rPr>
          <w:bCs/>
          <w:iCs/>
          <w:lang w:val="en-US"/>
        </w:rPr>
      </w:pPr>
      <w:r w:rsidRPr="00D4013E">
        <w:rPr>
          <w:b/>
          <w:bCs/>
          <w:iCs/>
          <w:lang w:val="en-US"/>
        </w:rPr>
        <w:t xml:space="preserve">Kauss, H., Franke, R., Krause, K., Conrath, U., Jeblick, W., Grimmig, B., and Matern, U. </w:t>
      </w:r>
      <w:r>
        <w:rPr>
          <w:bCs/>
          <w:iCs/>
          <w:lang w:val="en-US"/>
        </w:rPr>
        <w:t xml:space="preserve">(1993) Conditioning of parsley </w:t>
      </w:r>
      <w:r w:rsidRPr="00D4013E">
        <w:rPr>
          <w:bCs/>
          <w:iCs/>
          <w:lang w:val="en-US"/>
        </w:rPr>
        <w:t>(</w:t>
      </w:r>
      <w:r w:rsidRPr="00D4013E">
        <w:rPr>
          <w:bCs/>
          <w:i/>
          <w:iCs/>
          <w:lang w:val="en-US"/>
        </w:rPr>
        <w:t>Petroselinum crispum</w:t>
      </w:r>
      <w:r>
        <w:rPr>
          <w:bCs/>
          <w:iCs/>
          <w:lang w:val="en-US"/>
        </w:rPr>
        <w:t xml:space="preserve"> L.) suspension cells increases </w:t>
      </w:r>
      <w:r w:rsidRPr="00D4013E">
        <w:rPr>
          <w:bCs/>
          <w:iCs/>
          <w:lang w:val="en-US"/>
        </w:rPr>
        <w:t>elicitor-induced incorporatio</w:t>
      </w:r>
      <w:r>
        <w:rPr>
          <w:bCs/>
          <w:iCs/>
          <w:lang w:val="en-US"/>
        </w:rPr>
        <w:t xml:space="preserve">n of cell wall phenolics. </w:t>
      </w:r>
      <w:r w:rsidRPr="00D4013E">
        <w:rPr>
          <w:bCs/>
          <w:iCs/>
          <w:lang w:val="en-US"/>
        </w:rPr>
        <w:t xml:space="preserve">Plant Physiol </w:t>
      </w:r>
      <w:r w:rsidRPr="00D4013E">
        <w:rPr>
          <w:b/>
          <w:bCs/>
          <w:iCs/>
          <w:lang w:val="en-US"/>
        </w:rPr>
        <w:t>102:</w:t>
      </w:r>
      <w:r w:rsidRPr="00D4013E">
        <w:rPr>
          <w:bCs/>
          <w:iCs/>
          <w:lang w:val="en-US"/>
        </w:rPr>
        <w:t xml:space="preserve"> 459–466</w:t>
      </w:r>
      <w:r>
        <w:rPr>
          <w:bCs/>
          <w:iCs/>
          <w:lang w:val="en-US"/>
        </w:rPr>
        <w:t>.</w:t>
      </w:r>
    </w:p>
    <w:p w:rsidR="000C0A4E" w:rsidRPr="005C45F6" w:rsidRDefault="000C0A4E" w:rsidP="00773890">
      <w:pPr>
        <w:jc w:val="both"/>
        <w:rPr>
          <w:bCs/>
          <w:iCs/>
          <w:lang w:val="en-US"/>
        </w:rPr>
      </w:pPr>
      <w:proofErr w:type="gramStart"/>
      <w:r w:rsidRPr="00E0008D">
        <w:rPr>
          <w:b/>
          <w:bCs/>
          <w:iCs/>
          <w:lang w:val="en-US"/>
        </w:rPr>
        <w:t xml:space="preserve">Kauss, H. and Jeblick, W. </w:t>
      </w:r>
      <w:r w:rsidRPr="00E0008D">
        <w:rPr>
          <w:bCs/>
          <w:iCs/>
          <w:lang w:val="en-US"/>
        </w:rPr>
        <w:t>(1995).</w:t>
      </w:r>
      <w:proofErr w:type="gramEnd"/>
      <w:r w:rsidRPr="00E0008D">
        <w:rPr>
          <w:bCs/>
          <w:iCs/>
          <w:lang w:val="en-US"/>
        </w:rPr>
        <w:t xml:space="preserve"> </w:t>
      </w:r>
      <w:r w:rsidRPr="000C0A4E">
        <w:rPr>
          <w:bCs/>
          <w:iCs/>
          <w:lang w:val="en-US"/>
        </w:rPr>
        <w:t>Pre</w:t>
      </w:r>
      <w:r>
        <w:rPr>
          <w:bCs/>
          <w:iCs/>
          <w:lang w:val="en-US"/>
        </w:rPr>
        <w:t xml:space="preserve">treatment of parsley suspension </w:t>
      </w:r>
      <w:r w:rsidRPr="000C0A4E">
        <w:rPr>
          <w:bCs/>
          <w:iCs/>
          <w:lang w:val="en-US"/>
        </w:rPr>
        <w:t>cultures with salicylic acid enhances s</w:t>
      </w:r>
      <w:r>
        <w:rPr>
          <w:bCs/>
          <w:iCs/>
          <w:lang w:val="en-US"/>
        </w:rPr>
        <w:t xml:space="preserve">pontaneous </w:t>
      </w:r>
      <w:r w:rsidRPr="000C0A4E">
        <w:rPr>
          <w:bCs/>
          <w:iCs/>
          <w:lang w:val="en-US"/>
        </w:rPr>
        <w:t>and elicited product</w:t>
      </w:r>
      <w:r>
        <w:rPr>
          <w:bCs/>
          <w:iCs/>
          <w:lang w:val="en-US"/>
        </w:rPr>
        <w:t>ion of H</w:t>
      </w:r>
      <w:r w:rsidRPr="000C0A4E">
        <w:rPr>
          <w:bCs/>
          <w:iCs/>
          <w:vertAlign w:val="subscript"/>
          <w:lang w:val="en-US"/>
        </w:rPr>
        <w:t>2</w:t>
      </w:r>
      <w:r>
        <w:rPr>
          <w:bCs/>
          <w:iCs/>
          <w:lang w:val="en-US"/>
        </w:rPr>
        <w:t>O</w:t>
      </w:r>
      <w:r w:rsidRPr="000C0A4E">
        <w:rPr>
          <w:bCs/>
          <w:iCs/>
          <w:vertAlign w:val="subscript"/>
          <w:lang w:val="en-US"/>
        </w:rPr>
        <w:t>2</w:t>
      </w:r>
      <w:r>
        <w:rPr>
          <w:bCs/>
          <w:iCs/>
          <w:lang w:val="en-US"/>
        </w:rPr>
        <w:t xml:space="preserve">. Plant Physiol </w:t>
      </w:r>
      <w:r w:rsidRPr="000C0A4E">
        <w:rPr>
          <w:b/>
          <w:bCs/>
          <w:iCs/>
          <w:lang w:val="en-US"/>
        </w:rPr>
        <w:t>108:</w:t>
      </w:r>
      <w:r>
        <w:rPr>
          <w:bCs/>
          <w:iCs/>
          <w:lang w:val="en-US"/>
        </w:rPr>
        <w:t xml:space="preserve"> </w:t>
      </w:r>
      <w:r w:rsidRPr="000C0A4E">
        <w:rPr>
          <w:bCs/>
          <w:iCs/>
          <w:lang w:val="en-US"/>
        </w:rPr>
        <w:t>1171–1178</w:t>
      </w:r>
      <w:r>
        <w:rPr>
          <w:bCs/>
          <w:iCs/>
          <w:lang w:val="en-US"/>
        </w:rPr>
        <w:t>.</w:t>
      </w:r>
    </w:p>
    <w:p w:rsidR="005C45F6" w:rsidRPr="005C45F6" w:rsidRDefault="005C45F6" w:rsidP="00773890">
      <w:pPr>
        <w:jc w:val="both"/>
        <w:rPr>
          <w:bCs/>
          <w:iCs/>
        </w:rPr>
      </w:pPr>
      <w:r w:rsidRPr="005C45F6">
        <w:rPr>
          <w:b/>
          <w:bCs/>
          <w:iCs/>
        </w:rPr>
        <w:t xml:space="preserve">Keogh, R. C., Deverall, B. J., </w:t>
      </w:r>
      <w:proofErr w:type="gramStart"/>
      <w:r w:rsidRPr="005C45F6">
        <w:rPr>
          <w:b/>
          <w:bCs/>
          <w:iCs/>
        </w:rPr>
        <w:t>and  McLeod</w:t>
      </w:r>
      <w:proofErr w:type="gramEnd"/>
      <w:r w:rsidRPr="005C45F6">
        <w:rPr>
          <w:b/>
          <w:bCs/>
          <w:iCs/>
        </w:rPr>
        <w:t>, S</w:t>
      </w:r>
      <w:r w:rsidRPr="00CD30F2">
        <w:rPr>
          <w:b/>
          <w:bCs/>
          <w:iCs/>
        </w:rPr>
        <w:t>.</w:t>
      </w:r>
      <w:r w:rsidRPr="005C45F6">
        <w:rPr>
          <w:bCs/>
          <w:iCs/>
        </w:rPr>
        <w:t xml:space="preserve"> (1980). </w:t>
      </w:r>
      <w:proofErr w:type="gramStart"/>
      <w:r w:rsidR="00CD30F2">
        <w:rPr>
          <w:bCs/>
          <w:iCs/>
        </w:rPr>
        <w:t xml:space="preserve">Comparison of Histological and Physiological Responses to </w:t>
      </w:r>
      <w:r w:rsidR="00CD30F2">
        <w:rPr>
          <w:bCs/>
          <w:i/>
          <w:iCs/>
        </w:rPr>
        <w:t xml:space="preserve">Phakopsora pachyrhizi </w:t>
      </w:r>
      <w:r w:rsidR="00CD30F2">
        <w:rPr>
          <w:bCs/>
          <w:iCs/>
        </w:rPr>
        <w:t>in Resistant and Susceptible Soybean.</w:t>
      </w:r>
      <w:proofErr w:type="gramEnd"/>
      <w:r w:rsidR="00CD30F2">
        <w:rPr>
          <w:bCs/>
          <w:iCs/>
        </w:rPr>
        <w:t xml:space="preserve"> </w:t>
      </w:r>
      <w:r w:rsidRPr="005C45F6">
        <w:rPr>
          <w:bCs/>
          <w:iCs/>
        </w:rPr>
        <w:t xml:space="preserve"> Trans. Br, mycol, Soc</w:t>
      </w:r>
      <w:r w:rsidRPr="005C45F6">
        <w:rPr>
          <w:bCs/>
          <w:i/>
          <w:iCs/>
        </w:rPr>
        <w:t xml:space="preserve">. </w:t>
      </w:r>
      <w:r w:rsidRPr="005C45F6">
        <w:rPr>
          <w:b/>
          <w:bCs/>
          <w:iCs/>
        </w:rPr>
        <w:t>74:</w:t>
      </w:r>
      <w:r w:rsidRPr="005C45F6">
        <w:rPr>
          <w:bCs/>
          <w:iCs/>
        </w:rPr>
        <w:t xml:space="preserve"> 329-333.</w:t>
      </w:r>
    </w:p>
    <w:p w:rsidR="005C45F6" w:rsidRPr="005C45F6" w:rsidRDefault="005C45F6" w:rsidP="00773890">
      <w:pPr>
        <w:jc w:val="both"/>
        <w:rPr>
          <w:bCs/>
          <w:iCs/>
          <w:lang w:val="en-US"/>
        </w:rPr>
      </w:pPr>
      <w:r w:rsidRPr="00E0008D">
        <w:rPr>
          <w:b/>
          <w:bCs/>
          <w:iCs/>
          <w:lang w:val="en-US"/>
        </w:rPr>
        <w:t xml:space="preserve">Kessmann, H., Staub, T., Hofmann, C., Maetzke, T., </w:t>
      </w:r>
      <w:proofErr w:type="gramStart"/>
      <w:r w:rsidRPr="00E0008D">
        <w:rPr>
          <w:b/>
          <w:bCs/>
          <w:iCs/>
          <w:lang w:val="en-US"/>
        </w:rPr>
        <w:t>and  Herzog</w:t>
      </w:r>
      <w:proofErr w:type="gramEnd"/>
      <w:r w:rsidRPr="00E0008D">
        <w:rPr>
          <w:b/>
          <w:bCs/>
          <w:iCs/>
          <w:lang w:val="en-US"/>
        </w:rPr>
        <w:t>, J.</w:t>
      </w:r>
      <w:r w:rsidRPr="00E0008D">
        <w:rPr>
          <w:bCs/>
          <w:iCs/>
          <w:lang w:val="en-US"/>
        </w:rPr>
        <w:t xml:space="preserve"> (1994). </w:t>
      </w:r>
      <w:proofErr w:type="gramStart"/>
      <w:r w:rsidRPr="005C45F6">
        <w:rPr>
          <w:bCs/>
          <w:iCs/>
          <w:lang w:val="en-US"/>
        </w:rPr>
        <w:t>Induction of Systemic Acquired Disease Resistance in Plants by Chemicals.</w:t>
      </w:r>
      <w:proofErr w:type="gramEnd"/>
      <w:r w:rsidRPr="005C45F6">
        <w:rPr>
          <w:bCs/>
          <w:iCs/>
          <w:lang w:val="en-US"/>
        </w:rPr>
        <w:t xml:space="preserve"> </w:t>
      </w:r>
      <w:proofErr w:type="gramStart"/>
      <w:r w:rsidRPr="005C45F6">
        <w:rPr>
          <w:bCs/>
          <w:iCs/>
          <w:lang w:val="en-US"/>
        </w:rPr>
        <w:t>Annu.</w:t>
      </w:r>
      <w:proofErr w:type="gramEnd"/>
      <w:r w:rsidRPr="005C45F6">
        <w:rPr>
          <w:bCs/>
          <w:iCs/>
          <w:lang w:val="en-US"/>
        </w:rPr>
        <w:t xml:space="preserve"> Rev. Phytopathol. </w:t>
      </w:r>
      <w:r w:rsidRPr="005C45F6">
        <w:rPr>
          <w:b/>
          <w:bCs/>
          <w:iCs/>
          <w:lang w:val="en-US"/>
        </w:rPr>
        <w:t>32</w:t>
      </w:r>
      <w:r w:rsidRPr="00327BA7">
        <w:rPr>
          <w:b/>
          <w:bCs/>
          <w:iCs/>
          <w:lang w:val="en-US"/>
        </w:rPr>
        <w:t xml:space="preserve">: </w:t>
      </w:r>
      <w:r w:rsidRPr="005C45F6">
        <w:rPr>
          <w:bCs/>
          <w:iCs/>
          <w:lang w:val="en-US"/>
        </w:rPr>
        <w:t>439-459.</w:t>
      </w:r>
    </w:p>
    <w:p w:rsidR="005C45F6" w:rsidRPr="00810EC9" w:rsidRDefault="005C45F6" w:rsidP="00773890">
      <w:pPr>
        <w:jc w:val="both"/>
        <w:rPr>
          <w:bCs/>
          <w:iCs/>
          <w:lang w:val="de-DE"/>
        </w:rPr>
      </w:pPr>
      <w:r w:rsidRPr="005C45F6">
        <w:rPr>
          <w:b/>
          <w:bCs/>
          <w:iCs/>
        </w:rPr>
        <w:t>King, E.O., Ward, M.K., Raney, D.E</w:t>
      </w:r>
      <w:r w:rsidRPr="00327BA7">
        <w:rPr>
          <w:b/>
          <w:bCs/>
          <w:iCs/>
        </w:rPr>
        <w:t>.</w:t>
      </w:r>
      <w:r w:rsidRPr="005C45F6">
        <w:rPr>
          <w:bCs/>
          <w:iCs/>
        </w:rPr>
        <w:t xml:space="preserve"> (1954). </w:t>
      </w:r>
      <w:proofErr w:type="gramStart"/>
      <w:r w:rsidRPr="005C45F6">
        <w:rPr>
          <w:bCs/>
          <w:iCs/>
        </w:rPr>
        <w:t>Two simple media for the demonstration of pyocyanin and fluorescin.</w:t>
      </w:r>
      <w:proofErr w:type="gramEnd"/>
      <w:r w:rsidRPr="005C45F6">
        <w:rPr>
          <w:bCs/>
          <w:iCs/>
        </w:rPr>
        <w:t xml:space="preserve"> </w:t>
      </w:r>
      <w:r w:rsidRPr="00810EC9">
        <w:rPr>
          <w:bCs/>
          <w:iCs/>
          <w:lang w:val="de-DE"/>
        </w:rPr>
        <w:t xml:space="preserve">J. Lab. Clin. Med. </w:t>
      </w:r>
      <w:r w:rsidRPr="00810EC9">
        <w:rPr>
          <w:b/>
          <w:bCs/>
          <w:iCs/>
          <w:lang w:val="de-DE"/>
        </w:rPr>
        <w:t>44:</w:t>
      </w:r>
      <w:r w:rsidRPr="00810EC9">
        <w:rPr>
          <w:bCs/>
          <w:iCs/>
          <w:lang w:val="de-DE"/>
        </w:rPr>
        <w:t xml:space="preserve"> 301-307.</w:t>
      </w:r>
    </w:p>
    <w:p w:rsidR="007B39DF" w:rsidRPr="007B39DF" w:rsidRDefault="007B39DF" w:rsidP="00773890">
      <w:pPr>
        <w:jc w:val="both"/>
        <w:rPr>
          <w:bCs/>
          <w:iCs/>
          <w:lang w:val="en-US"/>
        </w:rPr>
      </w:pPr>
      <w:r w:rsidRPr="000510B6">
        <w:rPr>
          <w:b/>
          <w:bCs/>
          <w:iCs/>
          <w:lang w:val="de-DE"/>
        </w:rPr>
        <w:lastRenderedPageBreak/>
        <w:t xml:space="preserve">Koch, M., Vorwerk, S., Masur, </w:t>
      </w:r>
      <w:proofErr w:type="gramStart"/>
      <w:r w:rsidRPr="000510B6">
        <w:rPr>
          <w:b/>
          <w:bCs/>
          <w:iCs/>
          <w:lang w:val="de-DE"/>
        </w:rPr>
        <w:t>C.,</w:t>
      </w:r>
      <w:proofErr w:type="gramEnd"/>
      <w:r w:rsidRPr="000510B6">
        <w:rPr>
          <w:b/>
          <w:bCs/>
          <w:iCs/>
          <w:lang w:val="de-DE"/>
        </w:rPr>
        <w:t xml:space="preserve"> Sharifi-Sirchi, G., Olivieri, N., and Schlaich, N.L.</w:t>
      </w:r>
      <w:r w:rsidRPr="000510B6">
        <w:rPr>
          <w:bCs/>
          <w:iCs/>
          <w:lang w:val="de-DE"/>
        </w:rPr>
        <w:t xml:space="preserve"> (2006). </w:t>
      </w:r>
      <w:proofErr w:type="gramStart"/>
      <w:r w:rsidRPr="007B39DF">
        <w:rPr>
          <w:bCs/>
          <w:iCs/>
          <w:lang w:val="en-US"/>
        </w:rPr>
        <w:t xml:space="preserve">A role for a flavin-containing mono-oxygenase in resistance against microbial pathogens in </w:t>
      </w:r>
      <w:r w:rsidRPr="007B39DF">
        <w:rPr>
          <w:bCs/>
          <w:i/>
          <w:iCs/>
          <w:lang w:val="en-US"/>
        </w:rPr>
        <w:t>Arabidopsis</w:t>
      </w:r>
      <w:r>
        <w:rPr>
          <w:bCs/>
          <w:iCs/>
          <w:lang w:val="en-US"/>
        </w:rPr>
        <w:t>.</w:t>
      </w:r>
      <w:proofErr w:type="gramEnd"/>
      <w:r>
        <w:rPr>
          <w:bCs/>
          <w:iCs/>
          <w:lang w:val="en-US"/>
        </w:rPr>
        <w:t xml:space="preserve"> The Plant Journal </w:t>
      </w:r>
      <w:r w:rsidRPr="007B39DF">
        <w:rPr>
          <w:b/>
          <w:bCs/>
          <w:iCs/>
          <w:lang w:val="en-US"/>
        </w:rPr>
        <w:t>47:</w:t>
      </w:r>
      <w:r w:rsidRPr="007B39DF">
        <w:rPr>
          <w:bCs/>
          <w:iCs/>
          <w:lang w:val="en-US"/>
        </w:rPr>
        <w:t xml:space="preserve"> 629–639</w:t>
      </w:r>
      <w:r>
        <w:rPr>
          <w:bCs/>
          <w:iCs/>
          <w:lang w:val="en-US"/>
        </w:rPr>
        <w:t>.</w:t>
      </w:r>
    </w:p>
    <w:p w:rsidR="005C45F6" w:rsidRPr="005C45F6" w:rsidRDefault="005C45F6" w:rsidP="00773890">
      <w:pPr>
        <w:jc w:val="both"/>
        <w:rPr>
          <w:bCs/>
          <w:iCs/>
        </w:rPr>
      </w:pPr>
      <w:r w:rsidRPr="005C45F6">
        <w:rPr>
          <w:b/>
          <w:bCs/>
          <w:iCs/>
        </w:rPr>
        <w:t xml:space="preserve">Koo, A.J.K., </w:t>
      </w:r>
      <w:proofErr w:type="gramStart"/>
      <w:r w:rsidRPr="005C45F6">
        <w:rPr>
          <w:b/>
          <w:bCs/>
          <w:iCs/>
        </w:rPr>
        <w:t>Gao</w:t>
      </w:r>
      <w:proofErr w:type="gramEnd"/>
      <w:r w:rsidRPr="005C45F6">
        <w:rPr>
          <w:b/>
          <w:bCs/>
          <w:iCs/>
        </w:rPr>
        <w:t xml:space="preserve">, X., Jones, A.D., and Howe, G.A. </w:t>
      </w:r>
      <w:r w:rsidRPr="005C45F6">
        <w:rPr>
          <w:bCs/>
          <w:iCs/>
        </w:rPr>
        <w:t xml:space="preserve">(2009). A rapid wound signal activates the systemic synthesis of bioactive jasmonates in Arabidopsis. The Plant Journal </w:t>
      </w:r>
      <w:r w:rsidRPr="005C45F6">
        <w:rPr>
          <w:b/>
          <w:bCs/>
          <w:iCs/>
        </w:rPr>
        <w:t>59</w:t>
      </w:r>
      <w:r w:rsidRPr="00327BA7">
        <w:rPr>
          <w:b/>
          <w:bCs/>
          <w:iCs/>
        </w:rPr>
        <w:t>:</w:t>
      </w:r>
      <w:r w:rsidRPr="005C45F6">
        <w:rPr>
          <w:bCs/>
          <w:iCs/>
        </w:rPr>
        <w:t xml:space="preserve"> 974–986.</w:t>
      </w:r>
    </w:p>
    <w:p w:rsidR="005C45F6" w:rsidRDefault="00820B7B" w:rsidP="00773890">
      <w:pPr>
        <w:jc w:val="both"/>
        <w:rPr>
          <w:bCs/>
          <w:iCs/>
          <w:lang w:val="en-US"/>
        </w:rPr>
      </w:pPr>
      <w:proofErr w:type="gramStart"/>
      <w:r>
        <w:rPr>
          <w:b/>
          <w:bCs/>
          <w:iCs/>
          <w:lang w:val="en-US"/>
        </w:rPr>
        <w:t>Koorn</w:t>
      </w:r>
      <w:r w:rsidR="005C45F6" w:rsidRPr="005C45F6">
        <w:rPr>
          <w:b/>
          <w:bCs/>
          <w:iCs/>
          <w:lang w:val="en-US"/>
        </w:rPr>
        <w:t>eef, A. and Pieterse, C.M.J.</w:t>
      </w:r>
      <w:r w:rsidR="005C45F6" w:rsidRPr="005C45F6">
        <w:rPr>
          <w:bCs/>
          <w:iCs/>
          <w:lang w:val="en-US"/>
        </w:rPr>
        <w:t xml:space="preserve"> (2008).</w:t>
      </w:r>
      <w:proofErr w:type="gramEnd"/>
      <w:r w:rsidR="005C45F6" w:rsidRPr="005C45F6">
        <w:rPr>
          <w:bCs/>
          <w:iCs/>
          <w:lang w:val="en-US"/>
        </w:rPr>
        <w:t xml:space="preserve"> </w:t>
      </w:r>
      <w:proofErr w:type="gramStart"/>
      <w:r w:rsidR="005C45F6" w:rsidRPr="005C45F6">
        <w:rPr>
          <w:bCs/>
          <w:iCs/>
          <w:lang w:val="en-US"/>
        </w:rPr>
        <w:t>Cross Talk in Defense Signaling.</w:t>
      </w:r>
      <w:proofErr w:type="gramEnd"/>
      <w:r w:rsidR="005C45F6" w:rsidRPr="005C45F6">
        <w:rPr>
          <w:bCs/>
          <w:iCs/>
          <w:lang w:val="en-US"/>
        </w:rPr>
        <w:t xml:space="preserve"> Plant Physiology </w:t>
      </w:r>
      <w:r w:rsidR="005C45F6" w:rsidRPr="005C45F6">
        <w:rPr>
          <w:b/>
          <w:bCs/>
          <w:iCs/>
          <w:lang w:val="en-US"/>
        </w:rPr>
        <w:t>146</w:t>
      </w:r>
      <w:r w:rsidR="005C45F6" w:rsidRPr="00327BA7">
        <w:rPr>
          <w:b/>
          <w:bCs/>
          <w:iCs/>
          <w:lang w:val="en-US"/>
        </w:rPr>
        <w:t>:</w:t>
      </w:r>
      <w:r w:rsidR="005C45F6" w:rsidRPr="005C45F6">
        <w:rPr>
          <w:bCs/>
          <w:iCs/>
          <w:lang w:val="en-US"/>
        </w:rPr>
        <w:t xml:space="preserve"> 839–844.</w:t>
      </w:r>
    </w:p>
    <w:p w:rsidR="00D667C7" w:rsidRDefault="00D667C7" w:rsidP="00773890">
      <w:pPr>
        <w:jc w:val="both"/>
        <w:rPr>
          <w:bCs/>
          <w:iCs/>
        </w:rPr>
      </w:pPr>
      <w:proofErr w:type="gramStart"/>
      <w:r w:rsidRPr="00D667C7">
        <w:rPr>
          <w:b/>
          <w:bCs/>
          <w:iCs/>
        </w:rPr>
        <w:t>Kuc, J., Williams, E. B., and Shay, J. R.</w:t>
      </w:r>
      <w:r>
        <w:rPr>
          <w:bCs/>
          <w:iCs/>
        </w:rPr>
        <w:t xml:space="preserve"> (1957).</w:t>
      </w:r>
      <w:proofErr w:type="gramEnd"/>
      <w:r>
        <w:rPr>
          <w:bCs/>
          <w:iCs/>
        </w:rPr>
        <w:t xml:space="preserve"> </w:t>
      </w:r>
      <w:r w:rsidRPr="00D667C7">
        <w:rPr>
          <w:bCs/>
          <w:iCs/>
        </w:rPr>
        <w:t>Increase of res</w:t>
      </w:r>
      <w:r>
        <w:rPr>
          <w:bCs/>
          <w:iCs/>
        </w:rPr>
        <w:t xml:space="preserve">istance to apple scab following </w:t>
      </w:r>
      <w:r w:rsidRPr="00D667C7">
        <w:rPr>
          <w:bCs/>
          <w:iCs/>
        </w:rPr>
        <w:t>injection of host with phe</w:t>
      </w:r>
      <w:r>
        <w:rPr>
          <w:bCs/>
          <w:iCs/>
        </w:rPr>
        <w:t xml:space="preserve">nylthiourea and Dphenylalanine. </w:t>
      </w:r>
      <w:proofErr w:type="gramStart"/>
      <w:r>
        <w:rPr>
          <w:bCs/>
          <w:iCs/>
        </w:rPr>
        <w:t>(Abstr.)</w:t>
      </w:r>
      <w:proofErr w:type="gramEnd"/>
      <w:r>
        <w:rPr>
          <w:bCs/>
          <w:iCs/>
        </w:rPr>
        <w:t xml:space="preserve"> Phytopathology </w:t>
      </w:r>
      <w:r w:rsidRPr="00D667C7">
        <w:rPr>
          <w:b/>
          <w:bCs/>
          <w:iCs/>
        </w:rPr>
        <w:t>47:</w:t>
      </w:r>
      <w:r>
        <w:rPr>
          <w:bCs/>
          <w:iCs/>
        </w:rPr>
        <w:t xml:space="preserve"> </w:t>
      </w:r>
      <w:r w:rsidRPr="00D667C7">
        <w:rPr>
          <w:bCs/>
          <w:iCs/>
        </w:rPr>
        <w:t>21-22.</w:t>
      </w:r>
    </w:p>
    <w:p w:rsidR="00011C95" w:rsidRPr="00331E70" w:rsidRDefault="00BE3134" w:rsidP="00773890">
      <w:pPr>
        <w:jc w:val="both"/>
        <w:rPr>
          <w:bCs/>
          <w:iCs/>
        </w:rPr>
      </w:pPr>
      <w:proofErr w:type="gramStart"/>
      <w:r w:rsidRPr="00BE3134">
        <w:rPr>
          <w:b/>
          <w:bCs/>
          <w:iCs/>
        </w:rPr>
        <w:t>Kuc, J., Barnes, E., Daftsios, A., and Williams, E. B.</w:t>
      </w:r>
      <w:r w:rsidRPr="00BE3134">
        <w:rPr>
          <w:bCs/>
          <w:iCs/>
        </w:rPr>
        <w:t xml:space="preserve"> </w:t>
      </w:r>
      <w:r>
        <w:rPr>
          <w:bCs/>
          <w:iCs/>
        </w:rPr>
        <w:t>(1959).</w:t>
      </w:r>
      <w:proofErr w:type="gramEnd"/>
      <w:r>
        <w:rPr>
          <w:bCs/>
          <w:iCs/>
        </w:rPr>
        <w:t xml:space="preserve"> </w:t>
      </w:r>
      <w:proofErr w:type="gramStart"/>
      <w:r>
        <w:rPr>
          <w:bCs/>
          <w:iCs/>
        </w:rPr>
        <w:t xml:space="preserve">The effect of amino acids </w:t>
      </w:r>
      <w:r w:rsidRPr="00BE3134">
        <w:rPr>
          <w:bCs/>
          <w:iCs/>
        </w:rPr>
        <w:t>on susceptibility of apple vari</w:t>
      </w:r>
      <w:r>
        <w:rPr>
          <w:bCs/>
          <w:iCs/>
        </w:rPr>
        <w:t>eties to scab.</w:t>
      </w:r>
      <w:proofErr w:type="gramEnd"/>
      <w:r>
        <w:rPr>
          <w:bCs/>
          <w:iCs/>
        </w:rPr>
        <w:t xml:space="preserve"> </w:t>
      </w:r>
      <w:r w:rsidRPr="00BE3134">
        <w:rPr>
          <w:bCs/>
          <w:iCs/>
        </w:rPr>
        <w:t xml:space="preserve">Phytopathology </w:t>
      </w:r>
      <w:r w:rsidRPr="00BE3134">
        <w:rPr>
          <w:b/>
          <w:bCs/>
          <w:iCs/>
        </w:rPr>
        <w:t>49:</w:t>
      </w:r>
      <w:r>
        <w:rPr>
          <w:bCs/>
          <w:iCs/>
        </w:rPr>
        <w:t xml:space="preserve"> </w:t>
      </w:r>
      <w:r w:rsidRPr="00BE3134">
        <w:rPr>
          <w:bCs/>
          <w:iCs/>
        </w:rPr>
        <w:t>313-315.</w:t>
      </w:r>
    </w:p>
    <w:p w:rsidR="005C45F6" w:rsidRPr="005C45F6" w:rsidRDefault="005C45F6" w:rsidP="00773890">
      <w:pPr>
        <w:jc w:val="both"/>
        <w:rPr>
          <w:bCs/>
          <w:iCs/>
        </w:rPr>
      </w:pPr>
      <w:r w:rsidRPr="005C45F6">
        <w:rPr>
          <w:b/>
          <w:bCs/>
          <w:iCs/>
        </w:rPr>
        <w:t>Kugler, F., Graneis, S., Schreiter, P.P.Y., Stintzing, F., and Carle, R</w:t>
      </w:r>
      <w:r w:rsidRPr="00327BA7">
        <w:rPr>
          <w:b/>
          <w:bCs/>
          <w:iCs/>
        </w:rPr>
        <w:t>.</w:t>
      </w:r>
      <w:r w:rsidRPr="005C45F6">
        <w:rPr>
          <w:bCs/>
          <w:iCs/>
        </w:rPr>
        <w:t xml:space="preserve"> (2006).</w:t>
      </w:r>
      <w:r w:rsidRPr="005C45F6">
        <w:rPr>
          <w:b/>
          <w:bCs/>
        </w:rPr>
        <w:t xml:space="preserve"> </w:t>
      </w:r>
      <w:proofErr w:type="gramStart"/>
      <w:r w:rsidRPr="005C45F6">
        <w:rPr>
          <w:bCs/>
          <w:iCs/>
        </w:rPr>
        <w:t>Determination of Free Amino Compounds in Betalainic Fruits and Vegetables by Gas Chromatography with Flame Ionization and Mass Spectrometric Detection.</w:t>
      </w:r>
      <w:proofErr w:type="gramEnd"/>
      <w:r w:rsidRPr="005C45F6">
        <w:rPr>
          <w:bCs/>
          <w:iCs/>
        </w:rPr>
        <w:t xml:space="preserve"> J. Agric. Food Chem. </w:t>
      </w:r>
      <w:r w:rsidRPr="005C45F6">
        <w:rPr>
          <w:b/>
          <w:bCs/>
          <w:iCs/>
        </w:rPr>
        <w:t>54</w:t>
      </w:r>
      <w:r w:rsidRPr="00327BA7">
        <w:rPr>
          <w:b/>
          <w:bCs/>
          <w:iCs/>
        </w:rPr>
        <w:t>:</w:t>
      </w:r>
      <w:r w:rsidRPr="005C45F6">
        <w:rPr>
          <w:bCs/>
          <w:iCs/>
        </w:rPr>
        <w:t xml:space="preserve"> 4311-4318.</w:t>
      </w:r>
    </w:p>
    <w:p w:rsidR="005C45F6" w:rsidRDefault="005C45F6" w:rsidP="00773890">
      <w:pPr>
        <w:jc w:val="both"/>
        <w:rPr>
          <w:bCs/>
          <w:iCs/>
        </w:rPr>
      </w:pPr>
      <w:r w:rsidRPr="005C45F6">
        <w:rPr>
          <w:b/>
          <w:bCs/>
          <w:iCs/>
        </w:rPr>
        <w:t>La Camera, S., L’Haridon, F., Astier, J., Zander, M., Abou-Mansour, E., Page, G., Thurow, C., Wendehenne, D., Gatz, C., Métraux, J.-P., and Lamotte, O.</w:t>
      </w:r>
      <w:r w:rsidRPr="005C45F6">
        <w:rPr>
          <w:bCs/>
          <w:iCs/>
        </w:rPr>
        <w:t xml:space="preserve"> (2011). The glutaredoxin ATGRXS13 is required to facilitate </w:t>
      </w:r>
      <w:r w:rsidRPr="005C45F6">
        <w:rPr>
          <w:bCs/>
          <w:i/>
          <w:iCs/>
        </w:rPr>
        <w:t>Botrytis cinerea</w:t>
      </w:r>
      <w:r w:rsidRPr="005C45F6">
        <w:rPr>
          <w:bCs/>
          <w:iCs/>
        </w:rPr>
        <w:t xml:space="preserve"> infection of </w:t>
      </w:r>
      <w:r w:rsidRPr="005C45F6">
        <w:rPr>
          <w:bCs/>
          <w:i/>
          <w:iCs/>
        </w:rPr>
        <w:t>Arabidopsis thaliana</w:t>
      </w:r>
      <w:r w:rsidRPr="005C45F6">
        <w:rPr>
          <w:bCs/>
          <w:iCs/>
        </w:rPr>
        <w:t xml:space="preserve"> plants. The Plant Journal </w:t>
      </w:r>
      <w:r w:rsidRPr="005C45F6">
        <w:rPr>
          <w:b/>
          <w:bCs/>
          <w:iCs/>
        </w:rPr>
        <w:t>68</w:t>
      </w:r>
      <w:r w:rsidRPr="00327BA7">
        <w:rPr>
          <w:b/>
          <w:bCs/>
          <w:iCs/>
        </w:rPr>
        <w:t>:</w:t>
      </w:r>
      <w:r w:rsidRPr="005C45F6">
        <w:rPr>
          <w:bCs/>
          <w:iCs/>
        </w:rPr>
        <w:t xml:space="preserve"> 507–519.</w:t>
      </w:r>
    </w:p>
    <w:p w:rsidR="00051F61" w:rsidRPr="00051F61" w:rsidRDefault="00051F61" w:rsidP="00773890">
      <w:pPr>
        <w:jc w:val="both"/>
        <w:rPr>
          <w:bCs/>
          <w:iCs/>
        </w:rPr>
      </w:pPr>
      <w:proofErr w:type="gramStart"/>
      <w:r w:rsidRPr="00051F61">
        <w:rPr>
          <w:b/>
          <w:bCs/>
          <w:iCs/>
        </w:rPr>
        <w:t>Lawton, M.P., Cashman, J.R, Cresteil, T., Dolphin, C.T., Elfarra, A.A., Hines, R.N., Hodgson, E., Kimura T., Ozols J. and Phillips I.R.</w:t>
      </w:r>
      <w:r>
        <w:rPr>
          <w:bCs/>
          <w:iCs/>
        </w:rPr>
        <w:t xml:space="preserve"> </w:t>
      </w:r>
      <w:r w:rsidRPr="00051F61">
        <w:rPr>
          <w:bCs/>
          <w:iCs/>
        </w:rPr>
        <w:t>(1994)</w:t>
      </w:r>
      <w:r>
        <w:rPr>
          <w:bCs/>
          <w:iCs/>
        </w:rPr>
        <w:t>.</w:t>
      </w:r>
      <w:proofErr w:type="gramEnd"/>
      <w:r w:rsidRPr="00051F61">
        <w:rPr>
          <w:bCs/>
          <w:iCs/>
        </w:rPr>
        <w:t xml:space="preserve"> A nomenclature for </w:t>
      </w:r>
      <w:r>
        <w:rPr>
          <w:bCs/>
          <w:iCs/>
        </w:rPr>
        <w:t xml:space="preserve">the mammalian flavin-containing </w:t>
      </w:r>
      <w:r w:rsidRPr="00051F61">
        <w:rPr>
          <w:bCs/>
          <w:iCs/>
        </w:rPr>
        <w:t>monooxygenase gene fami</w:t>
      </w:r>
      <w:r>
        <w:rPr>
          <w:bCs/>
          <w:iCs/>
        </w:rPr>
        <w:t xml:space="preserve">ly based on amino acid sequence </w:t>
      </w:r>
      <w:r w:rsidRPr="00051F61">
        <w:rPr>
          <w:bCs/>
          <w:iCs/>
        </w:rPr>
        <w:t>identiti</w:t>
      </w:r>
      <w:r>
        <w:rPr>
          <w:bCs/>
          <w:iCs/>
        </w:rPr>
        <w:t xml:space="preserve">es. Arch. Biochem. </w:t>
      </w:r>
      <w:proofErr w:type="gramStart"/>
      <w:r>
        <w:rPr>
          <w:bCs/>
          <w:iCs/>
        </w:rPr>
        <w:t>Biophys.</w:t>
      </w:r>
      <w:proofErr w:type="gramEnd"/>
      <w:r>
        <w:rPr>
          <w:bCs/>
          <w:iCs/>
        </w:rPr>
        <w:t xml:space="preserve"> </w:t>
      </w:r>
      <w:r w:rsidRPr="00051F61">
        <w:rPr>
          <w:b/>
          <w:bCs/>
          <w:iCs/>
        </w:rPr>
        <w:t>308:</w:t>
      </w:r>
      <w:r w:rsidRPr="00051F61">
        <w:rPr>
          <w:bCs/>
          <w:iCs/>
        </w:rPr>
        <w:t xml:space="preserve"> 254–257.</w:t>
      </w:r>
    </w:p>
    <w:p w:rsidR="005C45F6" w:rsidRPr="005C45F6" w:rsidRDefault="005C45F6" w:rsidP="00773890">
      <w:pPr>
        <w:jc w:val="both"/>
        <w:rPr>
          <w:bCs/>
          <w:iCs/>
        </w:rPr>
      </w:pPr>
      <w:proofErr w:type="gramStart"/>
      <w:r w:rsidRPr="005C45F6">
        <w:rPr>
          <w:b/>
          <w:bCs/>
          <w:iCs/>
        </w:rPr>
        <w:t>Lee, H.-I., Leon, J., and Raskin, I.</w:t>
      </w:r>
      <w:r w:rsidRPr="005C45F6">
        <w:rPr>
          <w:bCs/>
          <w:iCs/>
        </w:rPr>
        <w:t xml:space="preserve"> (1995).</w:t>
      </w:r>
      <w:proofErr w:type="gramEnd"/>
      <w:r w:rsidRPr="005C45F6">
        <w:rPr>
          <w:bCs/>
          <w:iCs/>
        </w:rPr>
        <w:t xml:space="preserve"> </w:t>
      </w:r>
      <w:proofErr w:type="gramStart"/>
      <w:r w:rsidRPr="005C45F6">
        <w:rPr>
          <w:bCs/>
          <w:iCs/>
        </w:rPr>
        <w:t>Biosynthesis and metabolism of salicylic acid.</w:t>
      </w:r>
      <w:proofErr w:type="gramEnd"/>
      <w:r w:rsidRPr="005C45F6">
        <w:rPr>
          <w:bCs/>
          <w:iCs/>
        </w:rPr>
        <w:t xml:space="preserve"> PNAS </w:t>
      </w:r>
      <w:r w:rsidRPr="005C45F6">
        <w:rPr>
          <w:b/>
          <w:bCs/>
          <w:iCs/>
        </w:rPr>
        <w:t>92:</w:t>
      </w:r>
      <w:r w:rsidRPr="005C45F6">
        <w:rPr>
          <w:bCs/>
          <w:iCs/>
        </w:rPr>
        <w:t xml:space="preserve"> 4076-4079.</w:t>
      </w:r>
    </w:p>
    <w:p w:rsidR="005C45F6" w:rsidRPr="005C45F6" w:rsidRDefault="005C45F6" w:rsidP="00773890">
      <w:pPr>
        <w:jc w:val="both"/>
        <w:rPr>
          <w:bCs/>
          <w:iCs/>
        </w:rPr>
      </w:pPr>
      <w:proofErr w:type="gramStart"/>
      <w:r w:rsidRPr="005C45F6">
        <w:rPr>
          <w:b/>
          <w:bCs/>
          <w:iCs/>
        </w:rPr>
        <w:t>Li, G., Froehlich, J.E., Elowsky, C., Msanne, J., Ostosh, A.C., Zhang, C., Awada, T., and Alfano, J.R.</w:t>
      </w:r>
      <w:r w:rsidRPr="005C45F6">
        <w:rPr>
          <w:bCs/>
          <w:iCs/>
        </w:rPr>
        <w:t xml:space="preserve"> (2014).</w:t>
      </w:r>
      <w:proofErr w:type="gramEnd"/>
      <w:r w:rsidRPr="005C45F6">
        <w:rPr>
          <w:bCs/>
          <w:iCs/>
        </w:rPr>
        <w:t xml:space="preserve"> Distinct Pseudomonas type-III effectors use a cleavable transit peptide to target chloroplasts. The Plant Journal </w:t>
      </w:r>
      <w:r w:rsidRPr="005C45F6">
        <w:rPr>
          <w:b/>
          <w:bCs/>
          <w:iCs/>
        </w:rPr>
        <w:t>77</w:t>
      </w:r>
      <w:r w:rsidRPr="00327BA7">
        <w:rPr>
          <w:b/>
          <w:bCs/>
          <w:iCs/>
        </w:rPr>
        <w:t>:</w:t>
      </w:r>
      <w:r w:rsidRPr="005C45F6">
        <w:rPr>
          <w:bCs/>
          <w:iCs/>
        </w:rPr>
        <w:t xml:space="preserve"> 310–321.</w:t>
      </w:r>
    </w:p>
    <w:p w:rsidR="005C45F6" w:rsidRPr="003A7CCE" w:rsidRDefault="005C45F6" w:rsidP="00773890">
      <w:pPr>
        <w:jc w:val="both"/>
        <w:rPr>
          <w:bCs/>
          <w:iCs/>
          <w:lang w:val="de-DE"/>
        </w:rPr>
      </w:pPr>
      <w:proofErr w:type="gramStart"/>
      <w:r w:rsidRPr="005C45F6">
        <w:rPr>
          <w:b/>
          <w:bCs/>
          <w:iCs/>
        </w:rPr>
        <w:t xml:space="preserve">Lin, W., Li, B., Lu, D., Chen, S., Zhu, N., He, P., and Shan, L. </w:t>
      </w:r>
      <w:r w:rsidRPr="005C45F6">
        <w:rPr>
          <w:bCs/>
          <w:iCs/>
        </w:rPr>
        <w:t>(2014).</w:t>
      </w:r>
      <w:proofErr w:type="gramEnd"/>
      <w:r w:rsidRPr="005C45F6">
        <w:rPr>
          <w:bCs/>
          <w:iCs/>
        </w:rPr>
        <w:t xml:space="preserve"> Tyrosine phosphorylation of protein kinase complex BAK1/BIK1 mediates Arabidopsis innate immunity. </w:t>
      </w:r>
      <w:r w:rsidRPr="003A7CCE">
        <w:rPr>
          <w:bCs/>
          <w:iCs/>
          <w:lang w:val="de-DE"/>
        </w:rPr>
        <w:t xml:space="preserve">PNAS </w:t>
      </w:r>
      <w:r w:rsidRPr="003A7CCE">
        <w:rPr>
          <w:b/>
          <w:bCs/>
          <w:iCs/>
          <w:lang w:val="de-DE"/>
        </w:rPr>
        <w:t>111:</w:t>
      </w:r>
      <w:r w:rsidRPr="003A7CCE">
        <w:rPr>
          <w:bCs/>
          <w:iCs/>
          <w:lang w:val="de-DE"/>
        </w:rPr>
        <w:t xml:space="preserve"> 3632–3637.</w:t>
      </w:r>
    </w:p>
    <w:p w:rsidR="004D18A7" w:rsidRPr="004D18A7" w:rsidRDefault="004D18A7" w:rsidP="00773890">
      <w:pPr>
        <w:jc w:val="both"/>
        <w:rPr>
          <w:bCs/>
          <w:iCs/>
          <w:lang w:val="en-US"/>
        </w:rPr>
      </w:pPr>
      <w:r w:rsidRPr="004D18A7">
        <w:rPr>
          <w:b/>
          <w:bCs/>
          <w:iCs/>
          <w:lang w:val="de-DE"/>
        </w:rPr>
        <w:t>Lipka, V., Dittgen, J., Bednarek, P., Bhat, R., Wiermer, M., Stein, M., Landtag, J., Brandt, W., Rosahl, S., Scheel, D., Llorente, F., Molina, A., Parker, J.E., Somerville, S., and Schulze-Lefert, P.</w:t>
      </w:r>
      <w:r w:rsidRPr="004D18A7">
        <w:rPr>
          <w:bCs/>
          <w:iCs/>
          <w:lang w:val="de-DE"/>
        </w:rPr>
        <w:t xml:space="preserve"> (2005).</w:t>
      </w:r>
      <w:r>
        <w:rPr>
          <w:bCs/>
          <w:iCs/>
          <w:lang w:val="de-DE"/>
        </w:rPr>
        <w:t xml:space="preserve"> </w:t>
      </w:r>
      <w:r w:rsidRPr="004D18A7">
        <w:rPr>
          <w:bCs/>
          <w:iCs/>
          <w:lang w:val="en-US"/>
        </w:rPr>
        <w:t xml:space="preserve">Pre- and Postinvasion Defenses </w:t>
      </w:r>
      <w:r>
        <w:rPr>
          <w:bCs/>
          <w:iCs/>
          <w:lang w:val="en-US"/>
        </w:rPr>
        <w:t xml:space="preserve">Both Contribute to Nonhost </w:t>
      </w:r>
      <w:r w:rsidRPr="004D18A7">
        <w:rPr>
          <w:bCs/>
          <w:iCs/>
          <w:lang w:val="en-US"/>
        </w:rPr>
        <w:t xml:space="preserve">Resistance in </w:t>
      </w:r>
      <w:r w:rsidRPr="004D18A7">
        <w:rPr>
          <w:bCs/>
          <w:i/>
          <w:iCs/>
          <w:lang w:val="en-US"/>
        </w:rPr>
        <w:t>Arabidopsis</w:t>
      </w:r>
      <w:r>
        <w:rPr>
          <w:bCs/>
          <w:iCs/>
          <w:lang w:val="en-US"/>
        </w:rPr>
        <w:t xml:space="preserve">. Science </w:t>
      </w:r>
      <w:r w:rsidRPr="004D18A7">
        <w:rPr>
          <w:b/>
          <w:bCs/>
          <w:iCs/>
          <w:lang w:val="en-US"/>
        </w:rPr>
        <w:t>310:</w:t>
      </w:r>
      <w:r>
        <w:rPr>
          <w:bCs/>
          <w:iCs/>
          <w:lang w:val="en-US"/>
        </w:rPr>
        <w:t xml:space="preserve"> 1180-1183.</w:t>
      </w:r>
    </w:p>
    <w:p w:rsidR="00DE0D6E" w:rsidRDefault="00DE0D6E" w:rsidP="00773890">
      <w:pPr>
        <w:jc w:val="both"/>
        <w:rPr>
          <w:b/>
          <w:bCs/>
          <w:iCs/>
        </w:rPr>
      </w:pPr>
    </w:p>
    <w:p w:rsidR="00DE0D6E" w:rsidRDefault="00DE0D6E" w:rsidP="00773890">
      <w:pPr>
        <w:jc w:val="both"/>
        <w:rPr>
          <w:b/>
          <w:bCs/>
          <w:iCs/>
        </w:rPr>
      </w:pPr>
    </w:p>
    <w:p w:rsidR="005C45F6" w:rsidRPr="005C45F6" w:rsidRDefault="005C45F6" w:rsidP="00773890">
      <w:pPr>
        <w:jc w:val="both"/>
        <w:rPr>
          <w:bCs/>
          <w:iCs/>
        </w:rPr>
      </w:pPr>
      <w:proofErr w:type="gramStart"/>
      <w:r w:rsidRPr="005C45F6">
        <w:rPr>
          <w:b/>
          <w:bCs/>
          <w:iCs/>
        </w:rPr>
        <w:lastRenderedPageBreak/>
        <w:t>Luo, J., Nishiyama, Y., Fuell, C., Taguchi, G., Elliott, K., Hill, L., Tanaka, Y.,</w:t>
      </w:r>
      <w:r w:rsidRPr="005C45F6">
        <w:rPr>
          <w:bCs/>
          <w:iCs/>
        </w:rPr>
        <w:t xml:space="preserve"> </w:t>
      </w:r>
      <w:r w:rsidRPr="005C45F6">
        <w:rPr>
          <w:b/>
          <w:bCs/>
          <w:iCs/>
        </w:rPr>
        <w:t>Kitayama, M., Yamazaki, M., Bailey, P., Parr, A., Michael, A.J., Saito, K., and Martin, C</w:t>
      </w:r>
      <w:r w:rsidRPr="00327BA7">
        <w:rPr>
          <w:b/>
          <w:bCs/>
          <w:iCs/>
        </w:rPr>
        <w:t>.</w:t>
      </w:r>
      <w:r w:rsidRPr="005C45F6">
        <w:rPr>
          <w:bCs/>
          <w:iCs/>
        </w:rPr>
        <w:t xml:space="preserve"> (2007).</w:t>
      </w:r>
      <w:proofErr w:type="gramEnd"/>
      <w:r w:rsidRPr="005C45F6">
        <w:rPr>
          <w:bCs/>
          <w:iCs/>
        </w:rPr>
        <w:t xml:space="preserve"> Convergent evolution in the BAHD family of acyl transferases: identification and characterization of anthocyanin acyl transferases from </w:t>
      </w:r>
      <w:r w:rsidRPr="005C45F6">
        <w:rPr>
          <w:bCs/>
          <w:i/>
          <w:iCs/>
        </w:rPr>
        <w:t>Arabidopsis thaliana.</w:t>
      </w:r>
      <w:r w:rsidRPr="005C45F6">
        <w:rPr>
          <w:bCs/>
          <w:iCs/>
        </w:rPr>
        <w:t xml:space="preserve"> The Plant Journal </w:t>
      </w:r>
      <w:r w:rsidRPr="005C45F6">
        <w:rPr>
          <w:b/>
          <w:bCs/>
          <w:iCs/>
        </w:rPr>
        <w:t>50</w:t>
      </w:r>
      <w:r w:rsidRPr="00327BA7">
        <w:rPr>
          <w:b/>
          <w:bCs/>
          <w:iCs/>
        </w:rPr>
        <w:t>:</w:t>
      </w:r>
      <w:r w:rsidRPr="005C45F6">
        <w:rPr>
          <w:bCs/>
          <w:iCs/>
        </w:rPr>
        <w:t xml:space="preserve"> 678–695.</w:t>
      </w:r>
    </w:p>
    <w:p w:rsidR="005C45F6" w:rsidRDefault="005C45F6" w:rsidP="00773890">
      <w:pPr>
        <w:jc w:val="both"/>
        <w:rPr>
          <w:bCs/>
          <w:iCs/>
        </w:rPr>
      </w:pPr>
      <w:proofErr w:type="gramStart"/>
      <w:r w:rsidRPr="005C45F6">
        <w:rPr>
          <w:b/>
          <w:bCs/>
          <w:iCs/>
        </w:rPr>
        <w:t>Luna, E., Bruce, T.J.A., Roberts, M.R., Flors, V., and Ton, J</w:t>
      </w:r>
      <w:r w:rsidRPr="00327BA7">
        <w:rPr>
          <w:b/>
          <w:bCs/>
          <w:iCs/>
        </w:rPr>
        <w:t>.</w:t>
      </w:r>
      <w:r w:rsidRPr="005C45F6">
        <w:rPr>
          <w:bCs/>
          <w:iCs/>
        </w:rPr>
        <w:t xml:space="preserve"> (2012).</w:t>
      </w:r>
      <w:proofErr w:type="gramEnd"/>
      <w:r w:rsidRPr="005C45F6">
        <w:rPr>
          <w:bCs/>
          <w:iCs/>
        </w:rPr>
        <w:t xml:space="preserve"> </w:t>
      </w:r>
      <w:proofErr w:type="gramStart"/>
      <w:r w:rsidRPr="005C45F6">
        <w:rPr>
          <w:bCs/>
          <w:iCs/>
        </w:rPr>
        <w:t>Next-Generation Systemic Acquired Resistance.</w:t>
      </w:r>
      <w:proofErr w:type="gramEnd"/>
      <w:r w:rsidRPr="005C45F6">
        <w:rPr>
          <w:bCs/>
          <w:iCs/>
        </w:rPr>
        <w:t xml:space="preserve"> Plant Physiology </w:t>
      </w:r>
      <w:r w:rsidRPr="005C45F6">
        <w:rPr>
          <w:b/>
          <w:bCs/>
          <w:iCs/>
        </w:rPr>
        <w:t>158</w:t>
      </w:r>
      <w:r w:rsidRPr="00327BA7">
        <w:rPr>
          <w:b/>
          <w:bCs/>
          <w:iCs/>
        </w:rPr>
        <w:t>:</w:t>
      </w:r>
      <w:r w:rsidRPr="005C45F6">
        <w:rPr>
          <w:bCs/>
          <w:iCs/>
        </w:rPr>
        <w:t xml:space="preserve"> 844–853.</w:t>
      </w:r>
    </w:p>
    <w:p w:rsidR="00D93067" w:rsidRDefault="00D93067" w:rsidP="00773890">
      <w:pPr>
        <w:jc w:val="both"/>
        <w:rPr>
          <w:bCs/>
          <w:iCs/>
          <w:lang w:val="en-US"/>
        </w:rPr>
      </w:pPr>
      <w:proofErr w:type="gramStart"/>
      <w:r w:rsidRPr="00D93067">
        <w:rPr>
          <w:b/>
          <w:bCs/>
          <w:iCs/>
        </w:rPr>
        <w:t>Maor, R. and Shirasu, K.</w:t>
      </w:r>
      <w:r>
        <w:rPr>
          <w:bCs/>
          <w:iCs/>
        </w:rPr>
        <w:t xml:space="preserve"> (2005).</w:t>
      </w:r>
      <w:proofErr w:type="gramEnd"/>
      <w:r>
        <w:rPr>
          <w:bCs/>
          <w:iCs/>
        </w:rPr>
        <w:t xml:space="preserve"> </w:t>
      </w:r>
      <w:r w:rsidRPr="00D93067">
        <w:rPr>
          <w:bCs/>
          <w:iCs/>
          <w:lang w:val="en-US"/>
        </w:rPr>
        <w:t>The arms race continues: battl</w:t>
      </w:r>
      <w:r>
        <w:rPr>
          <w:bCs/>
          <w:iCs/>
          <w:lang w:val="en-US"/>
        </w:rPr>
        <w:t xml:space="preserve">e strategies between plants and </w:t>
      </w:r>
      <w:r w:rsidRPr="00D93067">
        <w:rPr>
          <w:bCs/>
          <w:iCs/>
          <w:lang w:val="en-US"/>
        </w:rPr>
        <w:t>fungal pathogens</w:t>
      </w:r>
      <w:r>
        <w:rPr>
          <w:bCs/>
          <w:iCs/>
          <w:lang w:val="en-US"/>
        </w:rPr>
        <w:t xml:space="preserve">. </w:t>
      </w:r>
      <w:r w:rsidRPr="00981B76">
        <w:rPr>
          <w:bCs/>
          <w:iCs/>
          <w:lang w:val="en-US"/>
        </w:rPr>
        <w:t xml:space="preserve">Current Opinion in Microbiology </w:t>
      </w:r>
      <w:r w:rsidRPr="00981B76">
        <w:rPr>
          <w:b/>
          <w:bCs/>
          <w:iCs/>
          <w:lang w:val="en-US"/>
        </w:rPr>
        <w:t>8:</w:t>
      </w:r>
      <w:r w:rsidRPr="00981B76">
        <w:rPr>
          <w:bCs/>
          <w:iCs/>
          <w:lang w:val="en-US"/>
        </w:rPr>
        <w:t xml:space="preserve"> 399–404.</w:t>
      </w:r>
    </w:p>
    <w:p w:rsidR="00B921AB" w:rsidRPr="00D93067" w:rsidRDefault="00B921AB" w:rsidP="00773890">
      <w:pPr>
        <w:jc w:val="both"/>
        <w:rPr>
          <w:bCs/>
          <w:iCs/>
          <w:lang w:val="en-US"/>
        </w:rPr>
      </w:pPr>
      <w:proofErr w:type="gramStart"/>
      <w:r w:rsidRPr="00B921AB">
        <w:rPr>
          <w:b/>
          <w:bCs/>
          <w:iCs/>
          <w:lang w:val="en-US"/>
        </w:rPr>
        <w:t>Marks, M.D. and Feldmann, K.A.</w:t>
      </w:r>
      <w:r>
        <w:rPr>
          <w:bCs/>
          <w:iCs/>
          <w:lang w:val="en-US"/>
        </w:rPr>
        <w:t xml:space="preserve"> (1989).</w:t>
      </w:r>
      <w:proofErr w:type="gramEnd"/>
      <w:r>
        <w:rPr>
          <w:bCs/>
          <w:iCs/>
          <w:lang w:val="en-US"/>
        </w:rPr>
        <w:t xml:space="preserve"> </w:t>
      </w:r>
      <w:proofErr w:type="gramStart"/>
      <w:r w:rsidRPr="00B921AB">
        <w:rPr>
          <w:bCs/>
          <w:iCs/>
          <w:lang w:val="en-US"/>
        </w:rPr>
        <w:t xml:space="preserve">Trichome Development in </w:t>
      </w:r>
      <w:r w:rsidRPr="00B921AB">
        <w:rPr>
          <w:bCs/>
          <w:i/>
          <w:iCs/>
          <w:lang w:val="en-US"/>
        </w:rPr>
        <w:t>Arabidopsis thaliana</w:t>
      </w:r>
      <w:r>
        <w:rPr>
          <w:bCs/>
          <w:iCs/>
          <w:lang w:val="en-US"/>
        </w:rPr>
        <w:t>.</w:t>
      </w:r>
      <w:proofErr w:type="gramEnd"/>
      <w:r>
        <w:rPr>
          <w:bCs/>
          <w:iCs/>
          <w:lang w:val="en-US"/>
        </w:rPr>
        <w:t xml:space="preserve"> I</w:t>
      </w:r>
      <w:r w:rsidRPr="00B921AB">
        <w:rPr>
          <w:bCs/>
          <w:iCs/>
          <w:lang w:val="en-US"/>
        </w:rPr>
        <w:t xml:space="preserve">. T-DNA Tagging of the </w:t>
      </w:r>
      <w:r>
        <w:rPr>
          <w:bCs/>
          <w:i/>
          <w:iCs/>
          <w:lang w:val="en-US"/>
        </w:rPr>
        <w:t>GLABROUS1</w:t>
      </w:r>
      <w:r w:rsidRPr="00B921AB">
        <w:rPr>
          <w:bCs/>
          <w:iCs/>
          <w:lang w:val="en-US"/>
        </w:rPr>
        <w:t xml:space="preserve"> Gene</w:t>
      </w:r>
      <w:r>
        <w:rPr>
          <w:bCs/>
          <w:iCs/>
          <w:lang w:val="en-US"/>
        </w:rPr>
        <w:t xml:space="preserve">. The Plant Cell </w:t>
      </w:r>
      <w:r w:rsidRPr="00B921AB">
        <w:rPr>
          <w:b/>
          <w:bCs/>
          <w:iCs/>
          <w:lang w:val="en-US"/>
        </w:rPr>
        <w:t>1:</w:t>
      </w:r>
      <w:r>
        <w:rPr>
          <w:bCs/>
          <w:iCs/>
          <w:lang w:val="en-US"/>
        </w:rPr>
        <w:t xml:space="preserve"> 1043-1</w:t>
      </w:r>
      <w:r w:rsidRPr="00B921AB">
        <w:rPr>
          <w:bCs/>
          <w:iCs/>
          <w:lang w:val="en-US"/>
        </w:rPr>
        <w:t>050</w:t>
      </w:r>
      <w:r>
        <w:rPr>
          <w:bCs/>
          <w:iCs/>
          <w:lang w:val="en-US"/>
        </w:rPr>
        <w:t>.</w:t>
      </w:r>
    </w:p>
    <w:p w:rsidR="0082362F" w:rsidRDefault="0082362F" w:rsidP="00773890">
      <w:pPr>
        <w:jc w:val="both"/>
        <w:rPr>
          <w:bCs/>
          <w:iCs/>
          <w:lang w:val="en-US"/>
        </w:rPr>
      </w:pPr>
      <w:proofErr w:type="gramStart"/>
      <w:r w:rsidRPr="0082362F">
        <w:rPr>
          <w:b/>
          <w:bCs/>
          <w:iCs/>
          <w:lang w:val="en-US"/>
        </w:rPr>
        <w:t xml:space="preserve">Meng, X. and Zhang, S. </w:t>
      </w:r>
      <w:r w:rsidRPr="0082362F">
        <w:rPr>
          <w:bCs/>
          <w:iCs/>
          <w:lang w:val="en-US"/>
        </w:rPr>
        <w:t>(2013).</w:t>
      </w:r>
      <w:proofErr w:type="gramEnd"/>
      <w:r w:rsidRPr="0082362F">
        <w:rPr>
          <w:bCs/>
          <w:iCs/>
          <w:lang w:val="en-US"/>
        </w:rPr>
        <w:t xml:space="preserve"> </w:t>
      </w:r>
      <w:proofErr w:type="gramStart"/>
      <w:r w:rsidRPr="0082362F">
        <w:rPr>
          <w:bCs/>
          <w:iCs/>
          <w:lang w:val="en-US"/>
        </w:rPr>
        <w:t>MAPK Cascades in Plant Disease Resistance Signaling.</w:t>
      </w:r>
      <w:proofErr w:type="gramEnd"/>
      <w:r w:rsidRPr="0082362F">
        <w:rPr>
          <w:bCs/>
          <w:iCs/>
          <w:lang w:val="en-US"/>
        </w:rPr>
        <w:t xml:space="preserve"> </w:t>
      </w:r>
      <w:proofErr w:type="gramStart"/>
      <w:r w:rsidRPr="0082362F">
        <w:rPr>
          <w:bCs/>
          <w:iCs/>
          <w:lang w:val="en-US"/>
        </w:rPr>
        <w:t>Annu.</w:t>
      </w:r>
      <w:proofErr w:type="gramEnd"/>
      <w:r w:rsidRPr="0082362F">
        <w:rPr>
          <w:bCs/>
          <w:iCs/>
          <w:lang w:val="en-US"/>
        </w:rPr>
        <w:t xml:space="preserve"> Rev. Phytopathol. </w:t>
      </w:r>
      <w:r w:rsidRPr="0082362F">
        <w:rPr>
          <w:b/>
          <w:bCs/>
          <w:iCs/>
          <w:lang w:val="en-US"/>
        </w:rPr>
        <w:t>51:</w:t>
      </w:r>
      <w:r w:rsidRPr="0082362F">
        <w:rPr>
          <w:bCs/>
          <w:iCs/>
          <w:lang w:val="en-US"/>
        </w:rPr>
        <w:t xml:space="preserve"> 245–266.</w:t>
      </w:r>
    </w:p>
    <w:p w:rsidR="00DB0F6D" w:rsidRPr="0082362F" w:rsidRDefault="00DB0F6D" w:rsidP="00773890">
      <w:pPr>
        <w:jc w:val="both"/>
        <w:rPr>
          <w:bCs/>
          <w:iCs/>
          <w:lang w:val="en-US"/>
        </w:rPr>
      </w:pPr>
      <w:proofErr w:type="gramStart"/>
      <w:r w:rsidRPr="00DB0F6D">
        <w:rPr>
          <w:b/>
          <w:bCs/>
          <w:iCs/>
          <w:lang w:val="en-US"/>
        </w:rPr>
        <w:t>Micali, C., Gollner, K., Humphry, M., Consonni, C., and Panstruga, R.</w:t>
      </w:r>
      <w:r>
        <w:rPr>
          <w:bCs/>
          <w:iCs/>
          <w:lang w:val="en-US"/>
        </w:rPr>
        <w:t xml:space="preserve"> (</w:t>
      </w:r>
      <w:r w:rsidRPr="00DB0F6D">
        <w:rPr>
          <w:bCs/>
          <w:iCs/>
          <w:lang w:val="en-US"/>
        </w:rPr>
        <w:t>2008</w:t>
      </w:r>
      <w:r>
        <w:rPr>
          <w:bCs/>
          <w:iCs/>
          <w:lang w:val="en-US"/>
        </w:rPr>
        <w:t>)</w:t>
      </w:r>
      <w:r w:rsidRPr="00DB0F6D">
        <w:rPr>
          <w:bCs/>
          <w:iCs/>
          <w:lang w:val="en-US"/>
        </w:rPr>
        <w:t>.</w:t>
      </w:r>
      <w:proofErr w:type="gramEnd"/>
      <w:r w:rsidRPr="00DB0F6D">
        <w:rPr>
          <w:bCs/>
          <w:iCs/>
          <w:lang w:val="en-US"/>
        </w:rPr>
        <w:t xml:space="preserve"> </w:t>
      </w:r>
      <w:proofErr w:type="gramStart"/>
      <w:r w:rsidRPr="00DB0F6D">
        <w:rPr>
          <w:bCs/>
          <w:iCs/>
          <w:lang w:val="en-US"/>
        </w:rPr>
        <w:t xml:space="preserve">Pages 1-19 in: The Arabidopsis </w:t>
      </w:r>
      <w:r>
        <w:rPr>
          <w:bCs/>
          <w:iCs/>
          <w:lang w:val="en-US"/>
        </w:rPr>
        <w:t>Book.</w:t>
      </w:r>
      <w:proofErr w:type="gramEnd"/>
      <w:r>
        <w:rPr>
          <w:bCs/>
          <w:iCs/>
          <w:lang w:val="en-US"/>
        </w:rPr>
        <w:t xml:space="preserve"> </w:t>
      </w:r>
      <w:proofErr w:type="gramStart"/>
      <w:r>
        <w:rPr>
          <w:bCs/>
          <w:iCs/>
          <w:lang w:val="en-US"/>
        </w:rPr>
        <w:t xml:space="preserve">American Society of Plant </w:t>
      </w:r>
      <w:r w:rsidRPr="00DB0F6D">
        <w:rPr>
          <w:bCs/>
          <w:iCs/>
          <w:lang w:val="en-US"/>
        </w:rPr>
        <w:t>Biologists, Rockville, MD, U.S.A.</w:t>
      </w:r>
      <w:proofErr w:type="gramEnd"/>
    </w:p>
    <w:p w:rsidR="005C45F6" w:rsidRPr="005C45F6" w:rsidRDefault="005C45F6" w:rsidP="00773890">
      <w:pPr>
        <w:jc w:val="both"/>
        <w:rPr>
          <w:bCs/>
          <w:iCs/>
        </w:rPr>
      </w:pPr>
      <w:proofErr w:type="gramStart"/>
      <w:r w:rsidRPr="005C45F6">
        <w:rPr>
          <w:b/>
          <w:bCs/>
          <w:iCs/>
        </w:rPr>
        <w:t>Mishina, T.E and Zeier, J.</w:t>
      </w:r>
      <w:r w:rsidRPr="005C45F6">
        <w:rPr>
          <w:bCs/>
          <w:iCs/>
        </w:rPr>
        <w:t xml:space="preserve"> (2006).</w:t>
      </w:r>
      <w:proofErr w:type="gramEnd"/>
      <w:r w:rsidRPr="005C45F6">
        <w:rPr>
          <w:bCs/>
          <w:iCs/>
        </w:rPr>
        <w:t xml:space="preserve"> The Arabidopsis Flavin-Dependent Monooxygenase FMO1 Is an Essential Component of Biologically Induced Systemic Acquired Resistance. Plant Physiology </w:t>
      </w:r>
      <w:r w:rsidRPr="005C45F6">
        <w:rPr>
          <w:b/>
          <w:bCs/>
          <w:iCs/>
        </w:rPr>
        <w:t>141</w:t>
      </w:r>
      <w:r w:rsidRPr="00327BA7">
        <w:rPr>
          <w:b/>
          <w:bCs/>
          <w:iCs/>
        </w:rPr>
        <w:t>:</w:t>
      </w:r>
      <w:r w:rsidRPr="005C45F6">
        <w:rPr>
          <w:bCs/>
          <w:iCs/>
        </w:rPr>
        <w:t xml:space="preserve"> 1666–1675. </w:t>
      </w:r>
    </w:p>
    <w:p w:rsidR="005C45F6" w:rsidRPr="005C45F6" w:rsidRDefault="005C45F6" w:rsidP="00773890">
      <w:pPr>
        <w:jc w:val="both"/>
        <w:rPr>
          <w:bCs/>
          <w:iCs/>
        </w:rPr>
      </w:pPr>
      <w:proofErr w:type="gramStart"/>
      <w:r w:rsidRPr="005C45F6">
        <w:rPr>
          <w:b/>
          <w:bCs/>
          <w:iCs/>
        </w:rPr>
        <w:t>Mishina, T.E. and Zeier, J.</w:t>
      </w:r>
      <w:r w:rsidRPr="005C45F6">
        <w:rPr>
          <w:bCs/>
          <w:iCs/>
        </w:rPr>
        <w:t xml:space="preserve"> (2007).</w:t>
      </w:r>
      <w:proofErr w:type="gramEnd"/>
      <w:r w:rsidRPr="005C45F6">
        <w:rPr>
          <w:bCs/>
          <w:iCs/>
        </w:rPr>
        <w:t xml:space="preserve"> Pathogen-associated molecular pattern recognition rather than development of tissue necrosis contributes to bacterial induction of systemic acquired resistance in Arabidopsis. The Plant Journal </w:t>
      </w:r>
      <w:r w:rsidRPr="005C45F6">
        <w:rPr>
          <w:b/>
          <w:bCs/>
          <w:iCs/>
        </w:rPr>
        <w:t>50</w:t>
      </w:r>
      <w:r w:rsidRPr="00327BA7">
        <w:rPr>
          <w:b/>
          <w:bCs/>
          <w:iCs/>
        </w:rPr>
        <w:t>:</w:t>
      </w:r>
      <w:r w:rsidRPr="005C45F6">
        <w:rPr>
          <w:bCs/>
          <w:iCs/>
        </w:rPr>
        <w:t xml:space="preserve"> 500–513.</w:t>
      </w:r>
    </w:p>
    <w:p w:rsidR="005C45F6" w:rsidRPr="005C45F6" w:rsidRDefault="005C45F6" w:rsidP="00773890">
      <w:pPr>
        <w:jc w:val="both"/>
        <w:rPr>
          <w:bCs/>
          <w:iCs/>
          <w:lang w:val="en-US"/>
        </w:rPr>
      </w:pPr>
      <w:r w:rsidRPr="005C45F6">
        <w:rPr>
          <w:b/>
          <w:bCs/>
          <w:iCs/>
          <w:lang w:val="en-US"/>
        </w:rPr>
        <w:t>Morgan, w. and Kamoun, S.</w:t>
      </w:r>
      <w:r w:rsidRPr="005C45F6">
        <w:rPr>
          <w:bCs/>
          <w:iCs/>
          <w:lang w:val="en-US"/>
        </w:rPr>
        <w:t xml:space="preserve"> (2007). </w:t>
      </w:r>
      <w:proofErr w:type="gramStart"/>
      <w:r w:rsidRPr="005C45F6">
        <w:rPr>
          <w:bCs/>
          <w:iCs/>
          <w:lang w:val="en-US"/>
        </w:rPr>
        <w:t>RXLR effectors of plant pathogenic oomycetes.</w:t>
      </w:r>
      <w:proofErr w:type="gramEnd"/>
      <w:r w:rsidRPr="005C45F6">
        <w:rPr>
          <w:bCs/>
          <w:iCs/>
          <w:lang w:val="en-US"/>
        </w:rPr>
        <w:t xml:space="preserve"> Current Opinion in Microbiology </w:t>
      </w:r>
      <w:r w:rsidRPr="005C45F6">
        <w:rPr>
          <w:b/>
          <w:bCs/>
          <w:iCs/>
          <w:lang w:val="en-US"/>
        </w:rPr>
        <w:t>10</w:t>
      </w:r>
      <w:r w:rsidRPr="00327BA7">
        <w:rPr>
          <w:b/>
          <w:bCs/>
          <w:iCs/>
          <w:lang w:val="en-US"/>
        </w:rPr>
        <w:t>:</w:t>
      </w:r>
      <w:r w:rsidRPr="005C45F6">
        <w:rPr>
          <w:bCs/>
          <w:iCs/>
          <w:lang w:val="en-US"/>
        </w:rPr>
        <w:t xml:space="preserve"> 332–338.</w:t>
      </w:r>
    </w:p>
    <w:p w:rsidR="005C45F6" w:rsidRPr="005C45F6" w:rsidRDefault="005C45F6" w:rsidP="00773890">
      <w:pPr>
        <w:jc w:val="both"/>
        <w:rPr>
          <w:bCs/>
          <w:iCs/>
          <w:lang w:val="en-US"/>
        </w:rPr>
      </w:pPr>
      <w:r w:rsidRPr="005C45F6">
        <w:rPr>
          <w:b/>
          <w:bCs/>
          <w:iCs/>
          <w:lang w:val="en-US"/>
        </w:rPr>
        <w:t>Mou, Z., Fan, W., and Dong, X.</w:t>
      </w:r>
      <w:r w:rsidRPr="005C45F6">
        <w:rPr>
          <w:bCs/>
          <w:iCs/>
          <w:lang w:val="en-US"/>
        </w:rPr>
        <w:t xml:space="preserve"> (2003).</w:t>
      </w:r>
      <w:r w:rsidRPr="005C45F6">
        <w:t xml:space="preserve"> </w:t>
      </w:r>
      <w:r w:rsidRPr="005C45F6">
        <w:rPr>
          <w:bCs/>
          <w:iCs/>
          <w:lang w:val="en-US"/>
        </w:rPr>
        <w:t xml:space="preserve">Inducers of Plant Systemic Acquired Resistance Regulate NPR1 Function through Redox Changes. Cell </w:t>
      </w:r>
      <w:r w:rsidRPr="005C45F6">
        <w:rPr>
          <w:b/>
          <w:bCs/>
          <w:iCs/>
          <w:lang w:val="en-US"/>
        </w:rPr>
        <w:t>113</w:t>
      </w:r>
      <w:r w:rsidRPr="00327BA7">
        <w:rPr>
          <w:b/>
          <w:bCs/>
          <w:iCs/>
          <w:lang w:val="en-US"/>
        </w:rPr>
        <w:t>:</w:t>
      </w:r>
      <w:r w:rsidRPr="005C45F6">
        <w:rPr>
          <w:bCs/>
          <w:iCs/>
          <w:lang w:val="en-US"/>
        </w:rPr>
        <w:t xml:space="preserve"> 935–944. </w:t>
      </w:r>
    </w:p>
    <w:p w:rsidR="002B65C6" w:rsidRPr="005C45F6" w:rsidRDefault="002B65C6" w:rsidP="00773890">
      <w:pPr>
        <w:jc w:val="both"/>
        <w:rPr>
          <w:bCs/>
          <w:iCs/>
        </w:rPr>
      </w:pPr>
      <w:proofErr w:type="gramStart"/>
      <w:r w:rsidRPr="002B65C6">
        <w:rPr>
          <w:b/>
          <w:bCs/>
          <w:iCs/>
        </w:rPr>
        <w:t>Mur, L.A.J., Naylor, G., Warner, S.A.J., Sugars, J.M., White, R.F., and Draper, J.</w:t>
      </w:r>
      <w:r>
        <w:rPr>
          <w:bCs/>
          <w:iCs/>
        </w:rPr>
        <w:t xml:space="preserve"> (1996).</w:t>
      </w:r>
      <w:proofErr w:type="gramEnd"/>
      <w:r>
        <w:rPr>
          <w:bCs/>
          <w:iCs/>
        </w:rPr>
        <w:t xml:space="preserve"> Salicylic </w:t>
      </w:r>
      <w:r w:rsidRPr="002B65C6">
        <w:rPr>
          <w:bCs/>
          <w:iCs/>
        </w:rPr>
        <w:t>acid pote</w:t>
      </w:r>
      <w:r>
        <w:rPr>
          <w:bCs/>
          <w:iCs/>
        </w:rPr>
        <w:t xml:space="preserve">ntiates defence gene expression </w:t>
      </w:r>
      <w:r w:rsidRPr="002B65C6">
        <w:rPr>
          <w:bCs/>
          <w:iCs/>
        </w:rPr>
        <w:t>in tissue ex</w:t>
      </w:r>
      <w:r>
        <w:rPr>
          <w:bCs/>
          <w:iCs/>
        </w:rPr>
        <w:t xml:space="preserve">hibiting acquired resistance to </w:t>
      </w:r>
      <w:r w:rsidRPr="002B65C6">
        <w:rPr>
          <w:bCs/>
          <w:iCs/>
        </w:rPr>
        <w:t xml:space="preserve">pathogen attack. Plant J. </w:t>
      </w:r>
      <w:r w:rsidRPr="002B65C6">
        <w:rPr>
          <w:b/>
          <w:bCs/>
          <w:iCs/>
        </w:rPr>
        <w:t>9:</w:t>
      </w:r>
      <w:r>
        <w:rPr>
          <w:bCs/>
          <w:iCs/>
        </w:rPr>
        <w:t xml:space="preserve"> </w:t>
      </w:r>
      <w:r w:rsidRPr="002B65C6">
        <w:rPr>
          <w:bCs/>
          <w:iCs/>
        </w:rPr>
        <w:t>559–71</w:t>
      </w:r>
      <w:r>
        <w:rPr>
          <w:bCs/>
          <w:iCs/>
        </w:rPr>
        <w:t>.</w:t>
      </w:r>
    </w:p>
    <w:p w:rsidR="005C45F6" w:rsidRPr="005C45F6" w:rsidRDefault="005C45F6" w:rsidP="00773890">
      <w:pPr>
        <w:jc w:val="both"/>
        <w:rPr>
          <w:bCs/>
          <w:iCs/>
        </w:rPr>
      </w:pPr>
      <w:proofErr w:type="gramStart"/>
      <w:r w:rsidRPr="005C45F6">
        <w:rPr>
          <w:b/>
          <w:bCs/>
          <w:iCs/>
        </w:rPr>
        <w:t>Murashige, T. and Skoog, F.</w:t>
      </w:r>
      <w:r w:rsidRPr="005C45F6">
        <w:rPr>
          <w:bCs/>
          <w:iCs/>
        </w:rPr>
        <w:t xml:space="preserve"> (1962).</w:t>
      </w:r>
      <w:proofErr w:type="gramEnd"/>
      <w:r w:rsidRPr="005C45F6">
        <w:rPr>
          <w:bCs/>
          <w:iCs/>
        </w:rPr>
        <w:t xml:space="preserve"> </w:t>
      </w:r>
      <w:proofErr w:type="gramStart"/>
      <w:r w:rsidRPr="005C45F6">
        <w:rPr>
          <w:bCs/>
          <w:iCs/>
        </w:rPr>
        <w:t>A Revised Medium for Rapid Growth and Bio Assays with Tobacco Tissue Cultures.</w:t>
      </w:r>
      <w:proofErr w:type="gramEnd"/>
      <w:r w:rsidRPr="005C45F6">
        <w:rPr>
          <w:bCs/>
          <w:iCs/>
        </w:rPr>
        <w:t xml:space="preserve"> Physiologia Plantarum </w:t>
      </w:r>
      <w:r w:rsidRPr="00327BA7">
        <w:rPr>
          <w:b/>
          <w:bCs/>
          <w:iCs/>
        </w:rPr>
        <w:t>15:</w:t>
      </w:r>
      <w:r w:rsidRPr="005C45F6">
        <w:rPr>
          <w:bCs/>
          <w:iCs/>
        </w:rPr>
        <w:t xml:space="preserve"> 473-497.</w:t>
      </w:r>
    </w:p>
    <w:p w:rsidR="005C45F6" w:rsidRPr="005C45F6" w:rsidRDefault="005C45F6" w:rsidP="00773890">
      <w:pPr>
        <w:jc w:val="both"/>
        <w:rPr>
          <w:bCs/>
          <w:iCs/>
        </w:rPr>
      </w:pPr>
      <w:r w:rsidRPr="005C45F6">
        <w:rPr>
          <w:b/>
          <w:bCs/>
          <w:iCs/>
        </w:rPr>
        <w:t>Mutka, A.M., Fawley, S., Tsao, T., and Kunkel, B.N.</w:t>
      </w:r>
      <w:r w:rsidRPr="005C45F6">
        <w:rPr>
          <w:bCs/>
          <w:iCs/>
        </w:rPr>
        <w:t xml:space="preserve"> (2013). Auxin promotes susceptibility to </w:t>
      </w:r>
      <w:r w:rsidRPr="005C45F6">
        <w:rPr>
          <w:bCs/>
          <w:i/>
          <w:iCs/>
        </w:rPr>
        <w:t>Pseudomonas syringae</w:t>
      </w:r>
      <w:r w:rsidRPr="005C45F6">
        <w:rPr>
          <w:bCs/>
          <w:iCs/>
        </w:rPr>
        <w:t xml:space="preserve"> via a mechanism independent of suppression of salicylic acid-mediated defenses. The Plant Journal </w:t>
      </w:r>
      <w:r w:rsidRPr="005C45F6">
        <w:rPr>
          <w:b/>
          <w:bCs/>
          <w:iCs/>
        </w:rPr>
        <w:t>74</w:t>
      </w:r>
      <w:r w:rsidRPr="00327BA7">
        <w:rPr>
          <w:b/>
          <w:bCs/>
          <w:iCs/>
        </w:rPr>
        <w:t>:</w:t>
      </w:r>
      <w:r w:rsidRPr="005C45F6">
        <w:rPr>
          <w:bCs/>
          <w:iCs/>
        </w:rPr>
        <w:t xml:space="preserve"> 746–754.</w:t>
      </w:r>
    </w:p>
    <w:p w:rsidR="005C45F6" w:rsidRDefault="005C45F6" w:rsidP="00773890">
      <w:pPr>
        <w:jc w:val="both"/>
        <w:rPr>
          <w:bCs/>
          <w:iCs/>
        </w:rPr>
      </w:pPr>
      <w:proofErr w:type="gramStart"/>
      <w:r w:rsidRPr="005C45F6">
        <w:rPr>
          <w:b/>
          <w:bCs/>
          <w:iCs/>
        </w:rPr>
        <w:t xml:space="preserve">Nafisi, M., Goregaoker, S., Botanga, C.J., Glawischnig, E., Olsen, C.E., Halkier, B.A., and Glazebrook, J. </w:t>
      </w:r>
      <w:r w:rsidRPr="005C45F6">
        <w:rPr>
          <w:bCs/>
          <w:iCs/>
        </w:rPr>
        <w:t>(2007).</w:t>
      </w:r>
      <w:proofErr w:type="gramEnd"/>
      <w:r w:rsidRPr="005C45F6">
        <w:rPr>
          <w:bCs/>
          <w:iCs/>
        </w:rPr>
        <w:t xml:space="preserve"> </w:t>
      </w:r>
      <w:r w:rsidRPr="005C45F6">
        <w:rPr>
          <w:bCs/>
          <w:i/>
          <w:iCs/>
        </w:rPr>
        <w:t>Arabidopsis</w:t>
      </w:r>
      <w:r w:rsidRPr="005C45F6">
        <w:rPr>
          <w:bCs/>
          <w:iCs/>
        </w:rPr>
        <w:t xml:space="preserve"> Cytochrome P450 Monooxygenase 71A13 Catalyzes the Conversion of Indole-3-Acetaldoxime in Camalexin Synthesis. The Plant Cell </w:t>
      </w:r>
      <w:r w:rsidRPr="005C45F6">
        <w:rPr>
          <w:b/>
          <w:bCs/>
          <w:iCs/>
        </w:rPr>
        <w:t>19</w:t>
      </w:r>
      <w:r w:rsidRPr="00327BA7">
        <w:rPr>
          <w:b/>
          <w:bCs/>
          <w:iCs/>
        </w:rPr>
        <w:t>:</w:t>
      </w:r>
      <w:r w:rsidRPr="005C45F6">
        <w:rPr>
          <w:bCs/>
          <w:iCs/>
        </w:rPr>
        <w:t xml:space="preserve"> 2039–2052.</w:t>
      </w:r>
    </w:p>
    <w:p w:rsidR="00AF4637" w:rsidRPr="00AF4637" w:rsidRDefault="00AF4637" w:rsidP="00773890">
      <w:pPr>
        <w:jc w:val="both"/>
        <w:rPr>
          <w:bCs/>
          <w:iCs/>
          <w:lang w:val="en-US"/>
        </w:rPr>
      </w:pPr>
      <w:proofErr w:type="gramStart"/>
      <w:r w:rsidRPr="00E0008D">
        <w:rPr>
          <w:b/>
          <w:bCs/>
          <w:iCs/>
          <w:lang w:val="en-US"/>
        </w:rPr>
        <w:lastRenderedPageBreak/>
        <w:t>Naumann, C., Hartmann, T., and Obe, D.</w:t>
      </w:r>
      <w:r w:rsidRPr="00E0008D">
        <w:rPr>
          <w:bCs/>
          <w:iCs/>
          <w:lang w:val="en-US"/>
        </w:rPr>
        <w:t xml:space="preserve"> (2002).</w:t>
      </w:r>
      <w:proofErr w:type="gramEnd"/>
      <w:r w:rsidRPr="00E0008D">
        <w:rPr>
          <w:bCs/>
          <w:iCs/>
          <w:lang w:val="en-US"/>
        </w:rPr>
        <w:t xml:space="preserve"> </w:t>
      </w:r>
      <w:proofErr w:type="gramStart"/>
      <w:r w:rsidRPr="00AF4637">
        <w:rPr>
          <w:bCs/>
          <w:iCs/>
          <w:lang w:val="en-US"/>
        </w:rPr>
        <w:t>Evolutionary re</w:t>
      </w:r>
      <w:r>
        <w:rPr>
          <w:bCs/>
          <w:iCs/>
          <w:lang w:val="en-US"/>
        </w:rPr>
        <w:t xml:space="preserve">cruitment of a flavin-dependent </w:t>
      </w:r>
      <w:r w:rsidRPr="00AF4637">
        <w:rPr>
          <w:bCs/>
          <w:iCs/>
          <w:lang w:val="en-US"/>
        </w:rPr>
        <w:t>monooxygenase for the detoxification of h</w:t>
      </w:r>
      <w:r>
        <w:rPr>
          <w:bCs/>
          <w:iCs/>
          <w:lang w:val="en-US"/>
        </w:rPr>
        <w:t xml:space="preserve">ost </w:t>
      </w:r>
      <w:r w:rsidRPr="00AF4637">
        <w:rPr>
          <w:bCs/>
          <w:iCs/>
          <w:lang w:val="en-US"/>
        </w:rPr>
        <w:t>plant-acquired</w:t>
      </w:r>
      <w:r>
        <w:rPr>
          <w:bCs/>
          <w:iCs/>
          <w:lang w:val="en-US"/>
        </w:rPr>
        <w:t xml:space="preserve"> pyrrolizidine alkaloids in the alkaloid-defended arctiid moth </w:t>
      </w:r>
      <w:r w:rsidRPr="00AF4637">
        <w:rPr>
          <w:bCs/>
          <w:i/>
          <w:iCs/>
          <w:lang w:val="en-US"/>
        </w:rPr>
        <w:t>Tyria jacobaeae</w:t>
      </w:r>
      <w:r>
        <w:rPr>
          <w:bCs/>
          <w:iCs/>
          <w:lang w:val="en-US"/>
        </w:rPr>
        <w:t>.</w:t>
      </w:r>
      <w:proofErr w:type="gramEnd"/>
      <w:r>
        <w:rPr>
          <w:bCs/>
          <w:iCs/>
          <w:lang w:val="en-US"/>
        </w:rPr>
        <w:t xml:space="preserve"> PNAS </w:t>
      </w:r>
      <w:r>
        <w:rPr>
          <w:b/>
          <w:bCs/>
          <w:iCs/>
          <w:lang w:val="en-US"/>
        </w:rPr>
        <w:t>99:</w:t>
      </w:r>
      <w:r>
        <w:rPr>
          <w:bCs/>
          <w:iCs/>
          <w:lang w:val="en-US"/>
        </w:rPr>
        <w:t xml:space="preserve"> 6085-6090.</w:t>
      </w:r>
    </w:p>
    <w:p w:rsidR="005C45F6" w:rsidRPr="005C45F6" w:rsidRDefault="005C45F6" w:rsidP="00773890">
      <w:pPr>
        <w:jc w:val="both"/>
      </w:pPr>
      <w:proofErr w:type="gramStart"/>
      <w:r w:rsidRPr="005C45F6">
        <w:rPr>
          <w:b/>
        </w:rPr>
        <w:t xml:space="preserve">Návarová, H., Bernsdorff, F., Döring, A.C., and Zeier, J. </w:t>
      </w:r>
      <w:r w:rsidRPr="005C45F6">
        <w:t>(2012).</w:t>
      </w:r>
      <w:proofErr w:type="gramEnd"/>
      <w:r w:rsidRPr="005C45F6">
        <w:t xml:space="preserve"> Pipecolic Acid, an Endogenous Mediator of Defense Amplification and Priming, Is a Critical Regulator of Inducible Plant Immunity. The Plant Cell </w:t>
      </w:r>
      <w:r w:rsidRPr="005C45F6">
        <w:rPr>
          <w:b/>
        </w:rPr>
        <w:t>24</w:t>
      </w:r>
      <w:r w:rsidRPr="00327BA7">
        <w:rPr>
          <w:b/>
        </w:rPr>
        <w:t>:</w:t>
      </w:r>
      <w:r w:rsidRPr="005C45F6">
        <w:t xml:space="preserve"> 5123–5141.</w:t>
      </w:r>
    </w:p>
    <w:p w:rsidR="005C45F6" w:rsidRDefault="005C45F6" w:rsidP="00773890">
      <w:pPr>
        <w:spacing w:after="0"/>
        <w:jc w:val="both"/>
        <w:rPr>
          <w:bCs/>
        </w:rPr>
      </w:pPr>
      <w:proofErr w:type="gramStart"/>
      <w:r w:rsidRPr="005C45F6">
        <w:rPr>
          <w:b/>
        </w:rPr>
        <w:t>Nawrath, C. and Métraux, J.-P.</w:t>
      </w:r>
      <w:proofErr w:type="gramEnd"/>
      <w:r w:rsidRPr="005C45F6">
        <w:t xml:space="preserve"> (1999). </w:t>
      </w:r>
      <w:r w:rsidRPr="005C45F6">
        <w:rPr>
          <w:bCs/>
        </w:rPr>
        <w:t>Salicylic Acid Induction–D</w:t>
      </w:r>
      <w:r w:rsidR="00327BA7">
        <w:rPr>
          <w:bCs/>
        </w:rPr>
        <w:t xml:space="preserve">eficient Mutants of </w:t>
      </w:r>
      <w:r w:rsidR="00327BA7" w:rsidRPr="00327BA7">
        <w:rPr>
          <w:bCs/>
          <w:i/>
        </w:rPr>
        <w:t>Arabidopsis</w:t>
      </w:r>
      <w:r w:rsidR="00327BA7">
        <w:rPr>
          <w:bCs/>
        </w:rPr>
        <w:t xml:space="preserve"> </w:t>
      </w:r>
      <w:r w:rsidRPr="005C45F6">
        <w:rPr>
          <w:bCs/>
        </w:rPr>
        <w:t xml:space="preserve">Express </w:t>
      </w:r>
      <w:r w:rsidRPr="005C45F6">
        <w:rPr>
          <w:bCs/>
          <w:i/>
          <w:iCs/>
        </w:rPr>
        <w:t xml:space="preserve">PR-2 </w:t>
      </w:r>
      <w:r w:rsidRPr="005C45F6">
        <w:rPr>
          <w:bCs/>
        </w:rPr>
        <w:t xml:space="preserve">and </w:t>
      </w:r>
      <w:r w:rsidRPr="005C45F6">
        <w:rPr>
          <w:bCs/>
          <w:i/>
          <w:iCs/>
        </w:rPr>
        <w:t xml:space="preserve">PR-5 </w:t>
      </w:r>
      <w:r w:rsidRPr="005C45F6">
        <w:rPr>
          <w:bCs/>
        </w:rPr>
        <w:t xml:space="preserve">and Accumulate High Levels of Camalexin after Pathogen Inoculation. The Plant Cell </w:t>
      </w:r>
      <w:r w:rsidRPr="005C45F6">
        <w:rPr>
          <w:b/>
          <w:bCs/>
        </w:rPr>
        <w:t>11</w:t>
      </w:r>
      <w:r w:rsidRPr="00327BA7">
        <w:rPr>
          <w:b/>
          <w:bCs/>
        </w:rPr>
        <w:t>:</w:t>
      </w:r>
      <w:r w:rsidRPr="005C45F6">
        <w:rPr>
          <w:bCs/>
        </w:rPr>
        <w:t xml:space="preserve"> 1393–1404.</w:t>
      </w:r>
    </w:p>
    <w:p w:rsidR="00327BA7" w:rsidRPr="005C45F6" w:rsidRDefault="00327BA7" w:rsidP="00773890">
      <w:pPr>
        <w:spacing w:after="0"/>
        <w:jc w:val="both"/>
        <w:rPr>
          <w:bCs/>
        </w:rPr>
      </w:pPr>
    </w:p>
    <w:p w:rsidR="005C45F6" w:rsidRPr="005C45F6" w:rsidRDefault="005C45F6" w:rsidP="00773890">
      <w:pPr>
        <w:jc w:val="both"/>
      </w:pPr>
      <w:proofErr w:type="gramStart"/>
      <w:r w:rsidRPr="005C45F6">
        <w:rPr>
          <w:b/>
        </w:rPr>
        <w:t>Nemri, A, Atwell, S., Tarone, A.M., Huang, Y.S., Zhao, K., Studholme, D.J., Nordborg, M., and Jones, J.D.G.</w:t>
      </w:r>
      <w:r w:rsidRPr="005C45F6">
        <w:t xml:space="preserve"> (2010).</w:t>
      </w:r>
      <w:proofErr w:type="gramEnd"/>
      <w:r w:rsidRPr="005C45F6">
        <w:t xml:space="preserve"> </w:t>
      </w:r>
      <w:proofErr w:type="gramStart"/>
      <w:r w:rsidRPr="005C45F6">
        <w:t xml:space="preserve">Genome-wide survey of </w:t>
      </w:r>
      <w:r w:rsidRPr="005C45F6">
        <w:rPr>
          <w:i/>
        </w:rPr>
        <w:t>Arabidopsis</w:t>
      </w:r>
      <w:r w:rsidRPr="005C45F6">
        <w:t xml:space="preserve"> natural variation in downy mildew resistance using combined association and linkage mapping.</w:t>
      </w:r>
      <w:proofErr w:type="gramEnd"/>
      <w:r w:rsidRPr="005C45F6">
        <w:t xml:space="preserve"> PNAS </w:t>
      </w:r>
      <w:r w:rsidRPr="005C45F6">
        <w:rPr>
          <w:b/>
        </w:rPr>
        <w:t>107</w:t>
      </w:r>
      <w:r w:rsidRPr="00327BA7">
        <w:rPr>
          <w:b/>
        </w:rPr>
        <w:t>:</w:t>
      </w:r>
      <w:r w:rsidRPr="005C45F6">
        <w:t xml:space="preserve"> 10302–10307.</w:t>
      </w:r>
    </w:p>
    <w:p w:rsidR="005C45F6" w:rsidRPr="005C45F6" w:rsidRDefault="005C45F6" w:rsidP="00773890">
      <w:pPr>
        <w:jc w:val="both"/>
      </w:pPr>
      <w:proofErr w:type="gramStart"/>
      <w:r w:rsidRPr="005C45F6">
        <w:rPr>
          <w:b/>
          <w:lang w:val="en-US"/>
        </w:rPr>
        <w:t xml:space="preserve">Nishimura, M.T., Stein, M., Hou, B.-H., </w:t>
      </w:r>
      <w:r w:rsidRPr="005C45F6">
        <w:rPr>
          <w:b/>
        </w:rPr>
        <w:t>Vogel, J.P., Edwards, H., and Somerville, S.C.</w:t>
      </w:r>
      <w:r w:rsidRPr="005C45F6">
        <w:t xml:space="preserve"> (2003).</w:t>
      </w:r>
      <w:proofErr w:type="gramEnd"/>
      <w:r w:rsidRPr="005C45F6">
        <w:t xml:space="preserve"> </w:t>
      </w:r>
      <w:proofErr w:type="gramStart"/>
      <w:r w:rsidRPr="005C45F6">
        <w:t>Loss of a Callose Synthase Results in Salicylic Acid–Dependent Disease Resistance.</w:t>
      </w:r>
      <w:proofErr w:type="gramEnd"/>
      <w:r w:rsidRPr="005C45F6">
        <w:t xml:space="preserve"> Science </w:t>
      </w:r>
      <w:r w:rsidRPr="005C45F6">
        <w:rPr>
          <w:b/>
        </w:rPr>
        <w:t>301</w:t>
      </w:r>
      <w:r w:rsidRPr="00327BA7">
        <w:rPr>
          <w:b/>
        </w:rPr>
        <w:t>:</w:t>
      </w:r>
      <w:r w:rsidRPr="005C45F6">
        <w:t xml:space="preserve"> 969-972.</w:t>
      </w:r>
    </w:p>
    <w:p w:rsidR="005C45F6" w:rsidRPr="005C45F6" w:rsidRDefault="005C45F6" w:rsidP="00773890">
      <w:pPr>
        <w:jc w:val="both"/>
        <w:rPr>
          <w:bCs/>
        </w:rPr>
      </w:pPr>
      <w:proofErr w:type="gramStart"/>
      <w:r w:rsidRPr="005C45F6">
        <w:rPr>
          <w:b/>
          <w:bCs/>
        </w:rPr>
        <w:t>Okrent, R.A., Brooks, M.D., and Wildermuth</w:t>
      </w:r>
      <w:r w:rsidRPr="005C45F6">
        <w:t xml:space="preserve">, </w:t>
      </w:r>
      <w:r w:rsidRPr="005C45F6">
        <w:rPr>
          <w:b/>
        </w:rPr>
        <w:t>M.C</w:t>
      </w:r>
      <w:r w:rsidRPr="00327BA7">
        <w:rPr>
          <w:b/>
        </w:rPr>
        <w:t>.</w:t>
      </w:r>
      <w:r w:rsidRPr="005C45F6">
        <w:t xml:space="preserve"> (2009).</w:t>
      </w:r>
      <w:proofErr w:type="gramEnd"/>
      <w:r w:rsidRPr="005C45F6">
        <w:t xml:space="preserve"> </w:t>
      </w:r>
      <w:r w:rsidRPr="005C45F6">
        <w:rPr>
          <w:bCs/>
          <w:i/>
          <w:iCs/>
        </w:rPr>
        <w:t xml:space="preserve">Arabidopsis </w:t>
      </w:r>
      <w:r w:rsidRPr="005C45F6">
        <w:rPr>
          <w:bCs/>
        </w:rPr>
        <w:t xml:space="preserve">GH3.12 (PBS3) Conjugates Amino Acids to 4-Substituted Benzoates and Is Inhibited by Salicylate. THE JOURNAL OF BIOLOGICAL CHEMISTRY </w:t>
      </w:r>
      <w:r w:rsidRPr="005C45F6">
        <w:rPr>
          <w:b/>
          <w:bCs/>
        </w:rPr>
        <w:t>284</w:t>
      </w:r>
      <w:r w:rsidRPr="00327BA7">
        <w:rPr>
          <w:b/>
          <w:bCs/>
        </w:rPr>
        <w:t>:</w:t>
      </w:r>
      <w:r w:rsidRPr="005C45F6">
        <w:rPr>
          <w:bCs/>
        </w:rPr>
        <w:t xml:space="preserve"> 9742–9754.</w:t>
      </w:r>
    </w:p>
    <w:p w:rsidR="005C45F6" w:rsidRDefault="005C45F6" w:rsidP="00773890">
      <w:pPr>
        <w:jc w:val="both"/>
        <w:rPr>
          <w:bCs/>
          <w:lang w:val="en-US"/>
        </w:rPr>
      </w:pPr>
      <w:proofErr w:type="gramStart"/>
      <w:r w:rsidRPr="005C45F6">
        <w:rPr>
          <w:b/>
          <w:bCs/>
          <w:lang w:val="en-US"/>
        </w:rPr>
        <w:t>Pajerowska-Mukhtar, K.M., Emerine, D.K., and Mukhtar, M.S.</w:t>
      </w:r>
      <w:r w:rsidRPr="005C45F6">
        <w:rPr>
          <w:bCs/>
          <w:lang w:val="en-US"/>
        </w:rPr>
        <w:t xml:space="preserve"> (2013).</w:t>
      </w:r>
      <w:proofErr w:type="gramEnd"/>
      <w:r w:rsidRPr="005C45F6">
        <w:rPr>
          <w:bCs/>
          <w:lang w:val="en-US"/>
        </w:rPr>
        <w:t xml:space="preserve"> Tell me more: roles of NPRs in plant immunity. Trends in Plant Science </w:t>
      </w:r>
      <w:r w:rsidRPr="005C45F6">
        <w:rPr>
          <w:b/>
          <w:bCs/>
          <w:lang w:val="en-US"/>
        </w:rPr>
        <w:t>18</w:t>
      </w:r>
      <w:r w:rsidRPr="00327BA7">
        <w:rPr>
          <w:b/>
          <w:bCs/>
          <w:lang w:val="en-US"/>
        </w:rPr>
        <w:t>:</w:t>
      </w:r>
      <w:r w:rsidRPr="005C45F6">
        <w:rPr>
          <w:bCs/>
          <w:lang w:val="en-US"/>
        </w:rPr>
        <w:t xml:space="preserve"> 402-411.</w:t>
      </w:r>
    </w:p>
    <w:p w:rsidR="008E07D1" w:rsidRDefault="008E07D1" w:rsidP="00773890">
      <w:pPr>
        <w:jc w:val="both"/>
        <w:rPr>
          <w:bCs/>
          <w:lang w:val="en-US"/>
        </w:rPr>
      </w:pPr>
      <w:proofErr w:type="gramStart"/>
      <w:r w:rsidRPr="008E07D1">
        <w:rPr>
          <w:b/>
          <w:bCs/>
          <w:lang w:val="en-US"/>
        </w:rPr>
        <w:t>Park, J.-E., Park, J.-Y., Kim, Y.-S., Staswick, P.E., Jeon, J., Yun, J., Kim, S.-Y., Kim, J., Lee, Y.-H., and Park, C.-M.</w:t>
      </w:r>
      <w:proofErr w:type="gramEnd"/>
      <w:r>
        <w:rPr>
          <w:bCs/>
          <w:lang w:val="en-US"/>
        </w:rPr>
        <w:t xml:space="preserve"> (2007). GH3-mediated </w:t>
      </w:r>
      <w:r w:rsidRPr="008E07D1">
        <w:rPr>
          <w:bCs/>
          <w:lang w:val="en-US"/>
        </w:rPr>
        <w:t xml:space="preserve">auxin homeostasis links growth regulation </w:t>
      </w:r>
      <w:r>
        <w:rPr>
          <w:bCs/>
          <w:lang w:val="en-US"/>
        </w:rPr>
        <w:t xml:space="preserve">with stress adaptation response </w:t>
      </w:r>
      <w:r w:rsidRPr="008E07D1">
        <w:rPr>
          <w:bCs/>
          <w:lang w:val="en-US"/>
        </w:rPr>
        <w:t xml:space="preserve">in Arabidopsis. J. Biol. Chem. </w:t>
      </w:r>
      <w:r w:rsidRPr="008E07D1">
        <w:rPr>
          <w:b/>
          <w:bCs/>
          <w:lang w:val="en-US"/>
        </w:rPr>
        <w:t>282:</w:t>
      </w:r>
      <w:r w:rsidRPr="008E07D1">
        <w:rPr>
          <w:bCs/>
          <w:lang w:val="en-US"/>
        </w:rPr>
        <w:t xml:space="preserve"> 10036-10046.</w:t>
      </w:r>
    </w:p>
    <w:p w:rsidR="002952A5" w:rsidRPr="005C45F6" w:rsidRDefault="002952A5" w:rsidP="00773890">
      <w:pPr>
        <w:jc w:val="both"/>
        <w:rPr>
          <w:bCs/>
          <w:lang w:val="en-US"/>
        </w:rPr>
      </w:pPr>
      <w:proofErr w:type="gramStart"/>
      <w:r w:rsidRPr="002952A5">
        <w:rPr>
          <w:b/>
          <w:bCs/>
          <w:lang w:val="en-US"/>
        </w:rPr>
        <w:t>Pedley, K.F</w:t>
      </w:r>
      <w:r w:rsidR="00D610B7">
        <w:rPr>
          <w:b/>
          <w:bCs/>
          <w:lang w:val="en-US"/>
        </w:rPr>
        <w:t>. and</w:t>
      </w:r>
      <w:r w:rsidRPr="002952A5">
        <w:rPr>
          <w:b/>
          <w:bCs/>
          <w:lang w:val="en-US"/>
        </w:rPr>
        <w:t xml:space="preserve"> Martin, G.B.</w:t>
      </w:r>
      <w:r w:rsidRPr="002952A5">
        <w:rPr>
          <w:bCs/>
          <w:lang w:val="en-US"/>
        </w:rPr>
        <w:t xml:space="preserve"> </w:t>
      </w:r>
      <w:r>
        <w:rPr>
          <w:bCs/>
          <w:lang w:val="en-US"/>
        </w:rPr>
        <w:t>(</w:t>
      </w:r>
      <w:r w:rsidRPr="002952A5">
        <w:rPr>
          <w:bCs/>
          <w:lang w:val="en-US"/>
        </w:rPr>
        <w:t>2005</w:t>
      </w:r>
      <w:r>
        <w:rPr>
          <w:bCs/>
          <w:lang w:val="en-US"/>
        </w:rPr>
        <w:t>)</w:t>
      </w:r>
      <w:r w:rsidRPr="002952A5">
        <w:rPr>
          <w:bCs/>
          <w:lang w:val="en-US"/>
        </w:rPr>
        <w:t>.</w:t>
      </w:r>
      <w:proofErr w:type="gramEnd"/>
      <w:r w:rsidRPr="002952A5">
        <w:rPr>
          <w:bCs/>
          <w:lang w:val="en-US"/>
        </w:rPr>
        <w:t xml:space="preserve"> </w:t>
      </w:r>
      <w:proofErr w:type="gramStart"/>
      <w:r w:rsidRPr="002952A5">
        <w:rPr>
          <w:bCs/>
          <w:lang w:val="en-US"/>
        </w:rPr>
        <w:t>Role of mitogen-activated protein kinases</w:t>
      </w:r>
      <w:r>
        <w:rPr>
          <w:bCs/>
          <w:lang w:val="en-US"/>
        </w:rPr>
        <w:t xml:space="preserve"> in plant immunity.</w:t>
      </w:r>
      <w:proofErr w:type="gramEnd"/>
      <w:r>
        <w:rPr>
          <w:bCs/>
          <w:lang w:val="en-US"/>
        </w:rPr>
        <w:t xml:space="preserve"> </w:t>
      </w:r>
      <w:proofErr w:type="gramStart"/>
      <w:r>
        <w:rPr>
          <w:bCs/>
          <w:lang w:val="en-US"/>
        </w:rPr>
        <w:t>Curr.</w:t>
      </w:r>
      <w:proofErr w:type="gramEnd"/>
      <w:r>
        <w:rPr>
          <w:bCs/>
          <w:lang w:val="en-US"/>
        </w:rPr>
        <w:t xml:space="preserve"> </w:t>
      </w:r>
      <w:proofErr w:type="gramStart"/>
      <w:r>
        <w:rPr>
          <w:bCs/>
          <w:lang w:val="en-US"/>
        </w:rPr>
        <w:t>Opin.</w:t>
      </w:r>
      <w:proofErr w:type="gramEnd"/>
      <w:r>
        <w:rPr>
          <w:bCs/>
          <w:lang w:val="en-US"/>
        </w:rPr>
        <w:t xml:space="preserve"> </w:t>
      </w:r>
      <w:r w:rsidRPr="002952A5">
        <w:rPr>
          <w:bCs/>
          <w:lang w:val="en-US"/>
        </w:rPr>
        <w:t xml:space="preserve">Plant Biol. </w:t>
      </w:r>
      <w:r w:rsidRPr="002952A5">
        <w:rPr>
          <w:b/>
          <w:bCs/>
          <w:lang w:val="en-US"/>
        </w:rPr>
        <w:t>8:</w:t>
      </w:r>
      <w:r>
        <w:rPr>
          <w:bCs/>
          <w:lang w:val="en-US"/>
        </w:rPr>
        <w:t xml:space="preserve"> </w:t>
      </w:r>
      <w:r w:rsidRPr="002952A5">
        <w:rPr>
          <w:bCs/>
          <w:lang w:val="en-US"/>
        </w:rPr>
        <w:t>541–47</w:t>
      </w:r>
      <w:r>
        <w:rPr>
          <w:bCs/>
          <w:lang w:val="en-US"/>
        </w:rPr>
        <w:t>.</w:t>
      </w:r>
    </w:p>
    <w:p w:rsidR="005C45F6" w:rsidRDefault="005C45F6" w:rsidP="00773890">
      <w:pPr>
        <w:jc w:val="both"/>
        <w:rPr>
          <w:bCs/>
        </w:rPr>
      </w:pPr>
      <w:proofErr w:type="gramStart"/>
      <w:r w:rsidRPr="005C45F6">
        <w:rPr>
          <w:b/>
          <w:bCs/>
        </w:rPr>
        <w:t>Penninckx, I.A.M.A., Thomma, B.P.H.J., Buchala, A., Métraux, J-P., and Broekaert, W.F.</w:t>
      </w:r>
      <w:r w:rsidRPr="005C45F6">
        <w:rPr>
          <w:bCs/>
        </w:rPr>
        <w:t xml:space="preserve"> (1998).</w:t>
      </w:r>
      <w:proofErr w:type="gramEnd"/>
      <w:r w:rsidRPr="005C45F6">
        <w:rPr>
          <w:bCs/>
        </w:rPr>
        <w:t xml:space="preserve"> Concomitant Activation of Jasmonate and Ethylene Response Pathways Is Required for Induction of a Plant Defensin Gene in Arabidopsis. The Plant Cell </w:t>
      </w:r>
      <w:r w:rsidRPr="005C45F6">
        <w:rPr>
          <w:b/>
          <w:bCs/>
        </w:rPr>
        <w:t>10</w:t>
      </w:r>
      <w:r w:rsidRPr="00327BA7">
        <w:rPr>
          <w:b/>
          <w:bCs/>
        </w:rPr>
        <w:t>:</w:t>
      </w:r>
      <w:r w:rsidRPr="005C45F6">
        <w:rPr>
          <w:bCs/>
        </w:rPr>
        <w:t xml:space="preserve"> 2103–2113.</w:t>
      </w:r>
    </w:p>
    <w:p w:rsidR="00362279" w:rsidRDefault="00362279" w:rsidP="00773890">
      <w:pPr>
        <w:jc w:val="both"/>
        <w:rPr>
          <w:bCs/>
        </w:rPr>
      </w:pPr>
      <w:r w:rsidRPr="00362279">
        <w:rPr>
          <w:b/>
          <w:bCs/>
        </w:rPr>
        <w:t>Petersen, M., Brodersen, P., Naested, H., Andreasson, E., Lindhart, U., Johansen, B., Nielsen, H.B., Lacy, M., Austin, M.J., Parker, J.E., Sharma, S.B., Klessig, D.F., Martienssen, R., Mattsson, O., Jensen, A.B., and Mundy, J.</w:t>
      </w:r>
      <w:r w:rsidRPr="00362279">
        <w:rPr>
          <w:bCs/>
        </w:rPr>
        <w:t xml:space="preserve"> </w:t>
      </w:r>
      <w:r>
        <w:rPr>
          <w:bCs/>
        </w:rPr>
        <w:t>(</w:t>
      </w:r>
      <w:r w:rsidRPr="00362279">
        <w:rPr>
          <w:bCs/>
        </w:rPr>
        <w:t>2000</w:t>
      </w:r>
      <w:r>
        <w:rPr>
          <w:bCs/>
        </w:rPr>
        <w:t>)</w:t>
      </w:r>
      <w:r w:rsidRPr="00362279">
        <w:rPr>
          <w:bCs/>
        </w:rPr>
        <w:t xml:space="preserve">. </w:t>
      </w:r>
      <w:r>
        <w:rPr>
          <w:bCs/>
        </w:rPr>
        <w:t xml:space="preserve">Arabidopsis MAP kinase 4 </w:t>
      </w:r>
      <w:r w:rsidRPr="00362279">
        <w:rPr>
          <w:bCs/>
        </w:rPr>
        <w:t xml:space="preserve">negatively regulates systemic acquired resistance. Cell </w:t>
      </w:r>
      <w:r w:rsidRPr="00362279">
        <w:rPr>
          <w:b/>
          <w:bCs/>
        </w:rPr>
        <w:t>103:</w:t>
      </w:r>
      <w:r>
        <w:rPr>
          <w:bCs/>
        </w:rPr>
        <w:t xml:space="preserve"> </w:t>
      </w:r>
      <w:r w:rsidRPr="00362279">
        <w:rPr>
          <w:bCs/>
        </w:rPr>
        <w:t>1111–20</w:t>
      </w:r>
      <w:r>
        <w:rPr>
          <w:bCs/>
        </w:rPr>
        <w:t>.</w:t>
      </w:r>
    </w:p>
    <w:p w:rsidR="00D610B7" w:rsidRDefault="00D610B7" w:rsidP="00773890">
      <w:pPr>
        <w:jc w:val="both"/>
        <w:rPr>
          <w:bCs/>
        </w:rPr>
      </w:pPr>
      <w:proofErr w:type="gramStart"/>
      <w:r w:rsidRPr="00362279">
        <w:rPr>
          <w:b/>
          <w:bCs/>
          <w:lang w:val="en-US"/>
        </w:rPr>
        <w:t>Pitzschke, A., Schikora, A., and Hirt, H.</w:t>
      </w:r>
      <w:r w:rsidRPr="00362279">
        <w:rPr>
          <w:bCs/>
          <w:lang w:val="en-US"/>
        </w:rPr>
        <w:t xml:space="preserve"> (2009).</w:t>
      </w:r>
      <w:proofErr w:type="gramEnd"/>
      <w:r w:rsidRPr="00362279">
        <w:rPr>
          <w:bCs/>
          <w:lang w:val="en-US"/>
        </w:rPr>
        <w:t xml:space="preserve"> </w:t>
      </w:r>
      <w:r w:rsidRPr="00D610B7">
        <w:rPr>
          <w:bCs/>
        </w:rPr>
        <w:t>MAPK cascade signalling network</w:t>
      </w:r>
      <w:r>
        <w:rPr>
          <w:bCs/>
        </w:rPr>
        <w:t xml:space="preserve">s in plant defence. </w:t>
      </w:r>
      <w:proofErr w:type="gramStart"/>
      <w:r>
        <w:rPr>
          <w:bCs/>
        </w:rPr>
        <w:t>Curr.</w:t>
      </w:r>
      <w:proofErr w:type="gramEnd"/>
      <w:r>
        <w:rPr>
          <w:bCs/>
        </w:rPr>
        <w:t xml:space="preserve"> </w:t>
      </w:r>
      <w:proofErr w:type="gramStart"/>
      <w:r>
        <w:rPr>
          <w:bCs/>
        </w:rPr>
        <w:t>Opin.</w:t>
      </w:r>
      <w:proofErr w:type="gramEnd"/>
      <w:r>
        <w:rPr>
          <w:bCs/>
        </w:rPr>
        <w:t xml:space="preserve"> </w:t>
      </w:r>
      <w:r w:rsidRPr="00D610B7">
        <w:rPr>
          <w:bCs/>
        </w:rPr>
        <w:t xml:space="preserve">Plant Biol. </w:t>
      </w:r>
      <w:r w:rsidRPr="00D610B7">
        <w:rPr>
          <w:b/>
          <w:bCs/>
        </w:rPr>
        <w:t>12:</w:t>
      </w:r>
      <w:r>
        <w:rPr>
          <w:bCs/>
        </w:rPr>
        <w:t xml:space="preserve"> </w:t>
      </w:r>
      <w:r w:rsidRPr="00D610B7">
        <w:rPr>
          <w:bCs/>
        </w:rPr>
        <w:t>421–26</w:t>
      </w:r>
      <w:r>
        <w:rPr>
          <w:bCs/>
        </w:rPr>
        <w:t>.</w:t>
      </w:r>
    </w:p>
    <w:p w:rsidR="005C45F6" w:rsidRPr="005C45F6" w:rsidRDefault="005C45F6" w:rsidP="00773890">
      <w:pPr>
        <w:jc w:val="both"/>
        <w:rPr>
          <w:bCs/>
          <w:lang w:val="en-US"/>
        </w:rPr>
      </w:pPr>
      <w:proofErr w:type="gramStart"/>
      <w:r w:rsidRPr="00E0008D">
        <w:rPr>
          <w:b/>
          <w:bCs/>
          <w:lang w:val="en-US"/>
        </w:rPr>
        <w:t>Rauhut, T. and Glawischnig, E.</w:t>
      </w:r>
      <w:r w:rsidRPr="00E0008D">
        <w:rPr>
          <w:bCs/>
          <w:lang w:val="en-US"/>
        </w:rPr>
        <w:t xml:space="preserve"> (2009).</w:t>
      </w:r>
      <w:proofErr w:type="gramEnd"/>
      <w:r w:rsidRPr="00E0008D">
        <w:rPr>
          <w:bCs/>
          <w:lang w:val="en-US"/>
        </w:rPr>
        <w:t xml:space="preserve"> </w:t>
      </w:r>
      <w:proofErr w:type="gramStart"/>
      <w:r w:rsidRPr="005C45F6">
        <w:rPr>
          <w:bCs/>
          <w:lang w:val="en-US"/>
        </w:rPr>
        <w:t>Evolution of camalexin and structurally related indolic compounds.</w:t>
      </w:r>
      <w:proofErr w:type="gramEnd"/>
      <w:r w:rsidRPr="005C45F6">
        <w:rPr>
          <w:bCs/>
          <w:lang w:val="en-US"/>
        </w:rPr>
        <w:t xml:space="preserve"> Phytochemistry </w:t>
      </w:r>
      <w:r w:rsidRPr="005C45F6">
        <w:rPr>
          <w:b/>
          <w:bCs/>
          <w:lang w:val="en-US"/>
        </w:rPr>
        <w:t>70</w:t>
      </w:r>
      <w:r w:rsidRPr="00327BA7">
        <w:rPr>
          <w:b/>
          <w:bCs/>
          <w:lang w:val="en-US"/>
        </w:rPr>
        <w:t xml:space="preserve">: </w:t>
      </w:r>
      <w:r w:rsidRPr="005C45F6">
        <w:rPr>
          <w:bCs/>
          <w:lang w:val="en-US"/>
        </w:rPr>
        <w:t>1638–1644.</w:t>
      </w:r>
    </w:p>
    <w:p w:rsidR="00DE0D6E" w:rsidRDefault="00DE0D6E" w:rsidP="00773890">
      <w:pPr>
        <w:jc w:val="both"/>
        <w:rPr>
          <w:b/>
          <w:bCs/>
          <w:lang w:val="en-US"/>
        </w:rPr>
      </w:pPr>
    </w:p>
    <w:p w:rsidR="005C45F6" w:rsidRPr="005C45F6" w:rsidRDefault="005C45F6" w:rsidP="00773890">
      <w:pPr>
        <w:jc w:val="both"/>
        <w:rPr>
          <w:bCs/>
          <w:lang w:val="en-US"/>
        </w:rPr>
      </w:pPr>
      <w:proofErr w:type="gramStart"/>
      <w:r w:rsidRPr="005C45F6">
        <w:rPr>
          <w:b/>
          <w:bCs/>
          <w:lang w:val="en-US"/>
        </w:rPr>
        <w:lastRenderedPageBreak/>
        <w:t>Rehmany, A.P., Gordon, A., Rose, L.E., Allen, R.L., Armstrong, M.R., Whisson, S.C., Kamoun, S., Tyler, B.M., Birch, P.R.J., and Beynon, J.L</w:t>
      </w:r>
      <w:r w:rsidRPr="00327BA7">
        <w:rPr>
          <w:b/>
          <w:bCs/>
          <w:lang w:val="en-US"/>
        </w:rPr>
        <w:t>.</w:t>
      </w:r>
      <w:r w:rsidRPr="005C45F6">
        <w:rPr>
          <w:bCs/>
          <w:lang w:val="en-US"/>
        </w:rPr>
        <w:t xml:space="preserve"> (2005).</w:t>
      </w:r>
      <w:proofErr w:type="gramEnd"/>
      <w:r w:rsidRPr="005C45F6">
        <w:rPr>
          <w:bCs/>
          <w:lang w:val="en-US"/>
        </w:rPr>
        <w:t xml:space="preserve"> </w:t>
      </w:r>
      <w:proofErr w:type="gramStart"/>
      <w:r w:rsidRPr="005C45F6">
        <w:rPr>
          <w:bCs/>
          <w:lang w:val="en-US"/>
        </w:rPr>
        <w:t xml:space="preserve">Differential Recognition of Highly Divergent Downy Mildew Avirulence Gene Alleles by </w:t>
      </w:r>
      <w:r w:rsidRPr="005C45F6">
        <w:rPr>
          <w:bCs/>
          <w:i/>
          <w:lang w:val="en-US"/>
        </w:rPr>
        <w:t xml:space="preserve">RPP1 </w:t>
      </w:r>
      <w:r w:rsidRPr="005C45F6">
        <w:rPr>
          <w:bCs/>
          <w:lang w:val="en-US"/>
        </w:rPr>
        <w:t>Resistance Genes from Two Arabidopsis Lines.</w:t>
      </w:r>
      <w:proofErr w:type="gramEnd"/>
      <w:r w:rsidRPr="005C45F6">
        <w:rPr>
          <w:bCs/>
          <w:lang w:val="en-US"/>
        </w:rPr>
        <w:t xml:space="preserve"> The Plant Cell </w:t>
      </w:r>
      <w:r w:rsidRPr="005C45F6">
        <w:rPr>
          <w:b/>
          <w:bCs/>
          <w:lang w:val="en-US"/>
        </w:rPr>
        <w:t>17</w:t>
      </w:r>
      <w:r w:rsidRPr="00327BA7">
        <w:rPr>
          <w:b/>
          <w:bCs/>
          <w:lang w:val="en-US"/>
        </w:rPr>
        <w:t>:</w:t>
      </w:r>
      <w:r w:rsidRPr="005C45F6">
        <w:rPr>
          <w:bCs/>
          <w:lang w:val="en-US"/>
        </w:rPr>
        <w:t xml:space="preserve"> 1839–1850.</w:t>
      </w:r>
    </w:p>
    <w:p w:rsidR="005C45F6" w:rsidRDefault="005C45F6" w:rsidP="00773890">
      <w:pPr>
        <w:jc w:val="both"/>
        <w:rPr>
          <w:bCs/>
        </w:rPr>
      </w:pPr>
      <w:r w:rsidRPr="005C45F6">
        <w:rPr>
          <w:b/>
          <w:bCs/>
        </w:rPr>
        <w:t xml:space="preserve">Ren, D., Liu, Y., Yang, K.Y., Han, L., Mao, G., Glazebrook, J., and Zhang, S. </w:t>
      </w:r>
      <w:r w:rsidRPr="005C45F6">
        <w:rPr>
          <w:bCs/>
        </w:rPr>
        <w:t xml:space="preserve">(2008). A fungal-responsive MAPK cascade regulates phytoalexin biosynthesis in </w:t>
      </w:r>
      <w:r w:rsidRPr="005C45F6">
        <w:rPr>
          <w:bCs/>
          <w:i/>
        </w:rPr>
        <w:t>Arabidopsis.</w:t>
      </w:r>
      <w:r w:rsidRPr="005C45F6">
        <w:rPr>
          <w:bCs/>
        </w:rPr>
        <w:t xml:space="preserve"> PNAS </w:t>
      </w:r>
      <w:r w:rsidRPr="005C45F6">
        <w:rPr>
          <w:b/>
          <w:bCs/>
        </w:rPr>
        <w:t>105</w:t>
      </w:r>
      <w:r w:rsidRPr="00327BA7">
        <w:rPr>
          <w:b/>
          <w:bCs/>
        </w:rPr>
        <w:t>:</w:t>
      </w:r>
      <w:r w:rsidRPr="005C45F6">
        <w:rPr>
          <w:bCs/>
        </w:rPr>
        <w:t xml:space="preserve"> 5638-5643.</w:t>
      </w:r>
    </w:p>
    <w:p w:rsidR="00356BAC" w:rsidRPr="005C45F6" w:rsidRDefault="00356BAC" w:rsidP="00773890">
      <w:pPr>
        <w:jc w:val="both"/>
        <w:rPr>
          <w:bCs/>
        </w:rPr>
      </w:pPr>
      <w:r w:rsidRPr="00356BAC">
        <w:rPr>
          <w:b/>
          <w:bCs/>
        </w:rPr>
        <w:t xml:space="preserve">Reuber, T. L., Plotnikova, J. M., Dewdney, J., Rogers, E. E., Wood, W., and Ausubel, F. M. </w:t>
      </w:r>
      <w:r>
        <w:rPr>
          <w:bCs/>
        </w:rPr>
        <w:t>(</w:t>
      </w:r>
      <w:r w:rsidRPr="00356BAC">
        <w:rPr>
          <w:bCs/>
        </w:rPr>
        <w:t>1998</w:t>
      </w:r>
      <w:r>
        <w:rPr>
          <w:bCs/>
        </w:rPr>
        <w:t>)</w:t>
      </w:r>
      <w:r w:rsidRPr="00356BAC">
        <w:rPr>
          <w:bCs/>
        </w:rPr>
        <w:t>. Correlation of</w:t>
      </w:r>
      <w:r>
        <w:rPr>
          <w:bCs/>
        </w:rPr>
        <w:t xml:space="preserve"> defense gene induction defects </w:t>
      </w:r>
      <w:r w:rsidRPr="00356BAC">
        <w:rPr>
          <w:bCs/>
        </w:rPr>
        <w:t xml:space="preserve">with powdery mildew susceptibility </w:t>
      </w:r>
      <w:r>
        <w:rPr>
          <w:bCs/>
        </w:rPr>
        <w:t xml:space="preserve">in Arabidopsis enhanced disease </w:t>
      </w:r>
      <w:r w:rsidRPr="00356BAC">
        <w:rPr>
          <w:bCs/>
        </w:rPr>
        <w:t xml:space="preserve">susceptibility mutants. Plant J. </w:t>
      </w:r>
      <w:r w:rsidRPr="00356BAC">
        <w:rPr>
          <w:b/>
          <w:bCs/>
        </w:rPr>
        <w:t>16:</w:t>
      </w:r>
      <w:r>
        <w:rPr>
          <w:bCs/>
        </w:rPr>
        <w:t xml:space="preserve"> </w:t>
      </w:r>
      <w:r w:rsidRPr="00356BAC">
        <w:rPr>
          <w:bCs/>
        </w:rPr>
        <w:t>473-485.</w:t>
      </w:r>
    </w:p>
    <w:p w:rsidR="005C45F6" w:rsidRDefault="005C45F6" w:rsidP="00773890">
      <w:pPr>
        <w:jc w:val="both"/>
        <w:rPr>
          <w:bCs/>
        </w:rPr>
      </w:pPr>
      <w:r w:rsidRPr="005C45F6">
        <w:rPr>
          <w:b/>
          <w:bCs/>
        </w:rPr>
        <w:t>Roberts, M.R</w:t>
      </w:r>
      <w:r w:rsidRPr="00327BA7">
        <w:rPr>
          <w:b/>
          <w:bCs/>
        </w:rPr>
        <w:t xml:space="preserve">. </w:t>
      </w:r>
      <w:r w:rsidRPr="005C45F6">
        <w:rPr>
          <w:bCs/>
        </w:rPr>
        <w:t xml:space="preserve">(2007). Does GABA Act as a Signal in Plants?-Hints from Molecular Studies. Plant Signaling &amp; Behavior </w:t>
      </w:r>
      <w:r w:rsidRPr="005C45F6">
        <w:rPr>
          <w:b/>
          <w:bCs/>
        </w:rPr>
        <w:t>2</w:t>
      </w:r>
      <w:r w:rsidRPr="00327BA7">
        <w:rPr>
          <w:b/>
          <w:bCs/>
        </w:rPr>
        <w:t>:</w:t>
      </w:r>
      <w:r w:rsidRPr="005C45F6">
        <w:rPr>
          <w:bCs/>
        </w:rPr>
        <w:t xml:space="preserve"> 408-409.</w:t>
      </w:r>
    </w:p>
    <w:p w:rsidR="00DB2176" w:rsidRPr="005C45F6" w:rsidRDefault="00DB2176" w:rsidP="00773890">
      <w:pPr>
        <w:jc w:val="both"/>
        <w:rPr>
          <w:bCs/>
        </w:rPr>
      </w:pPr>
      <w:proofErr w:type="gramStart"/>
      <w:r w:rsidRPr="001B6360">
        <w:rPr>
          <w:b/>
          <w:bCs/>
          <w:lang w:val="en-US"/>
        </w:rPr>
        <w:t>Rodriguez, M.C., Petersen, M., and Mundy, J.</w:t>
      </w:r>
      <w:r w:rsidRPr="001B6360">
        <w:rPr>
          <w:bCs/>
          <w:lang w:val="en-US"/>
        </w:rPr>
        <w:t xml:space="preserve"> (2010).</w:t>
      </w:r>
      <w:proofErr w:type="gramEnd"/>
      <w:r w:rsidRPr="001B6360">
        <w:rPr>
          <w:bCs/>
          <w:lang w:val="en-US"/>
        </w:rPr>
        <w:t xml:space="preserve"> </w:t>
      </w:r>
      <w:proofErr w:type="gramStart"/>
      <w:r w:rsidRPr="00DB2176">
        <w:rPr>
          <w:bCs/>
        </w:rPr>
        <w:t>Mitogen-activated protein ki</w:t>
      </w:r>
      <w:r>
        <w:rPr>
          <w:bCs/>
        </w:rPr>
        <w:t>nase signaling in plants.</w:t>
      </w:r>
      <w:proofErr w:type="gramEnd"/>
      <w:r>
        <w:rPr>
          <w:bCs/>
        </w:rPr>
        <w:t xml:space="preserve"> </w:t>
      </w:r>
      <w:proofErr w:type="gramStart"/>
      <w:r>
        <w:rPr>
          <w:bCs/>
        </w:rPr>
        <w:t>Annu.</w:t>
      </w:r>
      <w:proofErr w:type="gramEnd"/>
      <w:r>
        <w:rPr>
          <w:bCs/>
        </w:rPr>
        <w:t xml:space="preserve"> </w:t>
      </w:r>
      <w:r w:rsidRPr="00DB2176">
        <w:rPr>
          <w:bCs/>
        </w:rPr>
        <w:t xml:space="preserve">Rev. Plant Biol. </w:t>
      </w:r>
      <w:r w:rsidRPr="00DB2176">
        <w:rPr>
          <w:b/>
          <w:bCs/>
        </w:rPr>
        <w:t>61:</w:t>
      </w:r>
      <w:r>
        <w:rPr>
          <w:bCs/>
        </w:rPr>
        <w:t xml:space="preserve"> </w:t>
      </w:r>
      <w:r w:rsidRPr="00DB2176">
        <w:rPr>
          <w:bCs/>
        </w:rPr>
        <w:t>621–49</w:t>
      </w:r>
      <w:r>
        <w:rPr>
          <w:bCs/>
        </w:rPr>
        <w:t>.</w:t>
      </w:r>
    </w:p>
    <w:p w:rsidR="005C45F6" w:rsidRPr="005C45F6" w:rsidRDefault="005C45F6" w:rsidP="00773890">
      <w:pPr>
        <w:jc w:val="both"/>
        <w:rPr>
          <w:bCs/>
        </w:rPr>
      </w:pPr>
      <w:proofErr w:type="gramStart"/>
      <w:r w:rsidRPr="005C45F6">
        <w:rPr>
          <w:b/>
          <w:bCs/>
        </w:rPr>
        <w:t>Ruthenburg, A.J., Allis, C.D., and Wysocka, J</w:t>
      </w:r>
      <w:r w:rsidRPr="00327BA7">
        <w:rPr>
          <w:b/>
          <w:bCs/>
        </w:rPr>
        <w:t>.</w:t>
      </w:r>
      <w:r w:rsidRPr="005C45F6">
        <w:rPr>
          <w:bCs/>
        </w:rPr>
        <w:t xml:space="preserve"> (2007).</w:t>
      </w:r>
      <w:proofErr w:type="gramEnd"/>
      <w:r w:rsidRPr="005C45F6">
        <w:rPr>
          <w:bCs/>
        </w:rPr>
        <w:t xml:space="preserve"> Methylation of lysine 4 on histone H3: intricacy of writing and reading a single epigenetic mark. Mol Cell </w:t>
      </w:r>
      <w:r w:rsidRPr="005C45F6">
        <w:rPr>
          <w:b/>
          <w:bCs/>
        </w:rPr>
        <w:t>25</w:t>
      </w:r>
      <w:r w:rsidRPr="00327BA7">
        <w:rPr>
          <w:b/>
          <w:bCs/>
        </w:rPr>
        <w:t>:</w:t>
      </w:r>
      <w:r w:rsidRPr="005C45F6">
        <w:rPr>
          <w:bCs/>
        </w:rPr>
        <w:t xml:space="preserve"> 15–30.</w:t>
      </w:r>
    </w:p>
    <w:p w:rsidR="005C45F6" w:rsidRPr="005C45F6" w:rsidRDefault="005C45F6" w:rsidP="00773890">
      <w:pPr>
        <w:jc w:val="both"/>
      </w:pPr>
      <w:proofErr w:type="gramStart"/>
      <w:r w:rsidRPr="005C45F6">
        <w:rPr>
          <w:b/>
        </w:rPr>
        <w:t>Schmelz, E.A., Engelberth, J., Tumlinson, J.H., Block, A., and Alborn, H.T</w:t>
      </w:r>
      <w:r w:rsidRPr="00327BA7">
        <w:rPr>
          <w:b/>
        </w:rPr>
        <w:t>.</w:t>
      </w:r>
      <w:r w:rsidRPr="005C45F6">
        <w:t xml:space="preserve"> (2004).</w:t>
      </w:r>
      <w:proofErr w:type="gramEnd"/>
      <w:r w:rsidRPr="005C45F6">
        <w:t xml:space="preserve"> </w:t>
      </w:r>
      <w:proofErr w:type="gramStart"/>
      <w:r w:rsidRPr="005C45F6">
        <w:t>The use of vapor phase extraction in metabolic profiling of phytohormones and other metabolites.</w:t>
      </w:r>
      <w:proofErr w:type="gramEnd"/>
      <w:r w:rsidRPr="005C45F6">
        <w:t xml:space="preserve"> The Plant Journal </w:t>
      </w:r>
      <w:r w:rsidRPr="005C45F6">
        <w:rPr>
          <w:b/>
        </w:rPr>
        <w:t>39</w:t>
      </w:r>
      <w:r w:rsidRPr="00327BA7">
        <w:rPr>
          <w:b/>
        </w:rPr>
        <w:t xml:space="preserve">: </w:t>
      </w:r>
      <w:r w:rsidRPr="005C45F6">
        <w:t>790–808.</w:t>
      </w:r>
    </w:p>
    <w:p w:rsidR="005C45F6" w:rsidRPr="005C45F6" w:rsidRDefault="005C45F6" w:rsidP="00773890">
      <w:pPr>
        <w:jc w:val="both"/>
      </w:pPr>
      <w:proofErr w:type="gramStart"/>
      <w:r w:rsidRPr="005C45F6">
        <w:rPr>
          <w:b/>
        </w:rPr>
        <w:t xml:space="preserve">Schuhegger, R., Nafisi, M., Mansourova, M., Petersen, B.L., Olsen, C.E., Svatoš, A., Halkier, B.A., and Glawischnig, E. </w:t>
      </w:r>
      <w:r w:rsidRPr="005C45F6">
        <w:t>(2006).</w:t>
      </w:r>
      <w:proofErr w:type="gramEnd"/>
      <w:r w:rsidRPr="005C45F6">
        <w:t xml:space="preserve"> CYP71B15 (PAD3) Catalyzes the Final Step in Camalexin Biosynthesis. Plant Physiology </w:t>
      </w:r>
      <w:r w:rsidRPr="005C45F6">
        <w:rPr>
          <w:b/>
        </w:rPr>
        <w:t>141</w:t>
      </w:r>
      <w:r w:rsidRPr="00327BA7">
        <w:rPr>
          <w:b/>
        </w:rPr>
        <w:t>:</w:t>
      </w:r>
      <w:r w:rsidRPr="005C45F6">
        <w:t xml:space="preserve"> 1248–1254.</w:t>
      </w:r>
    </w:p>
    <w:p w:rsidR="005C45F6" w:rsidRPr="00CB005D" w:rsidRDefault="005C45F6" w:rsidP="00773890">
      <w:pPr>
        <w:jc w:val="both"/>
        <w:rPr>
          <w:lang w:val="de-DE"/>
        </w:rPr>
      </w:pPr>
      <w:r w:rsidRPr="005C45F6">
        <w:rPr>
          <w:b/>
          <w:lang w:val="de-DE"/>
        </w:rPr>
        <w:t>Seifi, H.S., Curvers, K., De Vleesschauwer, D., Delaere, I., Aziz, A., and Höfte, M</w:t>
      </w:r>
      <w:r w:rsidRPr="00327BA7">
        <w:rPr>
          <w:b/>
          <w:lang w:val="de-DE"/>
        </w:rPr>
        <w:t>.</w:t>
      </w:r>
      <w:r w:rsidRPr="005C45F6">
        <w:rPr>
          <w:lang w:val="de-DE"/>
        </w:rPr>
        <w:t xml:space="preserve"> (2013). </w:t>
      </w:r>
      <w:r w:rsidRPr="005C45F6">
        <w:t xml:space="preserve">Concurrent overactivation of the cytosolic glutamine synthetase and the GABA shunt in the ABA-deficient sitiens mutant of tomato leads to resistance against </w:t>
      </w:r>
      <w:r w:rsidRPr="005C45F6">
        <w:rPr>
          <w:i/>
        </w:rPr>
        <w:t xml:space="preserve">Botrytis cinerea. </w:t>
      </w:r>
      <w:r w:rsidRPr="00CB005D">
        <w:rPr>
          <w:lang w:val="de-DE"/>
        </w:rPr>
        <w:t>New Phytologist</w:t>
      </w:r>
      <w:r w:rsidRPr="00CB005D">
        <w:rPr>
          <w:i/>
          <w:lang w:val="de-DE"/>
        </w:rPr>
        <w:t xml:space="preserve"> </w:t>
      </w:r>
      <w:r w:rsidRPr="00CB005D">
        <w:rPr>
          <w:b/>
          <w:lang w:val="de-DE"/>
        </w:rPr>
        <w:t xml:space="preserve">199: </w:t>
      </w:r>
      <w:r w:rsidRPr="00CB005D">
        <w:rPr>
          <w:lang w:val="de-DE"/>
        </w:rPr>
        <w:t>490–504.</w:t>
      </w:r>
    </w:p>
    <w:p w:rsidR="0086587E" w:rsidRPr="0086587E" w:rsidRDefault="0086587E" w:rsidP="0086587E">
      <w:pPr>
        <w:jc w:val="both"/>
        <w:rPr>
          <w:lang w:val="en-US"/>
        </w:rPr>
      </w:pPr>
      <w:r w:rsidRPr="0086587E">
        <w:rPr>
          <w:b/>
          <w:lang w:val="de-DE"/>
        </w:rPr>
        <w:t xml:space="preserve">Singh, </w:t>
      </w:r>
      <w:proofErr w:type="gramStart"/>
      <w:r w:rsidRPr="0086587E">
        <w:rPr>
          <w:b/>
          <w:lang w:val="de-DE"/>
        </w:rPr>
        <w:t>P.,</w:t>
      </w:r>
      <w:proofErr w:type="gramEnd"/>
      <w:r w:rsidRPr="0086587E">
        <w:rPr>
          <w:b/>
          <w:lang w:val="de-DE"/>
        </w:rPr>
        <w:t xml:space="preserve"> Yekondi, S., Chen, P.-W., Tsai, C.-H., Yu, C.-W., Wu, K., and Zimmerli, L.</w:t>
      </w:r>
      <w:r w:rsidRPr="0086587E">
        <w:rPr>
          <w:lang w:val="de-DE"/>
        </w:rPr>
        <w:t xml:space="preserve"> (2014).</w:t>
      </w:r>
      <w:r>
        <w:rPr>
          <w:lang w:val="de-DE"/>
        </w:rPr>
        <w:t xml:space="preserve"> </w:t>
      </w:r>
      <w:r w:rsidRPr="0086587E">
        <w:rPr>
          <w:lang w:val="en-US"/>
        </w:rPr>
        <w:t xml:space="preserve">Environmental History Modulates </w:t>
      </w:r>
      <w:r w:rsidRPr="0086587E">
        <w:rPr>
          <w:i/>
          <w:lang w:val="en-US"/>
        </w:rPr>
        <w:t>Arabidopsis</w:t>
      </w:r>
      <w:r w:rsidRPr="0086587E">
        <w:rPr>
          <w:lang w:val="en-US"/>
        </w:rPr>
        <w:t xml:space="preserve"> Pattern-Triggered Immunity in a HISTONE ACETYLTRANSFERASE1–Dependent Manner</w:t>
      </w:r>
      <w:r>
        <w:rPr>
          <w:lang w:val="en-US"/>
        </w:rPr>
        <w:t xml:space="preserve">. The Plant Cell </w:t>
      </w:r>
      <w:r w:rsidRPr="0086587E">
        <w:rPr>
          <w:b/>
          <w:lang w:val="en-US"/>
        </w:rPr>
        <w:t>26:</w:t>
      </w:r>
      <w:r w:rsidRPr="0086587E">
        <w:rPr>
          <w:lang w:val="en-US"/>
        </w:rPr>
        <w:t xml:space="preserve"> 2676–2688</w:t>
      </w:r>
      <w:r>
        <w:rPr>
          <w:lang w:val="en-US"/>
        </w:rPr>
        <w:t>.</w:t>
      </w:r>
    </w:p>
    <w:p w:rsidR="00363420" w:rsidRDefault="00363420" w:rsidP="00773890">
      <w:pPr>
        <w:jc w:val="both"/>
      </w:pPr>
      <w:proofErr w:type="gramStart"/>
      <w:r w:rsidRPr="00363420">
        <w:rPr>
          <w:b/>
        </w:rPr>
        <w:t>Skipp, R.A. and Deverall, B.J.</w:t>
      </w:r>
      <w:r>
        <w:t xml:space="preserve"> (1973).</w:t>
      </w:r>
      <w:proofErr w:type="gramEnd"/>
      <w:r>
        <w:t xml:space="preserve"> </w:t>
      </w:r>
      <w:proofErr w:type="gramStart"/>
      <w:r>
        <w:t>Studies on cross-protection in the anthracnose disease of bean.</w:t>
      </w:r>
      <w:proofErr w:type="gramEnd"/>
      <w:r>
        <w:t xml:space="preserve"> </w:t>
      </w:r>
      <w:proofErr w:type="gramStart"/>
      <w:r>
        <w:t>Physiol. Plant Pathol.</w:t>
      </w:r>
      <w:proofErr w:type="gramEnd"/>
      <w:r>
        <w:t xml:space="preserve"> </w:t>
      </w:r>
      <w:r w:rsidRPr="00363420">
        <w:rPr>
          <w:b/>
        </w:rPr>
        <w:t>2:</w:t>
      </w:r>
      <w:r>
        <w:t xml:space="preserve"> 357–74.</w:t>
      </w:r>
    </w:p>
    <w:p w:rsidR="00D350F7" w:rsidRDefault="00D350F7" w:rsidP="00773890">
      <w:pPr>
        <w:jc w:val="both"/>
        <w:rPr>
          <w:b/>
        </w:rPr>
      </w:pPr>
    </w:p>
    <w:p w:rsidR="00D350F7" w:rsidRDefault="00D350F7" w:rsidP="00773890">
      <w:pPr>
        <w:jc w:val="both"/>
        <w:rPr>
          <w:b/>
        </w:rPr>
      </w:pPr>
    </w:p>
    <w:p w:rsidR="00D350F7" w:rsidRDefault="00D350F7" w:rsidP="00773890">
      <w:pPr>
        <w:jc w:val="both"/>
        <w:rPr>
          <w:b/>
        </w:rPr>
      </w:pPr>
    </w:p>
    <w:p w:rsidR="00D350F7" w:rsidRDefault="00D350F7" w:rsidP="00773890">
      <w:pPr>
        <w:jc w:val="both"/>
        <w:rPr>
          <w:b/>
        </w:rPr>
      </w:pPr>
    </w:p>
    <w:p w:rsidR="00D350F7" w:rsidRDefault="00D350F7" w:rsidP="00773890">
      <w:pPr>
        <w:jc w:val="both"/>
        <w:rPr>
          <w:b/>
        </w:rPr>
      </w:pPr>
    </w:p>
    <w:p w:rsidR="00652230" w:rsidRPr="00652230" w:rsidRDefault="006325D3" w:rsidP="00773890">
      <w:pPr>
        <w:jc w:val="both"/>
        <w:rPr>
          <w:rFonts w:ascii="Times New Roman" w:eastAsia="Times New Roman" w:hAnsi="Times New Roman" w:cs="Times New Roman"/>
          <w:kern w:val="36"/>
          <w:sz w:val="48"/>
          <w:szCs w:val="48"/>
          <w:lang w:val="en-US" w:eastAsia="de-DE"/>
        </w:rPr>
      </w:pPr>
      <w:r w:rsidRPr="002655A0">
        <w:rPr>
          <w:b/>
        </w:rPr>
        <w:lastRenderedPageBreak/>
        <w:t>Spanu, P.D.,</w:t>
      </w:r>
      <w:r w:rsidR="00652230" w:rsidRPr="002655A0">
        <w:rPr>
          <w:b/>
        </w:rPr>
        <w:t xml:space="preserve"> </w:t>
      </w:r>
      <w:r w:rsidRPr="002655A0">
        <w:rPr>
          <w:b/>
        </w:rPr>
        <w:t>Abbott, J.C.,</w:t>
      </w:r>
      <w:r w:rsidR="00652230" w:rsidRPr="002655A0">
        <w:rPr>
          <w:b/>
        </w:rPr>
        <w:t xml:space="preserve"> </w:t>
      </w:r>
      <w:r w:rsidRPr="002655A0">
        <w:rPr>
          <w:b/>
        </w:rPr>
        <w:t>Amselem, J.,</w:t>
      </w:r>
      <w:r w:rsidR="00652230" w:rsidRPr="002655A0">
        <w:rPr>
          <w:b/>
        </w:rPr>
        <w:t xml:space="preserve"> </w:t>
      </w:r>
      <w:r w:rsidRPr="002655A0">
        <w:rPr>
          <w:b/>
        </w:rPr>
        <w:t>Burgis, T.A.,</w:t>
      </w:r>
      <w:r w:rsidR="00652230" w:rsidRPr="002655A0">
        <w:rPr>
          <w:b/>
        </w:rPr>
        <w:t xml:space="preserve"> </w:t>
      </w:r>
      <w:r w:rsidRPr="002655A0">
        <w:rPr>
          <w:b/>
          <w:lang w:val="en-US"/>
        </w:rPr>
        <w:t>Soanes, D.M.,</w:t>
      </w:r>
      <w:r w:rsidR="00652230" w:rsidRPr="002655A0">
        <w:rPr>
          <w:b/>
        </w:rPr>
        <w:t xml:space="preserve"> </w:t>
      </w:r>
      <w:r w:rsidRPr="002655A0">
        <w:rPr>
          <w:b/>
          <w:lang w:val="en-US"/>
        </w:rPr>
        <w:t>Stüber, K.,</w:t>
      </w:r>
      <w:r w:rsidR="00652230" w:rsidRPr="002655A0">
        <w:rPr>
          <w:b/>
        </w:rPr>
        <w:t xml:space="preserve"> </w:t>
      </w:r>
      <w:r w:rsidRPr="002655A0">
        <w:rPr>
          <w:b/>
          <w:lang w:val="en-US"/>
        </w:rPr>
        <w:t>van Themaat, E.V.L.,</w:t>
      </w:r>
      <w:r w:rsidR="00652230" w:rsidRPr="002655A0">
        <w:rPr>
          <w:b/>
        </w:rPr>
        <w:t xml:space="preserve"> </w:t>
      </w:r>
      <w:r w:rsidRPr="002655A0">
        <w:rPr>
          <w:b/>
        </w:rPr>
        <w:t>Brown, J.K.M.,</w:t>
      </w:r>
      <w:r w:rsidR="00652230" w:rsidRPr="002655A0">
        <w:rPr>
          <w:b/>
        </w:rPr>
        <w:t xml:space="preserve"> </w:t>
      </w:r>
      <w:r w:rsidRPr="002655A0">
        <w:rPr>
          <w:b/>
        </w:rPr>
        <w:t>Butcher, S.A.,</w:t>
      </w:r>
      <w:r w:rsidR="00652230" w:rsidRPr="002655A0">
        <w:rPr>
          <w:b/>
        </w:rPr>
        <w:t xml:space="preserve"> </w:t>
      </w:r>
      <w:r w:rsidRPr="002655A0">
        <w:rPr>
          <w:b/>
        </w:rPr>
        <w:t>Gurr, S.J.,</w:t>
      </w:r>
      <w:r w:rsidR="00652230" w:rsidRPr="002655A0">
        <w:rPr>
          <w:b/>
        </w:rPr>
        <w:t xml:space="preserve"> </w:t>
      </w:r>
      <w:r w:rsidRPr="002655A0">
        <w:rPr>
          <w:b/>
        </w:rPr>
        <w:t>Lebrun, M.-H.,</w:t>
      </w:r>
      <w:r w:rsidR="00652230" w:rsidRPr="002655A0">
        <w:rPr>
          <w:b/>
        </w:rPr>
        <w:t xml:space="preserve"> </w:t>
      </w:r>
      <w:r w:rsidRPr="002655A0">
        <w:rPr>
          <w:b/>
        </w:rPr>
        <w:t>Ridout, C.J.,</w:t>
      </w:r>
      <w:r w:rsidR="00652230" w:rsidRPr="002655A0">
        <w:rPr>
          <w:b/>
        </w:rPr>
        <w:t xml:space="preserve"> </w:t>
      </w:r>
      <w:r w:rsidRPr="002655A0">
        <w:rPr>
          <w:b/>
        </w:rPr>
        <w:t>Schulze-Lefert</w:t>
      </w:r>
      <w:r w:rsidRPr="002655A0">
        <w:rPr>
          <w:b/>
          <w:lang w:val="en-US"/>
        </w:rPr>
        <w:t>,</w:t>
      </w:r>
      <w:r w:rsidR="00652230" w:rsidRPr="002655A0">
        <w:rPr>
          <w:b/>
        </w:rPr>
        <w:t xml:space="preserve"> P., </w:t>
      </w:r>
      <w:r w:rsidRPr="002655A0">
        <w:rPr>
          <w:b/>
        </w:rPr>
        <w:t>Talbot</w:t>
      </w:r>
      <w:r w:rsidRPr="002655A0">
        <w:rPr>
          <w:b/>
          <w:lang w:val="en-US"/>
        </w:rPr>
        <w:t>,</w:t>
      </w:r>
      <w:r w:rsidRPr="002655A0">
        <w:rPr>
          <w:b/>
        </w:rPr>
        <w:t xml:space="preserve"> N.J.,</w:t>
      </w:r>
      <w:r w:rsidR="00652230" w:rsidRPr="002655A0">
        <w:rPr>
          <w:b/>
        </w:rPr>
        <w:t xml:space="preserve"> </w:t>
      </w:r>
      <w:r w:rsidRPr="002655A0">
        <w:rPr>
          <w:b/>
        </w:rPr>
        <w:t>Ahmadinejad, N.,</w:t>
      </w:r>
      <w:r w:rsidR="00652230" w:rsidRPr="002655A0">
        <w:rPr>
          <w:b/>
        </w:rPr>
        <w:t xml:space="preserve"> </w:t>
      </w:r>
      <w:r w:rsidRPr="002655A0">
        <w:rPr>
          <w:b/>
        </w:rPr>
        <w:t>Ametz, C.,</w:t>
      </w:r>
      <w:r w:rsidR="00652230" w:rsidRPr="002655A0">
        <w:rPr>
          <w:b/>
        </w:rPr>
        <w:t xml:space="preserve"> </w:t>
      </w:r>
      <w:r w:rsidRPr="002655A0">
        <w:rPr>
          <w:b/>
        </w:rPr>
        <w:t>Barton, G.R.,</w:t>
      </w:r>
      <w:r w:rsidR="00652230" w:rsidRPr="002655A0">
        <w:rPr>
          <w:b/>
        </w:rPr>
        <w:t xml:space="preserve"> </w:t>
      </w:r>
      <w:r w:rsidRPr="002655A0">
        <w:rPr>
          <w:b/>
        </w:rPr>
        <w:t>Benjdia, M.,</w:t>
      </w:r>
      <w:r w:rsidR="00652230" w:rsidRPr="002655A0">
        <w:rPr>
          <w:b/>
        </w:rPr>
        <w:t xml:space="preserve"> </w:t>
      </w:r>
      <w:r w:rsidRPr="002655A0">
        <w:rPr>
          <w:b/>
        </w:rPr>
        <w:t>Bidzinski, P.,</w:t>
      </w:r>
      <w:r w:rsidR="00652230" w:rsidRPr="002655A0">
        <w:rPr>
          <w:b/>
        </w:rPr>
        <w:t xml:space="preserve"> </w:t>
      </w:r>
      <w:r w:rsidRPr="002655A0">
        <w:rPr>
          <w:b/>
        </w:rPr>
        <w:t>Bindschedler,</w:t>
      </w:r>
      <w:r w:rsidR="00652230" w:rsidRPr="002655A0">
        <w:rPr>
          <w:b/>
        </w:rPr>
        <w:t xml:space="preserve"> L.V., </w:t>
      </w:r>
      <w:r w:rsidRPr="002655A0">
        <w:rPr>
          <w:b/>
        </w:rPr>
        <w:t>Both, M.,</w:t>
      </w:r>
      <w:r w:rsidR="00652230" w:rsidRPr="002655A0">
        <w:rPr>
          <w:b/>
        </w:rPr>
        <w:t xml:space="preserve"> </w:t>
      </w:r>
      <w:r w:rsidRPr="002655A0">
        <w:rPr>
          <w:b/>
        </w:rPr>
        <w:t>Brewer, M.T.,</w:t>
      </w:r>
      <w:r w:rsidR="00652230" w:rsidRPr="002655A0">
        <w:rPr>
          <w:b/>
        </w:rPr>
        <w:t xml:space="preserve"> </w:t>
      </w:r>
      <w:r w:rsidRPr="002655A0">
        <w:rPr>
          <w:b/>
        </w:rPr>
        <w:t>Cadle-Davidson, L.,</w:t>
      </w:r>
      <w:r w:rsidR="00652230" w:rsidRPr="002655A0">
        <w:rPr>
          <w:b/>
        </w:rPr>
        <w:t xml:space="preserve"> </w:t>
      </w:r>
      <w:r w:rsidRPr="002655A0">
        <w:rPr>
          <w:b/>
        </w:rPr>
        <w:t>Cadle-Davidson, M.M.,</w:t>
      </w:r>
      <w:r w:rsidR="00652230" w:rsidRPr="002655A0">
        <w:rPr>
          <w:b/>
        </w:rPr>
        <w:t xml:space="preserve"> </w:t>
      </w:r>
      <w:r w:rsidRPr="002655A0">
        <w:rPr>
          <w:b/>
        </w:rPr>
        <w:t>Collemare, J.,</w:t>
      </w:r>
      <w:r w:rsidR="00652230" w:rsidRPr="002655A0">
        <w:rPr>
          <w:b/>
        </w:rPr>
        <w:t xml:space="preserve"> </w:t>
      </w:r>
      <w:r w:rsidRPr="002655A0">
        <w:rPr>
          <w:b/>
        </w:rPr>
        <w:t>Cramer, R.,</w:t>
      </w:r>
      <w:r w:rsidR="00652230" w:rsidRPr="002655A0">
        <w:rPr>
          <w:b/>
        </w:rPr>
        <w:t xml:space="preserve"> </w:t>
      </w:r>
      <w:r w:rsidRPr="002655A0">
        <w:rPr>
          <w:b/>
        </w:rPr>
        <w:t>Frenkel, O.,</w:t>
      </w:r>
      <w:r w:rsidR="00652230" w:rsidRPr="002655A0">
        <w:rPr>
          <w:b/>
        </w:rPr>
        <w:t xml:space="preserve"> </w:t>
      </w:r>
      <w:r w:rsidRPr="002655A0">
        <w:rPr>
          <w:b/>
        </w:rPr>
        <w:t>Godfrey, D.,</w:t>
      </w:r>
      <w:r w:rsidR="00652230" w:rsidRPr="002655A0">
        <w:rPr>
          <w:b/>
        </w:rPr>
        <w:t xml:space="preserve"> </w:t>
      </w:r>
      <w:r w:rsidRPr="002655A0">
        <w:rPr>
          <w:b/>
        </w:rPr>
        <w:t>Harriman, J.,</w:t>
      </w:r>
      <w:r w:rsidR="00652230" w:rsidRPr="002655A0">
        <w:rPr>
          <w:b/>
        </w:rPr>
        <w:t xml:space="preserve"> </w:t>
      </w:r>
      <w:r w:rsidRPr="002655A0">
        <w:rPr>
          <w:b/>
        </w:rPr>
        <w:t>Hoede, C.,</w:t>
      </w:r>
      <w:r w:rsidR="00652230" w:rsidRPr="002655A0">
        <w:rPr>
          <w:b/>
        </w:rPr>
        <w:t xml:space="preserve"> </w:t>
      </w:r>
      <w:r w:rsidRPr="002655A0">
        <w:rPr>
          <w:b/>
          <w:lang w:val="en-US"/>
        </w:rPr>
        <w:t>King, B.C.,</w:t>
      </w:r>
      <w:r w:rsidR="00652230" w:rsidRPr="002655A0">
        <w:rPr>
          <w:b/>
        </w:rPr>
        <w:t xml:space="preserve"> </w:t>
      </w:r>
      <w:r w:rsidRPr="002655A0">
        <w:rPr>
          <w:b/>
        </w:rPr>
        <w:t>Klages, S.,</w:t>
      </w:r>
      <w:r w:rsidR="00652230" w:rsidRPr="002655A0">
        <w:rPr>
          <w:b/>
        </w:rPr>
        <w:t xml:space="preserve"> </w:t>
      </w:r>
      <w:r w:rsidRPr="002655A0">
        <w:rPr>
          <w:b/>
        </w:rPr>
        <w:t>Kleemann, J.,</w:t>
      </w:r>
      <w:r w:rsidR="00652230" w:rsidRPr="002655A0">
        <w:rPr>
          <w:b/>
        </w:rPr>
        <w:t xml:space="preserve"> </w:t>
      </w:r>
      <w:r w:rsidRPr="002655A0">
        <w:rPr>
          <w:b/>
        </w:rPr>
        <w:t>Knoll, D.,</w:t>
      </w:r>
      <w:r w:rsidR="00652230" w:rsidRPr="002655A0">
        <w:rPr>
          <w:b/>
        </w:rPr>
        <w:t xml:space="preserve"> </w:t>
      </w:r>
      <w:r w:rsidRPr="002655A0">
        <w:rPr>
          <w:b/>
          <w:lang w:val="en-US"/>
        </w:rPr>
        <w:t>Koti, P.S.,</w:t>
      </w:r>
      <w:r w:rsidR="00652230" w:rsidRPr="002655A0">
        <w:rPr>
          <w:b/>
        </w:rPr>
        <w:t xml:space="preserve"> </w:t>
      </w:r>
      <w:r w:rsidRPr="002655A0">
        <w:rPr>
          <w:b/>
        </w:rPr>
        <w:t>Kreplak, J.,</w:t>
      </w:r>
      <w:r w:rsidR="00652230" w:rsidRPr="002655A0">
        <w:rPr>
          <w:b/>
        </w:rPr>
        <w:t xml:space="preserve"> </w:t>
      </w:r>
      <w:r w:rsidRPr="002655A0">
        <w:rPr>
          <w:b/>
        </w:rPr>
        <w:t>López-Ruiz, F.J.,</w:t>
      </w:r>
      <w:r w:rsidR="00652230" w:rsidRPr="002655A0">
        <w:rPr>
          <w:b/>
        </w:rPr>
        <w:t xml:space="preserve"> </w:t>
      </w:r>
      <w:r w:rsidRPr="002655A0">
        <w:rPr>
          <w:b/>
        </w:rPr>
        <w:t>Lu, X.,</w:t>
      </w:r>
      <w:r w:rsidR="00652230" w:rsidRPr="002655A0">
        <w:rPr>
          <w:b/>
        </w:rPr>
        <w:t xml:space="preserve"> </w:t>
      </w:r>
      <w:r w:rsidRPr="002655A0">
        <w:rPr>
          <w:b/>
        </w:rPr>
        <w:t>Maekawa, T.,</w:t>
      </w:r>
      <w:r w:rsidR="00652230" w:rsidRPr="002655A0">
        <w:rPr>
          <w:b/>
        </w:rPr>
        <w:t xml:space="preserve"> </w:t>
      </w:r>
      <w:r w:rsidRPr="002655A0">
        <w:rPr>
          <w:b/>
        </w:rPr>
        <w:t>Mahanil, S.,</w:t>
      </w:r>
      <w:r w:rsidR="00652230" w:rsidRPr="002655A0">
        <w:rPr>
          <w:b/>
        </w:rPr>
        <w:t xml:space="preserve"> </w:t>
      </w:r>
      <w:r w:rsidRPr="002655A0">
        <w:rPr>
          <w:b/>
        </w:rPr>
        <w:t>Micali, C.,</w:t>
      </w:r>
      <w:r w:rsidR="00652230" w:rsidRPr="002655A0">
        <w:rPr>
          <w:b/>
        </w:rPr>
        <w:t xml:space="preserve"> </w:t>
      </w:r>
      <w:r w:rsidRPr="002655A0">
        <w:rPr>
          <w:b/>
        </w:rPr>
        <w:t>Milgroom,</w:t>
      </w:r>
      <w:r w:rsidR="00652230" w:rsidRPr="002655A0">
        <w:rPr>
          <w:b/>
        </w:rPr>
        <w:t xml:space="preserve"> M.G., </w:t>
      </w:r>
      <w:r w:rsidRPr="002655A0">
        <w:rPr>
          <w:b/>
        </w:rPr>
        <w:t>Montana, G.,</w:t>
      </w:r>
      <w:r w:rsidR="00652230" w:rsidRPr="002655A0">
        <w:rPr>
          <w:b/>
        </w:rPr>
        <w:t xml:space="preserve"> </w:t>
      </w:r>
      <w:r w:rsidRPr="002655A0">
        <w:rPr>
          <w:b/>
        </w:rPr>
        <w:t>Noir, S.,</w:t>
      </w:r>
      <w:r w:rsidR="00652230" w:rsidRPr="002655A0">
        <w:rPr>
          <w:b/>
        </w:rPr>
        <w:t xml:space="preserve"> </w:t>
      </w:r>
      <w:r w:rsidRPr="002655A0">
        <w:rPr>
          <w:b/>
        </w:rPr>
        <w:t>O’Connell, R.J.,</w:t>
      </w:r>
      <w:r w:rsidR="00652230" w:rsidRPr="002655A0">
        <w:rPr>
          <w:b/>
        </w:rPr>
        <w:t xml:space="preserve"> </w:t>
      </w:r>
      <w:r w:rsidRPr="002655A0">
        <w:rPr>
          <w:b/>
        </w:rPr>
        <w:t>Oberhaensli, S.,</w:t>
      </w:r>
      <w:r w:rsidR="00652230" w:rsidRPr="002655A0">
        <w:rPr>
          <w:b/>
        </w:rPr>
        <w:t xml:space="preserve"> </w:t>
      </w:r>
      <w:r w:rsidRPr="002655A0">
        <w:rPr>
          <w:b/>
        </w:rPr>
        <w:t>Parlange, F.,</w:t>
      </w:r>
      <w:r w:rsidR="00652230" w:rsidRPr="002655A0">
        <w:rPr>
          <w:b/>
        </w:rPr>
        <w:t xml:space="preserve"> Pedersen</w:t>
      </w:r>
      <w:r w:rsidRPr="002655A0">
        <w:rPr>
          <w:b/>
        </w:rPr>
        <w:t>,</w:t>
      </w:r>
      <w:r w:rsidR="00652230" w:rsidRPr="002655A0">
        <w:rPr>
          <w:b/>
        </w:rPr>
        <w:t xml:space="preserve"> C., Quesneville</w:t>
      </w:r>
      <w:r w:rsidRPr="002655A0">
        <w:rPr>
          <w:b/>
        </w:rPr>
        <w:t>,</w:t>
      </w:r>
      <w:r w:rsidR="00652230" w:rsidRPr="002655A0">
        <w:rPr>
          <w:b/>
        </w:rPr>
        <w:t xml:space="preserve"> H., Reinhardt</w:t>
      </w:r>
      <w:r w:rsidRPr="002655A0">
        <w:rPr>
          <w:b/>
        </w:rPr>
        <w:t>,</w:t>
      </w:r>
      <w:r w:rsidR="00652230" w:rsidRPr="002655A0">
        <w:rPr>
          <w:b/>
        </w:rPr>
        <w:t xml:space="preserve"> R., </w:t>
      </w:r>
      <w:r w:rsidRPr="002655A0">
        <w:rPr>
          <w:b/>
        </w:rPr>
        <w:t>Ro</w:t>
      </w:r>
      <w:r w:rsidR="00652230" w:rsidRPr="002655A0">
        <w:rPr>
          <w:b/>
        </w:rPr>
        <w:t>tt</w:t>
      </w:r>
      <w:r w:rsidRPr="002655A0">
        <w:rPr>
          <w:b/>
        </w:rPr>
        <w:t>,</w:t>
      </w:r>
      <w:r w:rsidR="00652230" w:rsidRPr="002655A0">
        <w:rPr>
          <w:b/>
        </w:rPr>
        <w:t xml:space="preserve"> M., Sacristán</w:t>
      </w:r>
      <w:r w:rsidRPr="002655A0">
        <w:rPr>
          <w:b/>
        </w:rPr>
        <w:t>,</w:t>
      </w:r>
      <w:r w:rsidR="00652230" w:rsidRPr="002655A0">
        <w:rPr>
          <w:b/>
        </w:rPr>
        <w:t xml:space="preserve"> S., Schmidt</w:t>
      </w:r>
      <w:r w:rsidRPr="002655A0">
        <w:rPr>
          <w:b/>
        </w:rPr>
        <w:t>,</w:t>
      </w:r>
      <w:r w:rsidR="00652230" w:rsidRPr="002655A0">
        <w:rPr>
          <w:b/>
        </w:rPr>
        <w:t xml:space="preserve"> S.M., Schön</w:t>
      </w:r>
      <w:r w:rsidRPr="002655A0">
        <w:rPr>
          <w:b/>
        </w:rPr>
        <w:t>,</w:t>
      </w:r>
      <w:r w:rsidR="00652230" w:rsidRPr="002655A0">
        <w:rPr>
          <w:b/>
        </w:rPr>
        <w:t xml:space="preserve"> M., Skamnioti</w:t>
      </w:r>
      <w:r w:rsidRPr="002655A0">
        <w:rPr>
          <w:b/>
        </w:rPr>
        <w:t>,</w:t>
      </w:r>
      <w:r w:rsidR="00652230" w:rsidRPr="002655A0">
        <w:rPr>
          <w:b/>
        </w:rPr>
        <w:t xml:space="preserve"> P., Sommer</w:t>
      </w:r>
      <w:r w:rsidRPr="002655A0">
        <w:rPr>
          <w:b/>
        </w:rPr>
        <w:t>,</w:t>
      </w:r>
      <w:r w:rsidR="00652230" w:rsidRPr="002655A0">
        <w:rPr>
          <w:b/>
        </w:rPr>
        <w:t xml:space="preserve"> H., Stephens</w:t>
      </w:r>
      <w:r w:rsidRPr="002655A0">
        <w:rPr>
          <w:b/>
        </w:rPr>
        <w:t>,</w:t>
      </w:r>
      <w:r w:rsidR="00652230" w:rsidRPr="002655A0">
        <w:rPr>
          <w:b/>
        </w:rPr>
        <w:t xml:space="preserve"> A., Takahara</w:t>
      </w:r>
      <w:r w:rsidRPr="002655A0">
        <w:rPr>
          <w:b/>
        </w:rPr>
        <w:t>,</w:t>
      </w:r>
      <w:r w:rsidR="00652230" w:rsidRPr="002655A0">
        <w:rPr>
          <w:b/>
        </w:rPr>
        <w:t xml:space="preserve"> H., Thordal-Christensen</w:t>
      </w:r>
      <w:r w:rsidRPr="002655A0">
        <w:rPr>
          <w:b/>
        </w:rPr>
        <w:t>,</w:t>
      </w:r>
      <w:r w:rsidR="00652230" w:rsidRPr="002655A0">
        <w:rPr>
          <w:b/>
        </w:rPr>
        <w:t xml:space="preserve"> H., Vigouroux</w:t>
      </w:r>
      <w:r w:rsidRPr="002655A0">
        <w:rPr>
          <w:b/>
        </w:rPr>
        <w:t>,</w:t>
      </w:r>
      <w:r w:rsidR="00652230" w:rsidRPr="002655A0">
        <w:rPr>
          <w:b/>
        </w:rPr>
        <w:t xml:space="preserve"> M., Weßling</w:t>
      </w:r>
      <w:r w:rsidRPr="002655A0">
        <w:rPr>
          <w:b/>
        </w:rPr>
        <w:t>,</w:t>
      </w:r>
      <w:r w:rsidR="00652230" w:rsidRPr="002655A0">
        <w:rPr>
          <w:b/>
        </w:rPr>
        <w:t xml:space="preserve"> R., Wicker</w:t>
      </w:r>
      <w:r w:rsidRPr="002655A0">
        <w:rPr>
          <w:b/>
        </w:rPr>
        <w:t>,</w:t>
      </w:r>
      <w:r w:rsidR="00652230" w:rsidRPr="002655A0">
        <w:rPr>
          <w:b/>
        </w:rPr>
        <w:t xml:space="preserve"> T., and Panstruga, R.</w:t>
      </w:r>
      <w:r w:rsidR="00652230" w:rsidRPr="002655A0">
        <w:t xml:space="preserve"> (2010).</w:t>
      </w:r>
      <w:r w:rsidR="002655A0">
        <w:t xml:space="preserve"> </w:t>
      </w:r>
      <w:r w:rsidR="00652230" w:rsidRPr="002655A0">
        <w:t>Genome Expansion and Gene Loss in Powdery Mildew Fungi Reveal Tradeoffs in Extreme Parasitism</w:t>
      </w:r>
      <w:r w:rsidR="002655A0">
        <w:t xml:space="preserve">. Science </w:t>
      </w:r>
      <w:r w:rsidR="002655A0" w:rsidRPr="002655A0">
        <w:rPr>
          <w:b/>
        </w:rPr>
        <w:t>330:</w:t>
      </w:r>
      <w:r w:rsidR="002655A0">
        <w:t xml:space="preserve"> 1543-1546.</w:t>
      </w:r>
    </w:p>
    <w:p w:rsidR="005C45F6" w:rsidRPr="005C45F6" w:rsidRDefault="005C45F6" w:rsidP="00773890">
      <w:pPr>
        <w:jc w:val="both"/>
        <w:rPr>
          <w:lang w:val="en-US"/>
        </w:rPr>
      </w:pPr>
      <w:r w:rsidRPr="005C45F6">
        <w:rPr>
          <w:b/>
          <w:lang w:val="en-US"/>
        </w:rPr>
        <w:t>Spoel, S.H., Koornneef, A., Claessens, S.M.C., Korzelius, J.P., Van Pelt, J.A., Mueller, M.J., Buchala, A.J., Métraux, J.-P., Brown, R., Kazan, K., Van Loon, L.C., Dong, X., and Pieterse, C.M.J.</w:t>
      </w:r>
      <w:r w:rsidRPr="005C45F6">
        <w:rPr>
          <w:lang w:val="en-US"/>
        </w:rPr>
        <w:t xml:space="preserve"> (2003).</w:t>
      </w:r>
      <w:r w:rsidRPr="005C45F6">
        <w:t xml:space="preserve"> </w:t>
      </w:r>
      <w:r w:rsidRPr="005C45F6">
        <w:rPr>
          <w:lang w:val="en-US"/>
        </w:rPr>
        <w:t xml:space="preserve">NPR1 Modulates Cross-Talk between Salicylate- and Jasmonate-Dependent Defense Pathways through a Novel Function in the Cytosol. The Plant Cell </w:t>
      </w:r>
      <w:r w:rsidRPr="005C45F6">
        <w:rPr>
          <w:b/>
          <w:lang w:val="en-US"/>
        </w:rPr>
        <w:t>15</w:t>
      </w:r>
      <w:r w:rsidRPr="00956C38">
        <w:rPr>
          <w:b/>
          <w:lang w:val="en-US"/>
        </w:rPr>
        <w:t>:</w:t>
      </w:r>
      <w:r w:rsidRPr="005C45F6">
        <w:rPr>
          <w:lang w:val="en-US"/>
        </w:rPr>
        <w:t xml:space="preserve"> 760–770. </w:t>
      </w:r>
    </w:p>
    <w:p w:rsidR="005C45F6" w:rsidRDefault="005C45F6" w:rsidP="00773890">
      <w:pPr>
        <w:jc w:val="both"/>
        <w:rPr>
          <w:lang w:val="en-US"/>
        </w:rPr>
      </w:pPr>
      <w:proofErr w:type="gramStart"/>
      <w:r w:rsidRPr="005C45F6">
        <w:rPr>
          <w:b/>
          <w:lang w:val="en-US"/>
        </w:rPr>
        <w:t>Spoel, S.H. and Dong, X.</w:t>
      </w:r>
      <w:r w:rsidRPr="005C45F6">
        <w:rPr>
          <w:lang w:val="en-US"/>
        </w:rPr>
        <w:t xml:space="preserve"> (2012).</w:t>
      </w:r>
      <w:proofErr w:type="gramEnd"/>
      <w:r w:rsidRPr="005C45F6">
        <w:rPr>
          <w:lang w:val="en-US"/>
        </w:rPr>
        <w:t xml:space="preserve"> How do plants achieve immunity? Defence without specialized immune cells. Nature Reviews Immunology </w:t>
      </w:r>
      <w:r w:rsidRPr="005C45F6">
        <w:rPr>
          <w:b/>
          <w:lang w:val="en-US"/>
        </w:rPr>
        <w:t>12</w:t>
      </w:r>
      <w:r w:rsidRPr="00956C38">
        <w:rPr>
          <w:b/>
          <w:lang w:val="en-US"/>
        </w:rPr>
        <w:t>:</w:t>
      </w:r>
      <w:r w:rsidRPr="005C45F6">
        <w:rPr>
          <w:lang w:val="en-US"/>
        </w:rPr>
        <w:t xml:space="preserve"> 89-100.</w:t>
      </w:r>
    </w:p>
    <w:p w:rsidR="00AA1A10" w:rsidRPr="005C45F6" w:rsidRDefault="00AA1A10" w:rsidP="00773890">
      <w:pPr>
        <w:jc w:val="both"/>
        <w:rPr>
          <w:lang w:val="en-US"/>
        </w:rPr>
      </w:pPr>
      <w:proofErr w:type="gramStart"/>
      <w:r w:rsidRPr="00AA1A10">
        <w:rPr>
          <w:b/>
          <w:lang w:val="en-US"/>
        </w:rPr>
        <w:t>Staswick, P.E., Tiryaki, I., and Rowe, M.L.</w:t>
      </w:r>
      <w:r w:rsidRPr="00AA1A10">
        <w:rPr>
          <w:lang w:val="en-US"/>
        </w:rPr>
        <w:t xml:space="preserve"> (2002).</w:t>
      </w:r>
      <w:proofErr w:type="gramEnd"/>
      <w:r w:rsidRPr="00AA1A10">
        <w:rPr>
          <w:lang w:val="en-US"/>
        </w:rPr>
        <w:t xml:space="preserve"> Jasmon</w:t>
      </w:r>
      <w:r>
        <w:rPr>
          <w:lang w:val="en-US"/>
        </w:rPr>
        <w:t xml:space="preserve">ate response </w:t>
      </w:r>
      <w:r w:rsidRPr="00AA1A10">
        <w:rPr>
          <w:lang w:val="en-US"/>
        </w:rPr>
        <w:t xml:space="preserve">locus </w:t>
      </w:r>
      <w:r w:rsidRPr="00AA1A10">
        <w:rPr>
          <w:i/>
          <w:lang w:val="en-US"/>
        </w:rPr>
        <w:t>JAR1</w:t>
      </w:r>
      <w:r w:rsidRPr="00AA1A10">
        <w:rPr>
          <w:lang w:val="en-US"/>
        </w:rPr>
        <w:t xml:space="preserve"> and several related A</w:t>
      </w:r>
      <w:r>
        <w:rPr>
          <w:lang w:val="en-US"/>
        </w:rPr>
        <w:t xml:space="preserve">rabidopsis genes encode enzymes </w:t>
      </w:r>
      <w:r w:rsidRPr="00AA1A10">
        <w:rPr>
          <w:lang w:val="en-US"/>
        </w:rPr>
        <w:t>of the firefly luciferase superfamily that show a</w:t>
      </w:r>
      <w:r>
        <w:rPr>
          <w:lang w:val="en-US"/>
        </w:rPr>
        <w:t xml:space="preserve">ctivity on jasmonic, salicylic, </w:t>
      </w:r>
      <w:r w:rsidRPr="00AA1A10">
        <w:rPr>
          <w:lang w:val="en-US"/>
        </w:rPr>
        <w:t>and indole-3-acetic acids in an as</w:t>
      </w:r>
      <w:r>
        <w:rPr>
          <w:lang w:val="en-US"/>
        </w:rPr>
        <w:t xml:space="preserve">say for adenylation. Plant Cell </w:t>
      </w:r>
      <w:r w:rsidRPr="00AA1A10">
        <w:rPr>
          <w:b/>
          <w:lang w:val="en-US"/>
        </w:rPr>
        <w:t>14:</w:t>
      </w:r>
      <w:r w:rsidRPr="00AA1A10">
        <w:rPr>
          <w:lang w:val="en-US"/>
        </w:rPr>
        <w:t xml:space="preserve"> 1405-1415.</w:t>
      </w:r>
    </w:p>
    <w:p w:rsidR="005C45F6" w:rsidRPr="00522A61" w:rsidRDefault="005C45F6" w:rsidP="00773890">
      <w:pPr>
        <w:jc w:val="both"/>
        <w:rPr>
          <w:lang w:val="de-DE"/>
        </w:rPr>
      </w:pPr>
      <w:proofErr w:type="gramStart"/>
      <w:r w:rsidRPr="00E0008D">
        <w:rPr>
          <w:b/>
          <w:lang w:val="en-US"/>
        </w:rPr>
        <w:t>Sticher, L., Mauch-Mani, B., and Métraux, J.-P.</w:t>
      </w:r>
      <w:proofErr w:type="gramEnd"/>
      <w:r w:rsidRPr="00E0008D">
        <w:rPr>
          <w:lang w:val="en-US"/>
        </w:rPr>
        <w:t xml:space="preserve"> (1997). </w:t>
      </w:r>
      <w:r w:rsidRPr="005C45F6">
        <w:rPr>
          <w:lang w:val="en-US"/>
        </w:rPr>
        <w:t xml:space="preserve">Systemic Acquired Resistance. </w:t>
      </w:r>
      <w:proofErr w:type="gramStart"/>
      <w:r w:rsidRPr="005C45F6">
        <w:rPr>
          <w:lang w:val="en-US"/>
        </w:rPr>
        <w:t>Annu.</w:t>
      </w:r>
      <w:proofErr w:type="gramEnd"/>
      <w:r w:rsidRPr="005C45F6">
        <w:rPr>
          <w:lang w:val="en-US"/>
        </w:rPr>
        <w:t xml:space="preserve"> Rev. Phytopathol. </w:t>
      </w:r>
      <w:r w:rsidRPr="00522A61">
        <w:rPr>
          <w:b/>
          <w:lang w:val="de-DE"/>
        </w:rPr>
        <w:t>35:</w:t>
      </w:r>
      <w:r w:rsidRPr="00522A61">
        <w:rPr>
          <w:lang w:val="de-DE"/>
        </w:rPr>
        <w:t xml:space="preserve"> 235–270.</w:t>
      </w:r>
    </w:p>
    <w:p w:rsidR="005C45F6" w:rsidRDefault="005C45F6" w:rsidP="00773890">
      <w:pPr>
        <w:jc w:val="both"/>
        <w:rPr>
          <w:lang w:val="en-US"/>
        </w:rPr>
      </w:pPr>
      <w:r w:rsidRPr="00522A61">
        <w:rPr>
          <w:b/>
          <w:lang w:val="de-DE"/>
        </w:rPr>
        <w:t>Stuttmann, J., Hubberten, H.-M., Rietz, S., Kaur, J., Muskett, P., Guerois, R., Bednarek, P., Hoefgen, R., and Parker, J.E.</w:t>
      </w:r>
      <w:r w:rsidRPr="00522A61">
        <w:rPr>
          <w:lang w:val="de-DE"/>
        </w:rPr>
        <w:t xml:space="preserve"> (2011). </w:t>
      </w:r>
      <w:proofErr w:type="gramStart"/>
      <w:r w:rsidRPr="005C45F6">
        <w:rPr>
          <w:lang w:val="en-US"/>
        </w:rPr>
        <w:t xml:space="preserve">Perturbation of </w:t>
      </w:r>
      <w:r w:rsidRPr="005C45F6">
        <w:rPr>
          <w:i/>
          <w:lang w:val="en-US"/>
        </w:rPr>
        <w:t>Arabidopsis</w:t>
      </w:r>
      <w:r w:rsidRPr="005C45F6">
        <w:rPr>
          <w:lang w:val="en-US"/>
        </w:rPr>
        <w:t xml:space="preserve"> Amino Acid Metabolism Causes Incompatibility with the Adapted Biotrophic Pathogen </w:t>
      </w:r>
      <w:r w:rsidRPr="005C45F6">
        <w:rPr>
          <w:i/>
          <w:lang w:val="en-US"/>
        </w:rPr>
        <w:t>Hyaloperonospora arabidopsidis</w:t>
      </w:r>
      <w:r w:rsidRPr="005C45F6">
        <w:rPr>
          <w:lang w:val="en-US"/>
        </w:rPr>
        <w:t>.</w:t>
      </w:r>
      <w:proofErr w:type="gramEnd"/>
      <w:r w:rsidRPr="005C45F6">
        <w:rPr>
          <w:lang w:val="en-US"/>
        </w:rPr>
        <w:t xml:space="preserve"> The Plant Cell </w:t>
      </w:r>
      <w:r w:rsidRPr="005C45F6">
        <w:rPr>
          <w:b/>
          <w:lang w:val="en-US"/>
        </w:rPr>
        <w:t>23</w:t>
      </w:r>
      <w:r w:rsidRPr="00956C38">
        <w:rPr>
          <w:b/>
          <w:lang w:val="en-US"/>
        </w:rPr>
        <w:t>:</w:t>
      </w:r>
      <w:r w:rsidRPr="005C45F6">
        <w:rPr>
          <w:lang w:val="en-US"/>
        </w:rPr>
        <w:t xml:space="preserve"> 2788–2803.</w:t>
      </w:r>
    </w:p>
    <w:p w:rsidR="003E39D8" w:rsidRDefault="003E39D8" w:rsidP="00773890">
      <w:pPr>
        <w:jc w:val="both"/>
        <w:rPr>
          <w:lang w:val="en-US"/>
        </w:rPr>
      </w:pPr>
      <w:proofErr w:type="gramStart"/>
      <w:r w:rsidRPr="003E39D8">
        <w:rPr>
          <w:b/>
          <w:lang w:val="en-US"/>
        </w:rPr>
        <w:t>Suh, J.-K., Poulsen, L.L., Ziegler, D.M., and Robertus, J.D.</w:t>
      </w:r>
      <w:r w:rsidRPr="003E39D8">
        <w:rPr>
          <w:lang w:val="en-US"/>
        </w:rPr>
        <w:t xml:space="preserve"> (1999).</w:t>
      </w:r>
      <w:proofErr w:type="gramEnd"/>
      <w:r w:rsidRPr="003E39D8">
        <w:rPr>
          <w:lang w:val="en-US"/>
        </w:rPr>
        <w:t xml:space="preserve"> Yeast flavin-containing mo</w:t>
      </w:r>
      <w:r>
        <w:rPr>
          <w:lang w:val="en-US"/>
        </w:rPr>
        <w:t xml:space="preserve">nooxygenase generates oxidizing </w:t>
      </w:r>
      <w:r w:rsidRPr="003E39D8">
        <w:rPr>
          <w:lang w:val="en-US"/>
        </w:rPr>
        <w:t>equivalents that</w:t>
      </w:r>
      <w:r>
        <w:rPr>
          <w:lang w:val="en-US"/>
        </w:rPr>
        <w:t xml:space="preserve"> control protein folding in the </w:t>
      </w:r>
      <w:r w:rsidRPr="003E39D8">
        <w:rPr>
          <w:lang w:val="en-US"/>
        </w:rPr>
        <w:t>endoplasmic reticulum</w:t>
      </w:r>
      <w:r>
        <w:rPr>
          <w:lang w:val="en-US"/>
        </w:rPr>
        <w:t xml:space="preserve">; PNAS </w:t>
      </w:r>
      <w:r w:rsidRPr="003E39D8">
        <w:rPr>
          <w:b/>
          <w:lang w:val="en-US"/>
        </w:rPr>
        <w:t>96:</w:t>
      </w:r>
      <w:r w:rsidRPr="003E39D8">
        <w:rPr>
          <w:lang w:val="en-US"/>
        </w:rPr>
        <w:t xml:space="preserve"> 2687–2691</w:t>
      </w:r>
      <w:r>
        <w:rPr>
          <w:lang w:val="en-US"/>
        </w:rPr>
        <w:t>.</w:t>
      </w:r>
    </w:p>
    <w:p w:rsidR="001E3F07" w:rsidRDefault="001E3F07" w:rsidP="00773890">
      <w:pPr>
        <w:jc w:val="both"/>
        <w:rPr>
          <w:lang w:val="en-US"/>
        </w:rPr>
      </w:pPr>
      <w:proofErr w:type="gramStart"/>
      <w:r w:rsidRPr="001E3F07">
        <w:rPr>
          <w:b/>
          <w:lang w:val="en-US"/>
        </w:rPr>
        <w:t>Tena, G., Boudsocq, M., and Sheen, J.</w:t>
      </w:r>
      <w:r w:rsidRPr="001E3F07">
        <w:rPr>
          <w:lang w:val="en-US"/>
        </w:rPr>
        <w:t xml:space="preserve"> </w:t>
      </w:r>
      <w:r>
        <w:rPr>
          <w:lang w:val="en-US"/>
        </w:rPr>
        <w:t>(</w:t>
      </w:r>
      <w:r w:rsidRPr="001E3F07">
        <w:rPr>
          <w:lang w:val="en-US"/>
        </w:rPr>
        <w:t>2011</w:t>
      </w:r>
      <w:r>
        <w:rPr>
          <w:lang w:val="en-US"/>
        </w:rPr>
        <w:t>)</w:t>
      </w:r>
      <w:r w:rsidRPr="001E3F07">
        <w:rPr>
          <w:lang w:val="en-US"/>
        </w:rPr>
        <w:t>.</w:t>
      </w:r>
      <w:proofErr w:type="gramEnd"/>
      <w:r w:rsidRPr="001E3F07">
        <w:rPr>
          <w:lang w:val="en-US"/>
        </w:rPr>
        <w:t xml:space="preserve"> </w:t>
      </w:r>
      <w:proofErr w:type="gramStart"/>
      <w:r w:rsidRPr="001E3F07">
        <w:rPr>
          <w:lang w:val="en-US"/>
        </w:rPr>
        <w:t xml:space="preserve">Protein kinase signaling networks </w:t>
      </w:r>
      <w:r>
        <w:rPr>
          <w:lang w:val="en-US"/>
        </w:rPr>
        <w:t>in plant innate immunity.</w:t>
      </w:r>
      <w:proofErr w:type="gramEnd"/>
      <w:r>
        <w:rPr>
          <w:lang w:val="en-US"/>
        </w:rPr>
        <w:t xml:space="preserve"> </w:t>
      </w:r>
      <w:proofErr w:type="gramStart"/>
      <w:r>
        <w:rPr>
          <w:lang w:val="en-US"/>
        </w:rPr>
        <w:t>Curr.</w:t>
      </w:r>
      <w:proofErr w:type="gramEnd"/>
      <w:r>
        <w:rPr>
          <w:lang w:val="en-US"/>
        </w:rPr>
        <w:t xml:space="preserve"> </w:t>
      </w:r>
      <w:proofErr w:type="gramStart"/>
      <w:r w:rsidRPr="001E3F07">
        <w:rPr>
          <w:lang w:val="en-US"/>
        </w:rPr>
        <w:t>Opin.</w:t>
      </w:r>
      <w:proofErr w:type="gramEnd"/>
      <w:r w:rsidRPr="001E3F07">
        <w:rPr>
          <w:lang w:val="en-US"/>
        </w:rPr>
        <w:t xml:space="preserve"> Plant Biol. </w:t>
      </w:r>
      <w:r w:rsidRPr="001E3F07">
        <w:rPr>
          <w:b/>
          <w:lang w:val="en-US"/>
        </w:rPr>
        <w:t>14:</w:t>
      </w:r>
      <w:r>
        <w:rPr>
          <w:lang w:val="en-US"/>
        </w:rPr>
        <w:t xml:space="preserve"> </w:t>
      </w:r>
      <w:r w:rsidRPr="001E3F07">
        <w:rPr>
          <w:lang w:val="en-US"/>
        </w:rPr>
        <w:t>519–29</w:t>
      </w:r>
      <w:r>
        <w:rPr>
          <w:lang w:val="en-US"/>
        </w:rPr>
        <w:t>.</w:t>
      </w:r>
    </w:p>
    <w:p w:rsidR="00E8281D" w:rsidRPr="003E39D8" w:rsidRDefault="00E8281D" w:rsidP="00773890">
      <w:pPr>
        <w:jc w:val="both"/>
        <w:rPr>
          <w:lang w:val="en-US"/>
        </w:rPr>
      </w:pPr>
      <w:proofErr w:type="gramStart"/>
      <w:r w:rsidRPr="00E8281D">
        <w:rPr>
          <w:b/>
          <w:lang w:val="en-US"/>
        </w:rPr>
        <w:t>Thomma, B.P.H.J., Eggermont, K., Penninckx, I.A.M.A., Mauch-Mani, B., Vogelsang, R., Cammue, B.P., Broekaert, W.F.</w:t>
      </w:r>
      <w:r w:rsidRPr="00E8281D">
        <w:rPr>
          <w:lang w:val="en-US"/>
        </w:rPr>
        <w:t xml:space="preserve"> </w:t>
      </w:r>
      <w:r>
        <w:rPr>
          <w:lang w:val="en-US"/>
        </w:rPr>
        <w:t>(</w:t>
      </w:r>
      <w:r w:rsidRPr="00E8281D">
        <w:rPr>
          <w:lang w:val="en-US"/>
        </w:rPr>
        <w:t>199</w:t>
      </w:r>
      <w:r>
        <w:rPr>
          <w:lang w:val="en-US"/>
        </w:rPr>
        <w:t>8).</w:t>
      </w:r>
      <w:proofErr w:type="gramEnd"/>
      <w:r>
        <w:rPr>
          <w:lang w:val="en-US"/>
        </w:rPr>
        <w:t xml:space="preserve"> Separate jasmonate-dependent </w:t>
      </w:r>
      <w:r w:rsidRPr="00E8281D">
        <w:rPr>
          <w:lang w:val="en-US"/>
        </w:rPr>
        <w:t>and salicy</w:t>
      </w:r>
      <w:r>
        <w:rPr>
          <w:lang w:val="en-US"/>
        </w:rPr>
        <w:t xml:space="preserve">late-dependent defense-response </w:t>
      </w:r>
      <w:r w:rsidRPr="00E8281D">
        <w:rPr>
          <w:lang w:val="en-US"/>
        </w:rPr>
        <w:t>pathwa</w:t>
      </w:r>
      <w:r>
        <w:rPr>
          <w:lang w:val="en-US"/>
        </w:rPr>
        <w:t xml:space="preserve">ys in </w:t>
      </w:r>
      <w:r w:rsidRPr="00E8281D">
        <w:rPr>
          <w:i/>
          <w:lang w:val="en-US"/>
        </w:rPr>
        <w:t>Arabidopsis</w:t>
      </w:r>
      <w:r>
        <w:rPr>
          <w:lang w:val="en-US"/>
        </w:rPr>
        <w:t xml:space="preserve"> are essential </w:t>
      </w:r>
      <w:r w:rsidRPr="00E8281D">
        <w:rPr>
          <w:lang w:val="en-US"/>
        </w:rPr>
        <w:t>for resistance to distinct microb</w:t>
      </w:r>
      <w:r>
        <w:rPr>
          <w:lang w:val="en-US"/>
        </w:rPr>
        <w:t xml:space="preserve">ial </w:t>
      </w:r>
      <w:r w:rsidRPr="00E8281D">
        <w:rPr>
          <w:lang w:val="en-US"/>
        </w:rPr>
        <w:t>pathog</w:t>
      </w:r>
      <w:r>
        <w:rPr>
          <w:lang w:val="en-US"/>
        </w:rPr>
        <w:t xml:space="preserve">ens. PNAS </w:t>
      </w:r>
      <w:r w:rsidRPr="00E8281D">
        <w:rPr>
          <w:b/>
          <w:lang w:val="en-US"/>
        </w:rPr>
        <w:t>95:</w:t>
      </w:r>
      <w:r>
        <w:rPr>
          <w:lang w:val="en-US"/>
        </w:rPr>
        <w:t xml:space="preserve"> </w:t>
      </w:r>
      <w:r w:rsidRPr="00E8281D">
        <w:rPr>
          <w:lang w:val="en-US"/>
        </w:rPr>
        <w:t>15107–11</w:t>
      </w:r>
      <w:r>
        <w:rPr>
          <w:lang w:val="en-US"/>
        </w:rPr>
        <w:t>.</w:t>
      </w:r>
    </w:p>
    <w:p w:rsidR="005C45F6" w:rsidRPr="005C45F6" w:rsidRDefault="005C45F6" w:rsidP="00773890">
      <w:pPr>
        <w:jc w:val="both"/>
        <w:rPr>
          <w:bCs/>
        </w:rPr>
      </w:pPr>
      <w:proofErr w:type="gramStart"/>
      <w:r w:rsidRPr="005C45F6">
        <w:rPr>
          <w:b/>
          <w:bCs/>
        </w:rPr>
        <w:t xml:space="preserve">Thomma, B.P.H.J., Eggermont, K., Tierens, K.F.M.-J., and Broekaert, W.F. </w:t>
      </w:r>
      <w:r w:rsidRPr="005C45F6">
        <w:rPr>
          <w:bCs/>
        </w:rPr>
        <w:t>(1999).</w:t>
      </w:r>
      <w:proofErr w:type="gramEnd"/>
      <w:r w:rsidRPr="005C45F6">
        <w:rPr>
          <w:bCs/>
        </w:rPr>
        <w:t xml:space="preserve"> </w:t>
      </w:r>
      <w:proofErr w:type="gramStart"/>
      <w:r w:rsidRPr="005C45F6">
        <w:rPr>
          <w:bCs/>
        </w:rPr>
        <w:t xml:space="preserve">Requirement of Functional </w:t>
      </w:r>
      <w:r w:rsidRPr="005C45F6">
        <w:rPr>
          <w:bCs/>
          <w:i/>
        </w:rPr>
        <w:t>Ethylene-Insensitive 2</w:t>
      </w:r>
      <w:r w:rsidRPr="005C45F6">
        <w:rPr>
          <w:bCs/>
        </w:rPr>
        <w:t xml:space="preserve"> Gene for Efficient Resistance of Arabidopsis to Infection by </w:t>
      </w:r>
      <w:r w:rsidRPr="005C45F6">
        <w:rPr>
          <w:bCs/>
          <w:i/>
        </w:rPr>
        <w:t>Botrytis cinerea.</w:t>
      </w:r>
      <w:proofErr w:type="gramEnd"/>
      <w:r w:rsidRPr="005C45F6">
        <w:rPr>
          <w:bCs/>
          <w:i/>
        </w:rPr>
        <w:t xml:space="preserve"> </w:t>
      </w:r>
      <w:r w:rsidRPr="00956C38">
        <w:rPr>
          <w:bCs/>
        </w:rPr>
        <w:t>Plant Physiology</w:t>
      </w:r>
      <w:r w:rsidRPr="005C45F6">
        <w:rPr>
          <w:bCs/>
          <w:i/>
        </w:rPr>
        <w:t xml:space="preserve"> </w:t>
      </w:r>
      <w:r w:rsidRPr="005C45F6">
        <w:rPr>
          <w:b/>
          <w:bCs/>
        </w:rPr>
        <w:t>121</w:t>
      </w:r>
      <w:r w:rsidRPr="00956C38">
        <w:rPr>
          <w:b/>
          <w:bCs/>
        </w:rPr>
        <w:t>:</w:t>
      </w:r>
      <w:r w:rsidRPr="005C45F6">
        <w:rPr>
          <w:bCs/>
        </w:rPr>
        <w:t xml:space="preserve"> 1093–1101.</w:t>
      </w:r>
    </w:p>
    <w:p w:rsidR="005C45F6" w:rsidRDefault="005C45F6" w:rsidP="00773890">
      <w:pPr>
        <w:jc w:val="both"/>
        <w:rPr>
          <w:bCs/>
          <w:lang w:val="en-US"/>
        </w:rPr>
      </w:pPr>
      <w:r w:rsidRPr="005C45F6">
        <w:rPr>
          <w:b/>
          <w:bCs/>
        </w:rPr>
        <w:lastRenderedPageBreak/>
        <w:t>Thordal-Christensen, H.</w:t>
      </w:r>
      <w:r w:rsidRPr="005C45F6">
        <w:rPr>
          <w:bCs/>
        </w:rPr>
        <w:t xml:space="preserve"> (2003). </w:t>
      </w:r>
      <w:proofErr w:type="gramStart"/>
      <w:r w:rsidRPr="005C45F6">
        <w:rPr>
          <w:bCs/>
          <w:lang w:val="en-US"/>
        </w:rPr>
        <w:t>Fresh insights into processes of nonhost resistance.</w:t>
      </w:r>
      <w:proofErr w:type="gramEnd"/>
      <w:r w:rsidRPr="005C45F6">
        <w:rPr>
          <w:bCs/>
          <w:lang w:val="en-US"/>
        </w:rPr>
        <w:t xml:space="preserve"> Current Opinion in Plant Biology </w:t>
      </w:r>
      <w:r w:rsidRPr="005C45F6">
        <w:rPr>
          <w:b/>
          <w:bCs/>
          <w:lang w:val="en-US"/>
        </w:rPr>
        <w:t>6:</w:t>
      </w:r>
      <w:r w:rsidRPr="005C45F6">
        <w:rPr>
          <w:bCs/>
          <w:lang w:val="en-US"/>
        </w:rPr>
        <w:t xml:space="preserve"> 351–357.</w:t>
      </w:r>
    </w:p>
    <w:p w:rsidR="008A2CAC" w:rsidRDefault="008A2CAC" w:rsidP="00773890">
      <w:pPr>
        <w:jc w:val="both"/>
        <w:rPr>
          <w:bCs/>
        </w:rPr>
      </w:pPr>
      <w:proofErr w:type="gramStart"/>
      <w:r w:rsidRPr="008A2CAC">
        <w:rPr>
          <w:b/>
          <w:bCs/>
        </w:rPr>
        <w:t>Thulke, O. and Conrath, U.</w:t>
      </w:r>
      <w:r w:rsidRPr="008A2CAC">
        <w:rPr>
          <w:bCs/>
        </w:rPr>
        <w:t xml:space="preserve"> (1998)</w:t>
      </w:r>
      <w:r>
        <w:rPr>
          <w:bCs/>
        </w:rPr>
        <w:t>.</w:t>
      </w:r>
      <w:proofErr w:type="gramEnd"/>
      <w:r>
        <w:rPr>
          <w:bCs/>
        </w:rPr>
        <w:t xml:space="preserve"> Salicylic acid has a dual role </w:t>
      </w:r>
      <w:r w:rsidRPr="008A2CAC">
        <w:rPr>
          <w:bCs/>
        </w:rPr>
        <w:t>in the activation of de</w:t>
      </w:r>
      <w:r>
        <w:rPr>
          <w:bCs/>
        </w:rPr>
        <w:t xml:space="preserve">fense-related genes in parsley. </w:t>
      </w:r>
      <w:r w:rsidRPr="008A2CAC">
        <w:rPr>
          <w:bCs/>
        </w:rPr>
        <w:t xml:space="preserve">Plant J </w:t>
      </w:r>
      <w:r w:rsidRPr="008A2CAC">
        <w:rPr>
          <w:b/>
          <w:bCs/>
        </w:rPr>
        <w:t>14:</w:t>
      </w:r>
      <w:r w:rsidRPr="008A2CAC">
        <w:rPr>
          <w:bCs/>
        </w:rPr>
        <w:t xml:space="preserve"> 35–42</w:t>
      </w:r>
      <w:r>
        <w:rPr>
          <w:bCs/>
        </w:rPr>
        <w:t>.</w:t>
      </w:r>
    </w:p>
    <w:p w:rsidR="00CF5887" w:rsidRPr="005C45F6" w:rsidRDefault="00CF5887" w:rsidP="00773890">
      <w:pPr>
        <w:jc w:val="both"/>
        <w:rPr>
          <w:bCs/>
        </w:rPr>
      </w:pPr>
      <w:proofErr w:type="gramStart"/>
      <w:r w:rsidRPr="00CF5887">
        <w:rPr>
          <w:b/>
          <w:bCs/>
        </w:rPr>
        <w:t>Ton, J. and Mauch-Mani, B.</w:t>
      </w:r>
      <w:r>
        <w:rPr>
          <w:bCs/>
        </w:rPr>
        <w:t xml:space="preserve"> (2004).</w:t>
      </w:r>
      <w:proofErr w:type="gramEnd"/>
      <w:r>
        <w:rPr>
          <w:bCs/>
        </w:rPr>
        <w:t xml:space="preserve"> ß-amino-butyric acid-induced resistance against necrotrophic pathogens is based on ABA-dependent priming for callose. The Plant Journal </w:t>
      </w:r>
      <w:r w:rsidRPr="00CF5887">
        <w:rPr>
          <w:b/>
          <w:bCs/>
        </w:rPr>
        <w:t>38:</w:t>
      </w:r>
      <w:r>
        <w:rPr>
          <w:bCs/>
        </w:rPr>
        <w:t xml:space="preserve"> 119-130.</w:t>
      </w:r>
    </w:p>
    <w:p w:rsidR="005C45F6" w:rsidRPr="005C45F6" w:rsidRDefault="005C45F6" w:rsidP="00773890">
      <w:pPr>
        <w:jc w:val="both"/>
      </w:pPr>
      <w:proofErr w:type="gramStart"/>
      <w:r w:rsidRPr="005C45F6">
        <w:rPr>
          <w:b/>
        </w:rPr>
        <w:t xml:space="preserve">Ton, J., Jakab, G., Toquin, V., Flors, V., Iavicoli, A., Maeder, M.N., Métraux, J.P., and Mauch-Mani, B. </w:t>
      </w:r>
      <w:r w:rsidRPr="005C45F6">
        <w:t>(2005).</w:t>
      </w:r>
      <w:proofErr w:type="gramEnd"/>
      <w:r w:rsidRPr="005C45F6">
        <w:t xml:space="preserve"> Dissecting the ß-Aminobutyric Acid–Induced Priming Phenomenon in Arabidopsis. The Plant Cell </w:t>
      </w:r>
      <w:r w:rsidRPr="005C45F6">
        <w:rPr>
          <w:b/>
        </w:rPr>
        <w:t>17</w:t>
      </w:r>
      <w:r w:rsidRPr="00956C38">
        <w:rPr>
          <w:b/>
        </w:rPr>
        <w:t>:</w:t>
      </w:r>
      <w:r w:rsidRPr="005C45F6">
        <w:t xml:space="preserve"> 987–999.</w:t>
      </w:r>
    </w:p>
    <w:p w:rsidR="005C45F6" w:rsidRPr="005C45F6" w:rsidRDefault="005C45F6" w:rsidP="00773890">
      <w:pPr>
        <w:jc w:val="both"/>
        <w:rPr>
          <w:lang w:val="en-US"/>
        </w:rPr>
      </w:pPr>
      <w:proofErr w:type="gramStart"/>
      <w:r w:rsidRPr="00E0008D">
        <w:rPr>
          <w:b/>
        </w:rPr>
        <w:t>Tsai, C.-H., Singh, P., Chen, C.-W., Thomas, J., Weber, J., Mauch-Mani, B., and Zimmerli, L.</w:t>
      </w:r>
      <w:r w:rsidRPr="00E0008D">
        <w:t xml:space="preserve"> (2011).</w:t>
      </w:r>
      <w:proofErr w:type="gramEnd"/>
      <w:r w:rsidRPr="00E0008D">
        <w:t xml:space="preserve"> </w:t>
      </w:r>
      <w:proofErr w:type="gramStart"/>
      <w:r w:rsidRPr="005C45F6">
        <w:rPr>
          <w:lang w:val="en-US"/>
        </w:rPr>
        <w:t>Priming for enhanced defence responses by specific inhibition of the Arabidopsis response to coronatine.</w:t>
      </w:r>
      <w:proofErr w:type="gramEnd"/>
      <w:r w:rsidRPr="005C45F6">
        <w:rPr>
          <w:lang w:val="en-US"/>
        </w:rPr>
        <w:t xml:space="preserve"> The Plant Journal </w:t>
      </w:r>
      <w:r w:rsidRPr="005C45F6">
        <w:rPr>
          <w:b/>
          <w:lang w:val="en-US"/>
        </w:rPr>
        <w:t>65</w:t>
      </w:r>
      <w:r w:rsidRPr="00956C38">
        <w:rPr>
          <w:b/>
          <w:lang w:val="en-US"/>
        </w:rPr>
        <w:t>:</w:t>
      </w:r>
      <w:r w:rsidRPr="005C45F6">
        <w:rPr>
          <w:lang w:val="en-US"/>
        </w:rPr>
        <w:t xml:space="preserve"> 469–479.</w:t>
      </w:r>
    </w:p>
    <w:p w:rsidR="005C45F6" w:rsidRPr="005C45F6" w:rsidRDefault="005C45F6" w:rsidP="00773890">
      <w:pPr>
        <w:jc w:val="both"/>
      </w:pPr>
      <w:proofErr w:type="gramStart"/>
      <w:r w:rsidRPr="005C45F6">
        <w:rPr>
          <w:b/>
        </w:rPr>
        <w:t>Tsuda, K., Mine, A., Bethke, G., Igarashi, D., Botanga, C.J., Tsuda, Y., Glazebrook, J., Sato, M., and Katagiri, F.</w:t>
      </w:r>
      <w:r w:rsidRPr="005C45F6">
        <w:t xml:space="preserve"> (2013).</w:t>
      </w:r>
      <w:proofErr w:type="gramEnd"/>
      <w:r w:rsidRPr="005C45F6">
        <w:t xml:space="preserve"> Dual Regulation of Gene Expression Mediated by Extended MAPK Activation and Salicylic Acid Contributes to Robust Innate Immunity in </w:t>
      </w:r>
      <w:r w:rsidRPr="005C45F6">
        <w:rPr>
          <w:i/>
        </w:rPr>
        <w:t xml:space="preserve">Arabidopsis thaliana. </w:t>
      </w:r>
      <w:r w:rsidRPr="005C45F6">
        <w:t xml:space="preserve">PLOS Genetics </w:t>
      </w:r>
      <w:r w:rsidRPr="005C45F6">
        <w:rPr>
          <w:b/>
        </w:rPr>
        <w:t>9</w:t>
      </w:r>
      <w:r w:rsidRPr="00956C38">
        <w:rPr>
          <w:b/>
        </w:rPr>
        <w:t xml:space="preserve">: </w:t>
      </w:r>
      <w:r w:rsidRPr="005C45F6">
        <w:t>1-14.</w:t>
      </w:r>
    </w:p>
    <w:p w:rsidR="005C45F6" w:rsidRDefault="005C45F6" w:rsidP="00773890">
      <w:pPr>
        <w:jc w:val="both"/>
      </w:pPr>
      <w:proofErr w:type="gramStart"/>
      <w:r w:rsidRPr="005C45F6">
        <w:rPr>
          <w:b/>
        </w:rPr>
        <w:t>Underwood, W., Zhang, S., and He, S.Y.</w:t>
      </w:r>
      <w:r w:rsidRPr="005C45F6">
        <w:t xml:space="preserve"> (2007).</w:t>
      </w:r>
      <w:proofErr w:type="gramEnd"/>
      <w:r w:rsidRPr="005C45F6">
        <w:t xml:space="preserve"> The </w:t>
      </w:r>
      <w:r w:rsidRPr="005C45F6">
        <w:rPr>
          <w:i/>
        </w:rPr>
        <w:t>Pseudomonas syringae</w:t>
      </w:r>
      <w:r w:rsidRPr="005C45F6">
        <w:t xml:space="preserve"> type III effector tyrosine phosphatase HopAO1 suppresses innate immunity in </w:t>
      </w:r>
      <w:r w:rsidRPr="005C45F6">
        <w:rPr>
          <w:i/>
        </w:rPr>
        <w:t>Arabidopsis thaliana.</w:t>
      </w:r>
      <w:r w:rsidRPr="005C45F6">
        <w:t xml:space="preserve"> The Plant Journal </w:t>
      </w:r>
      <w:r w:rsidRPr="005C45F6">
        <w:rPr>
          <w:b/>
        </w:rPr>
        <w:t>52</w:t>
      </w:r>
      <w:r w:rsidRPr="00956C38">
        <w:rPr>
          <w:b/>
        </w:rPr>
        <w:t>:</w:t>
      </w:r>
      <w:r w:rsidRPr="005C45F6">
        <w:t xml:space="preserve"> 658–672. </w:t>
      </w:r>
    </w:p>
    <w:p w:rsidR="009B5375" w:rsidRPr="00EB1834" w:rsidRDefault="009B5375" w:rsidP="00773890">
      <w:pPr>
        <w:jc w:val="both"/>
        <w:rPr>
          <w:lang w:val="de-DE"/>
        </w:rPr>
      </w:pPr>
      <w:r w:rsidRPr="009B5375">
        <w:rPr>
          <w:b/>
        </w:rPr>
        <w:t>Van Andel, O. M.</w:t>
      </w:r>
      <w:r>
        <w:t xml:space="preserve"> (1958). </w:t>
      </w:r>
      <w:proofErr w:type="gramStart"/>
      <w:r>
        <w:t>Investigations on plant chemotherapy II.</w:t>
      </w:r>
      <w:proofErr w:type="gramEnd"/>
      <w:r>
        <w:t xml:space="preserve"> Influence of amino acids on the relation plant-pathogen. </w:t>
      </w:r>
      <w:proofErr w:type="gramStart"/>
      <w:r>
        <w:t>Tijdschr.</w:t>
      </w:r>
      <w:proofErr w:type="gramEnd"/>
      <w:r>
        <w:t xml:space="preserve"> </w:t>
      </w:r>
      <w:r w:rsidRPr="00EB1834">
        <w:rPr>
          <w:lang w:val="de-DE"/>
        </w:rPr>
        <w:t xml:space="preserve">Planteziekten </w:t>
      </w:r>
      <w:r w:rsidRPr="00EB1834">
        <w:rPr>
          <w:b/>
          <w:lang w:val="de-DE"/>
        </w:rPr>
        <w:t>64:</w:t>
      </w:r>
      <w:r w:rsidRPr="00EB1834">
        <w:rPr>
          <w:lang w:val="de-DE"/>
        </w:rPr>
        <w:t xml:space="preserve"> 307-327.</w:t>
      </w:r>
    </w:p>
    <w:p w:rsidR="007E2237" w:rsidRPr="007E2237" w:rsidRDefault="0088199D" w:rsidP="00773890">
      <w:pPr>
        <w:jc w:val="both"/>
        <w:rPr>
          <w:lang w:val="en-US"/>
        </w:rPr>
      </w:pPr>
      <w:r w:rsidRPr="0088199D">
        <w:rPr>
          <w:b/>
          <w:lang w:val="de-DE"/>
        </w:rPr>
        <w:t>V</w:t>
      </w:r>
      <w:r w:rsidR="007E2237" w:rsidRPr="007E2237">
        <w:rPr>
          <w:b/>
          <w:lang w:val="de-DE"/>
        </w:rPr>
        <w:t xml:space="preserve">an Damme, M., Zeilmaker, </w:t>
      </w:r>
      <w:proofErr w:type="gramStart"/>
      <w:r w:rsidR="007E2237" w:rsidRPr="007E2237">
        <w:rPr>
          <w:b/>
          <w:lang w:val="de-DE"/>
        </w:rPr>
        <w:t>T.,</w:t>
      </w:r>
      <w:proofErr w:type="gramEnd"/>
      <w:r w:rsidR="007E2237" w:rsidRPr="007E2237">
        <w:rPr>
          <w:b/>
          <w:lang w:val="de-DE"/>
        </w:rPr>
        <w:t xml:space="preserve"> Elberse, J., Andel, A., de Sain-van der Velden, M., and van den Ackerveken, G.</w:t>
      </w:r>
      <w:r w:rsidR="007E2237" w:rsidRPr="007E2237">
        <w:rPr>
          <w:lang w:val="de-DE"/>
        </w:rPr>
        <w:t xml:space="preserve"> (2009). </w:t>
      </w:r>
      <w:proofErr w:type="gramStart"/>
      <w:r w:rsidR="007E2237">
        <w:t>Downy mildew</w:t>
      </w:r>
      <w:r w:rsidR="007E2237" w:rsidRPr="007E2237">
        <w:rPr>
          <w:lang w:val="en-US"/>
        </w:rPr>
        <w:t xml:space="preserve"> </w:t>
      </w:r>
      <w:r w:rsidR="007E2237">
        <w:t xml:space="preserve">resistance in </w:t>
      </w:r>
      <w:r w:rsidR="007E2237" w:rsidRPr="007E2237">
        <w:rPr>
          <w:i/>
        </w:rPr>
        <w:t>Arabidopsis</w:t>
      </w:r>
      <w:r w:rsidR="007E2237">
        <w:t xml:space="preserve"> by mutation of HOMOSERINE KINASE.</w:t>
      </w:r>
      <w:proofErr w:type="gramEnd"/>
      <w:r w:rsidR="007E2237">
        <w:rPr>
          <w:lang w:val="en-US"/>
        </w:rPr>
        <w:t xml:space="preserve"> </w:t>
      </w:r>
      <w:r w:rsidR="007E2237">
        <w:t xml:space="preserve">Plant Cell </w:t>
      </w:r>
      <w:r w:rsidR="007E2237" w:rsidRPr="007E2237">
        <w:rPr>
          <w:b/>
        </w:rPr>
        <w:t>21:</w:t>
      </w:r>
      <w:r w:rsidR="007E2237">
        <w:t xml:space="preserve"> 2179–2189.</w:t>
      </w:r>
    </w:p>
    <w:p w:rsidR="007C3D48" w:rsidRPr="007C3D48" w:rsidRDefault="007C3D48" w:rsidP="00773890">
      <w:pPr>
        <w:jc w:val="both"/>
        <w:rPr>
          <w:lang w:val="en-US"/>
        </w:rPr>
      </w:pPr>
      <w:r w:rsidRPr="007C3D48">
        <w:rPr>
          <w:b/>
          <w:lang w:val="en-US"/>
        </w:rPr>
        <w:t>Van Peer, R., Niemann, G.J., and Schippers, B.</w:t>
      </w:r>
      <w:r w:rsidRPr="007C3D48">
        <w:rPr>
          <w:lang w:val="en-US"/>
        </w:rPr>
        <w:t xml:space="preserve"> </w:t>
      </w:r>
      <w:r>
        <w:rPr>
          <w:lang w:val="en-US"/>
        </w:rPr>
        <w:t xml:space="preserve">(1991) Induced resistance and </w:t>
      </w:r>
      <w:r w:rsidRPr="007C3D48">
        <w:rPr>
          <w:lang w:val="en-US"/>
        </w:rPr>
        <w:t>phytoalexin accumulation in biological contr</w:t>
      </w:r>
      <w:r>
        <w:rPr>
          <w:lang w:val="en-US"/>
        </w:rPr>
        <w:t xml:space="preserve">ol of </w:t>
      </w:r>
      <w:r w:rsidRPr="007C3D48">
        <w:rPr>
          <w:lang w:val="en-US"/>
        </w:rPr>
        <w:t xml:space="preserve">fusarium wilt </w:t>
      </w:r>
      <w:r>
        <w:rPr>
          <w:lang w:val="en-US"/>
        </w:rPr>
        <w:t xml:space="preserve">of carnation by </w:t>
      </w:r>
      <w:r w:rsidRPr="007C3D48">
        <w:rPr>
          <w:i/>
          <w:lang w:val="en-US"/>
        </w:rPr>
        <w:t xml:space="preserve">Pseudomonas </w:t>
      </w:r>
      <w:r w:rsidRPr="007C3D48">
        <w:rPr>
          <w:lang w:val="en-US"/>
        </w:rPr>
        <w:t>sp</w:t>
      </w:r>
      <w:r>
        <w:rPr>
          <w:lang w:val="en-US"/>
        </w:rPr>
        <w:t xml:space="preserve">. </w:t>
      </w:r>
      <w:r w:rsidRPr="007C3D48">
        <w:rPr>
          <w:lang w:val="en-US"/>
        </w:rPr>
        <w:t>st</w:t>
      </w:r>
      <w:r>
        <w:rPr>
          <w:lang w:val="en-US"/>
        </w:rPr>
        <w:t xml:space="preserve">rain WCS417r. Phytopathology </w:t>
      </w:r>
      <w:r w:rsidRPr="007C3D48">
        <w:rPr>
          <w:b/>
          <w:lang w:val="en-US"/>
        </w:rPr>
        <w:t>81:</w:t>
      </w:r>
      <w:r w:rsidRPr="007C3D48">
        <w:rPr>
          <w:lang w:val="en-US"/>
        </w:rPr>
        <w:t xml:space="preserve"> 728–734</w:t>
      </w:r>
      <w:r>
        <w:rPr>
          <w:lang w:val="en-US"/>
        </w:rPr>
        <w:t>.</w:t>
      </w:r>
    </w:p>
    <w:p w:rsidR="005C45F6" w:rsidRPr="005C45F6" w:rsidRDefault="005C45F6" w:rsidP="00773890">
      <w:pPr>
        <w:jc w:val="both"/>
      </w:pPr>
      <w:proofErr w:type="gramStart"/>
      <w:r w:rsidRPr="005C45F6">
        <w:rPr>
          <w:b/>
          <w:lang w:val="en-US"/>
        </w:rPr>
        <w:t xml:space="preserve">Vernooij, B., Friedrich, L., Morse, A., Reist, R., Kolditz-Jawhar, R., Ward, E., </w:t>
      </w:r>
      <w:r w:rsidRPr="005C45F6">
        <w:rPr>
          <w:b/>
        </w:rPr>
        <w:t>Uknes, S., Kessmann, H., and Ryals, J.</w:t>
      </w:r>
      <w:r w:rsidR="00A27E15">
        <w:t xml:space="preserve"> (1994</w:t>
      </w:r>
      <w:r w:rsidRPr="005C45F6">
        <w:t>).</w:t>
      </w:r>
      <w:proofErr w:type="gramEnd"/>
      <w:r w:rsidRPr="005C45F6">
        <w:t xml:space="preserve"> Salicylic Acid 1s Not the Translocated Signal Responsible for lnducing Systemic Acquired Resistance but 1s </w:t>
      </w:r>
      <w:proofErr w:type="gramStart"/>
      <w:r w:rsidRPr="005C45F6">
        <w:t>Required</w:t>
      </w:r>
      <w:proofErr w:type="gramEnd"/>
      <w:r w:rsidRPr="005C45F6">
        <w:t xml:space="preserve"> in Signal Transduction. The Plant Cell </w:t>
      </w:r>
      <w:r w:rsidRPr="005C45F6">
        <w:rPr>
          <w:b/>
        </w:rPr>
        <w:t>6</w:t>
      </w:r>
      <w:r w:rsidRPr="00956C38">
        <w:rPr>
          <w:b/>
        </w:rPr>
        <w:t>:</w:t>
      </w:r>
      <w:r w:rsidRPr="005C45F6">
        <w:t xml:space="preserve"> 959-965.  </w:t>
      </w:r>
    </w:p>
    <w:p w:rsidR="005C45F6" w:rsidRPr="005C45F6" w:rsidRDefault="005C45F6" w:rsidP="00773890">
      <w:pPr>
        <w:jc w:val="both"/>
        <w:rPr>
          <w:bCs/>
        </w:rPr>
      </w:pPr>
      <w:proofErr w:type="gramStart"/>
      <w:r w:rsidRPr="005C45F6">
        <w:rPr>
          <w:b/>
          <w:bCs/>
        </w:rPr>
        <w:t xml:space="preserve">Vernoud, V., Horton, A.C., Yang, Z., and Nielsen, E. </w:t>
      </w:r>
      <w:r w:rsidRPr="005C45F6">
        <w:rPr>
          <w:bCs/>
        </w:rPr>
        <w:t>(2003).</w:t>
      </w:r>
      <w:proofErr w:type="gramEnd"/>
      <w:r w:rsidRPr="005C45F6">
        <w:rPr>
          <w:bCs/>
        </w:rPr>
        <w:t xml:space="preserve"> </w:t>
      </w:r>
      <w:proofErr w:type="gramStart"/>
      <w:r w:rsidRPr="005C45F6">
        <w:rPr>
          <w:bCs/>
        </w:rPr>
        <w:t>An</w:t>
      </w:r>
      <w:r w:rsidR="00956C38">
        <w:rPr>
          <w:bCs/>
        </w:rPr>
        <w:t xml:space="preserve">alysis of the Small GTPase Gene </w:t>
      </w:r>
      <w:r w:rsidRPr="005C45F6">
        <w:rPr>
          <w:bCs/>
        </w:rPr>
        <w:t>Superfamily of Arabidopsis.</w:t>
      </w:r>
      <w:proofErr w:type="gramEnd"/>
      <w:r w:rsidRPr="005C45F6">
        <w:rPr>
          <w:bCs/>
        </w:rPr>
        <w:t xml:space="preserve"> Plant Physiol. </w:t>
      </w:r>
      <w:r w:rsidRPr="005C45F6">
        <w:rPr>
          <w:b/>
          <w:bCs/>
        </w:rPr>
        <w:t>131</w:t>
      </w:r>
      <w:r w:rsidRPr="00956C38">
        <w:rPr>
          <w:b/>
          <w:bCs/>
        </w:rPr>
        <w:t>:</w:t>
      </w:r>
      <w:r w:rsidRPr="005C45F6">
        <w:rPr>
          <w:bCs/>
        </w:rPr>
        <w:t xml:space="preserve"> 1191-1208.</w:t>
      </w:r>
    </w:p>
    <w:p w:rsidR="005C45F6" w:rsidRDefault="005C45F6" w:rsidP="00773890">
      <w:pPr>
        <w:jc w:val="both"/>
        <w:rPr>
          <w:bCs/>
          <w:lang w:val="en-US"/>
        </w:rPr>
      </w:pPr>
      <w:proofErr w:type="gramStart"/>
      <w:r w:rsidRPr="005C45F6">
        <w:rPr>
          <w:b/>
          <w:bCs/>
        </w:rPr>
        <w:t xml:space="preserve">Vlot, A.C., Dempsey, D.A., </w:t>
      </w:r>
      <w:r w:rsidRPr="005C45F6">
        <w:rPr>
          <w:b/>
          <w:bCs/>
          <w:lang w:val="en-US"/>
        </w:rPr>
        <w:t>and Klessig, D.F</w:t>
      </w:r>
      <w:r w:rsidRPr="00956C38">
        <w:rPr>
          <w:b/>
          <w:bCs/>
          <w:lang w:val="en-US"/>
        </w:rPr>
        <w:t>.</w:t>
      </w:r>
      <w:r w:rsidRPr="005C45F6">
        <w:rPr>
          <w:bCs/>
          <w:lang w:val="en-US"/>
        </w:rPr>
        <w:t xml:space="preserve"> (2009).</w:t>
      </w:r>
      <w:proofErr w:type="gramEnd"/>
      <w:r w:rsidRPr="005C45F6">
        <w:rPr>
          <w:bCs/>
          <w:lang w:val="en-US"/>
        </w:rPr>
        <w:t xml:space="preserve"> </w:t>
      </w:r>
      <w:proofErr w:type="gramStart"/>
      <w:r w:rsidRPr="005C45F6">
        <w:rPr>
          <w:bCs/>
          <w:lang w:val="en-US"/>
        </w:rPr>
        <w:t>Salicylic Acid, a Multifaceted Hormone to Combat Disease.</w:t>
      </w:r>
      <w:proofErr w:type="gramEnd"/>
      <w:r w:rsidRPr="005C45F6">
        <w:rPr>
          <w:bCs/>
          <w:lang w:val="en-US"/>
        </w:rPr>
        <w:t xml:space="preserve"> </w:t>
      </w:r>
      <w:proofErr w:type="gramStart"/>
      <w:r w:rsidRPr="005C45F6">
        <w:rPr>
          <w:bCs/>
          <w:lang w:val="en-US"/>
        </w:rPr>
        <w:t>Annu.</w:t>
      </w:r>
      <w:proofErr w:type="gramEnd"/>
      <w:r w:rsidRPr="005C45F6">
        <w:rPr>
          <w:bCs/>
          <w:lang w:val="en-US"/>
        </w:rPr>
        <w:t xml:space="preserve"> Rev. Phytopathol. </w:t>
      </w:r>
      <w:r w:rsidRPr="005C45F6">
        <w:rPr>
          <w:b/>
          <w:bCs/>
          <w:lang w:val="en-US"/>
        </w:rPr>
        <w:t>47</w:t>
      </w:r>
      <w:r w:rsidRPr="00956C38">
        <w:rPr>
          <w:b/>
          <w:bCs/>
          <w:lang w:val="en-US"/>
        </w:rPr>
        <w:t>:</w:t>
      </w:r>
      <w:r w:rsidRPr="005C45F6">
        <w:rPr>
          <w:bCs/>
          <w:lang w:val="en-US"/>
        </w:rPr>
        <w:t xml:space="preserve"> 177–206.</w:t>
      </w:r>
    </w:p>
    <w:p w:rsidR="00242476" w:rsidRDefault="00242476" w:rsidP="00773890">
      <w:pPr>
        <w:jc w:val="both"/>
        <w:rPr>
          <w:bCs/>
          <w:lang w:val="en-US"/>
        </w:rPr>
      </w:pPr>
      <w:proofErr w:type="gramStart"/>
      <w:r w:rsidRPr="00242476">
        <w:rPr>
          <w:b/>
          <w:bCs/>
          <w:lang w:val="en-US"/>
        </w:rPr>
        <w:t>Wang, H., Chevalier, D., Larue, C., Ki Cho, S., and Walker, J.C.</w:t>
      </w:r>
      <w:r w:rsidRPr="00242476">
        <w:rPr>
          <w:bCs/>
          <w:lang w:val="en-US"/>
        </w:rPr>
        <w:t xml:space="preserve"> </w:t>
      </w:r>
      <w:r>
        <w:rPr>
          <w:bCs/>
          <w:lang w:val="en-US"/>
        </w:rPr>
        <w:t>(</w:t>
      </w:r>
      <w:r w:rsidRPr="00242476">
        <w:rPr>
          <w:bCs/>
          <w:lang w:val="en-US"/>
        </w:rPr>
        <w:t>2007</w:t>
      </w:r>
      <w:r>
        <w:rPr>
          <w:bCs/>
          <w:lang w:val="en-US"/>
        </w:rPr>
        <w:t>)</w:t>
      </w:r>
      <w:r w:rsidRPr="00242476">
        <w:rPr>
          <w:bCs/>
          <w:lang w:val="en-US"/>
        </w:rPr>
        <w:t>.</w:t>
      </w:r>
      <w:proofErr w:type="gramEnd"/>
      <w:r w:rsidRPr="00242476">
        <w:rPr>
          <w:bCs/>
          <w:lang w:val="en-US"/>
        </w:rPr>
        <w:t xml:space="preserve"> </w:t>
      </w:r>
      <w:proofErr w:type="gramStart"/>
      <w:r w:rsidRPr="00242476">
        <w:rPr>
          <w:bCs/>
          <w:lang w:val="en-US"/>
        </w:rPr>
        <w:t>The protein phospha</w:t>
      </w:r>
      <w:r>
        <w:rPr>
          <w:bCs/>
          <w:lang w:val="en-US"/>
        </w:rPr>
        <w:t xml:space="preserve">tases and protein </w:t>
      </w:r>
      <w:r w:rsidRPr="00242476">
        <w:rPr>
          <w:bCs/>
          <w:lang w:val="en-US"/>
        </w:rPr>
        <w:t>kinases of Arabidopsis thaliana.</w:t>
      </w:r>
      <w:proofErr w:type="gramEnd"/>
      <w:r w:rsidRPr="00242476">
        <w:rPr>
          <w:bCs/>
          <w:lang w:val="en-US"/>
        </w:rPr>
        <w:t xml:space="preserve"> Arabidopsis Book </w:t>
      </w:r>
      <w:r w:rsidRPr="00242476">
        <w:rPr>
          <w:b/>
          <w:bCs/>
          <w:lang w:val="en-US"/>
        </w:rPr>
        <w:t>5:</w:t>
      </w:r>
      <w:r>
        <w:rPr>
          <w:bCs/>
          <w:lang w:val="en-US"/>
        </w:rPr>
        <w:t xml:space="preserve"> </w:t>
      </w:r>
      <w:r w:rsidRPr="00242476">
        <w:rPr>
          <w:bCs/>
          <w:lang w:val="en-US"/>
        </w:rPr>
        <w:t>e0106</w:t>
      </w:r>
      <w:r>
        <w:rPr>
          <w:bCs/>
          <w:lang w:val="en-US"/>
        </w:rPr>
        <w:t>.</w:t>
      </w:r>
    </w:p>
    <w:p w:rsidR="00B468EC" w:rsidRPr="00B468EC" w:rsidRDefault="00B468EC" w:rsidP="00773890">
      <w:pPr>
        <w:jc w:val="both"/>
        <w:rPr>
          <w:bCs/>
          <w:lang w:val="en-US"/>
        </w:rPr>
      </w:pPr>
      <w:r w:rsidRPr="00B468EC">
        <w:rPr>
          <w:b/>
          <w:bCs/>
          <w:lang w:val="en-US"/>
        </w:rPr>
        <w:lastRenderedPageBreak/>
        <w:t>Wang, H., Ngwenyama, N., Liu, Y., Walker, J.C., and Zhang, S.</w:t>
      </w:r>
      <w:r>
        <w:rPr>
          <w:bCs/>
          <w:lang w:val="en-US"/>
        </w:rPr>
        <w:t xml:space="preserve"> </w:t>
      </w:r>
      <w:r w:rsidRPr="00B468EC">
        <w:rPr>
          <w:bCs/>
          <w:lang w:val="en-US"/>
        </w:rPr>
        <w:t>(2007</w:t>
      </w:r>
      <w:r>
        <w:rPr>
          <w:bCs/>
          <w:lang w:val="en-US"/>
        </w:rPr>
        <w:t xml:space="preserve"> b</w:t>
      </w:r>
      <w:r w:rsidRPr="00B468EC">
        <w:rPr>
          <w:bCs/>
          <w:lang w:val="en-US"/>
        </w:rPr>
        <w:t>). Stomatal development and patterning are regulated</w:t>
      </w:r>
      <w:r>
        <w:rPr>
          <w:bCs/>
          <w:lang w:val="en-US"/>
        </w:rPr>
        <w:t xml:space="preserve"> </w:t>
      </w:r>
      <w:r w:rsidRPr="00B468EC">
        <w:rPr>
          <w:bCs/>
          <w:lang w:val="en-US"/>
        </w:rPr>
        <w:t>by environmentally responsive mitogen-activated protein</w:t>
      </w:r>
      <w:r>
        <w:rPr>
          <w:bCs/>
          <w:lang w:val="en-US"/>
        </w:rPr>
        <w:t xml:space="preserve"> </w:t>
      </w:r>
      <w:r w:rsidRPr="00B468EC">
        <w:rPr>
          <w:bCs/>
          <w:lang w:val="en-US"/>
        </w:rPr>
        <w:t>kinases in</w:t>
      </w:r>
      <w:r>
        <w:rPr>
          <w:bCs/>
          <w:lang w:val="en-US"/>
        </w:rPr>
        <w:t xml:space="preserve"> </w:t>
      </w:r>
      <w:r w:rsidRPr="00B468EC">
        <w:rPr>
          <w:bCs/>
          <w:i/>
          <w:lang w:val="en-US"/>
        </w:rPr>
        <w:t>Arabidopsis.</w:t>
      </w:r>
      <w:r>
        <w:rPr>
          <w:bCs/>
          <w:lang w:val="en-US"/>
        </w:rPr>
        <w:t xml:space="preserve"> Plant Cell </w:t>
      </w:r>
      <w:r w:rsidRPr="00A85FAD">
        <w:rPr>
          <w:b/>
          <w:bCs/>
          <w:lang w:val="en-US"/>
        </w:rPr>
        <w:t>19:</w:t>
      </w:r>
      <w:r>
        <w:rPr>
          <w:bCs/>
          <w:lang w:val="en-US"/>
        </w:rPr>
        <w:t xml:space="preserve"> </w:t>
      </w:r>
      <w:r w:rsidRPr="00A85FAD">
        <w:rPr>
          <w:bCs/>
          <w:lang w:val="en-US"/>
        </w:rPr>
        <w:t>63–73.</w:t>
      </w:r>
    </w:p>
    <w:p w:rsidR="00AC5FE9" w:rsidRPr="00361F8E" w:rsidRDefault="00AC5FE9" w:rsidP="00773890">
      <w:pPr>
        <w:jc w:val="both"/>
        <w:rPr>
          <w:bCs/>
          <w:lang w:val="en-US"/>
        </w:rPr>
      </w:pPr>
      <w:r w:rsidRPr="00A85FAD">
        <w:rPr>
          <w:b/>
          <w:bCs/>
          <w:lang w:val="en-US"/>
        </w:rPr>
        <w:t xml:space="preserve">Wang, W., Zhang, Y., Wen, Y., Berkey, R., Ma, X., Pan, Z., Bendigeri, D., King, H., Zhang, Q., and Xiao, S. </w:t>
      </w:r>
      <w:r w:rsidRPr="00A85FAD">
        <w:rPr>
          <w:bCs/>
          <w:lang w:val="en-US"/>
        </w:rPr>
        <w:t>(2013).</w:t>
      </w:r>
      <w:r w:rsidR="00361F8E" w:rsidRPr="00A85FAD">
        <w:rPr>
          <w:rFonts w:ascii="AdvOTc4738bdb.B" w:hAnsi="AdvOTc4738bdb.B" w:cs="AdvOTc4738bdb.B"/>
          <w:sz w:val="34"/>
          <w:szCs w:val="34"/>
          <w:lang w:val="en-US"/>
        </w:rPr>
        <w:t xml:space="preserve"> </w:t>
      </w:r>
      <w:r w:rsidR="00361F8E" w:rsidRPr="00361F8E">
        <w:rPr>
          <w:bCs/>
          <w:lang w:val="en-US"/>
        </w:rPr>
        <w:t xml:space="preserve">A Comprehensive Mutational Analysis of the </w:t>
      </w:r>
      <w:r w:rsidR="00361F8E">
        <w:rPr>
          <w:bCs/>
          <w:lang w:val="en-US"/>
        </w:rPr>
        <w:t xml:space="preserve">Arabidopsis </w:t>
      </w:r>
      <w:r w:rsidR="00361F8E" w:rsidRPr="00361F8E">
        <w:rPr>
          <w:bCs/>
          <w:lang w:val="en-US"/>
        </w:rPr>
        <w:t>Resistance Protein RPW8.2 Reveals Key Amino Acids for</w:t>
      </w:r>
      <w:r w:rsidR="00361F8E">
        <w:rPr>
          <w:bCs/>
          <w:lang w:val="en-US"/>
        </w:rPr>
        <w:t xml:space="preserve"> </w:t>
      </w:r>
      <w:r w:rsidR="00361F8E" w:rsidRPr="00361F8E">
        <w:rPr>
          <w:bCs/>
          <w:lang w:val="en-US"/>
        </w:rPr>
        <w:t>Defense Activation and Protein Targeting</w:t>
      </w:r>
      <w:r w:rsidR="00361F8E">
        <w:rPr>
          <w:bCs/>
          <w:lang w:val="en-US"/>
        </w:rPr>
        <w:t>.</w:t>
      </w:r>
      <w:r w:rsidR="00361F8E" w:rsidRPr="00361F8E">
        <w:rPr>
          <w:rFonts w:ascii="AdvPSA183" w:hAnsi="AdvPSA183" w:cs="AdvPSA183"/>
          <w:sz w:val="16"/>
          <w:szCs w:val="16"/>
          <w:lang w:val="en-US"/>
        </w:rPr>
        <w:t xml:space="preserve"> </w:t>
      </w:r>
      <w:r w:rsidR="00361F8E">
        <w:rPr>
          <w:bCs/>
          <w:lang w:val="en-US"/>
        </w:rPr>
        <w:t>The Plant Cell</w:t>
      </w:r>
      <w:r w:rsidR="00361F8E" w:rsidRPr="00361F8E">
        <w:rPr>
          <w:bCs/>
          <w:lang w:val="en-US"/>
        </w:rPr>
        <w:t xml:space="preserve"> 25</w:t>
      </w:r>
      <w:r w:rsidR="00361F8E" w:rsidRPr="00361F8E">
        <w:rPr>
          <w:b/>
          <w:bCs/>
          <w:lang w:val="en-US"/>
        </w:rPr>
        <w:t>:</w:t>
      </w:r>
      <w:r w:rsidR="00361F8E" w:rsidRPr="00361F8E">
        <w:rPr>
          <w:bCs/>
          <w:lang w:val="en-US"/>
        </w:rPr>
        <w:t xml:space="preserve"> 4242–4261.</w:t>
      </w:r>
      <w:r w:rsidR="00361F8E">
        <w:rPr>
          <w:bCs/>
          <w:lang w:val="en-US"/>
        </w:rPr>
        <w:t xml:space="preserve"> </w:t>
      </w:r>
    </w:p>
    <w:p w:rsidR="005C45F6" w:rsidRPr="005C45F6" w:rsidRDefault="005C45F6" w:rsidP="00773890">
      <w:pPr>
        <w:jc w:val="both"/>
        <w:rPr>
          <w:bCs/>
          <w:lang w:val="en-US"/>
        </w:rPr>
      </w:pPr>
      <w:r w:rsidRPr="00AC5FE9">
        <w:rPr>
          <w:b/>
          <w:bCs/>
          <w:lang w:val="en-US"/>
        </w:rPr>
        <w:t>Wang, X., Sager, R., Cui, W., Zhang, C., Lu, H., and Lee, J.-Y.</w:t>
      </w:r>
      <w:r w:rsidR="000C01F4" w:rsidRPr="00AC5FE9">
        <w:rPr>
          <w:bCs/>
          <w:lang w:val="en-US"/>
        </w:rPr>
        <w:t xml:space="preserve"> </w:t>
      </w:r>
      <w:proofErr w:type="gramStart"/>
      <w:r w:rsidR="000C01F4" w:rsidRPr="00AC5FE9">
        <w:rPr>
          <w:bCs/>
          <w:lang w:val="en-US"/>
        </w:rPr>
        <w:t>(2013</w:t>
      </w:r>
      <w:r w:rsidR="00580447">
        <w:rPr>
          <w:bCs/>
          <w:lang w:val="en-US"/>
        </w:rPr>
        <w:t xml:space="preserve"> b</w:t>
      </w:r>
      <w:r w:rsidRPr="00AC5FE9">
        <w:rPr>
          <w:bCs/>
          <w:lang w:val="en-US"/>
        </w:rPr>
        <w:t>).</w:t>
      </w:r>
      <w:proofErr w:type="gramEnd"/>
      <w:r w:rsidRPr="00AC5FE9">
        <w:rPr>
          <w:bCs/>
          <w:lang w:val="en-US"/>
        </w:rPr>
        <w:t xml:space="preserve"> </w:t>
      </w:r>
      <w:r w:rsidRPr="005C45F6">
        <w:rPr>
          <w:bCs/>
          <w:lang w:val="en-US"/>
        </w:rPr>
        <w:t xml:space="preserve">Salicylic Acid Regulates Plasmodesmata Closure during Innate Immune Responses in </w:t>
      </w:r>
      <w:r w:rsidRPr="005C45F6">
        <w:rPr>
          <w:bCs/>
          <w:i/>
          <w:lang w:val="en-US"/>
        </w:rPr>
        <w:t>Arabidopsis</w:t>
      </w:r>
      <w:r w:rsidRPr="005C45F6">
        <w:rPr>
          <w:bCs/>
          <w:lang w:val="en-US"/>
        </w:rPr>
        <w:t xml:space="preserve">. Plant Cell </w:t>
      </w:r>
      <w:r w:rsidRPr="005C45F6">
        <w:rPr>
          <w:b/>
          <w:bCs/>
          <w:lang w:val="en-US"/>
        </w:rPr>
        <w:t>25</w:t>
      </w:r>
      <w:r w:rsidRPr="00956C38">
        <w:rPr>
          <w:b/>
          <w:bCs/>
          <w:lang w:val="en-US"/>
        </w:rPr>
        <w:t>:</w:t>
      </w:r>
      <w:r w:rsidRPr="005C45F6">
        <w:rPr>
          <w:bCs/>
          <w:lang w:val="en-US"/>
        </w:rPr>
        <w:t xml:space="preserve"> 2315-29.</w:t>
      </w:r>
    </w:p>
    <w:p w:rsidR="005C45F6" w:rsidRPr="005C45F6" w:rsidRDefault="005C45F6" w:rsidP="00773890">
      <w:pPr>
        <w:jc w:val="both"/>
        <w:rPr>
          <w:bCs/>
        </w:rPr>
      </w:pPr>
      <w:proofErr w:type="gramStart"/>
      <w:r w:rsidRPr="005C45F6">
        <w:rPr>
          <w:b/>
          <w:bCs/>
        </w:rPr>
        <w:t>Watanabe, M., Maemura, K., Kanbara, K., Tamayama, T., and Hasayaki, H.</w:t>
      </w:r>
      <w:r w:rsidRPr="005C45F6">
        <w:rPr>
          <w:bCs/>
        </w:rPr>
        <w:t xml:space="preserve"> (2002).</w:t>
      </w:r>
      <w:proofErr w:type="gramEnd"/>
      <w:r w:rsidRPr="005C45F6">
        <w:rPr>
          <w:bCs/>
        </w:rPr>
        <w:t xml:space="preserve"> </w:t>
      </w:r>
      <w:proofErr w:type="gramStart"/>
      <w:r w:rsidRPr="005C45F6">
        <w:rPr>
          <w:bCs/>
        </w:rPr>
        <w:t>GABA and GABA Receptors in the Central Nervous System and Other Organs.</w:t>
      </w:r>
      <w:proofErr w:type="gramEnd"/>
      <w:r w:rsidRPr="005C45F6">
        <w:rPr>
          <w:bCs/>
        </w:rPr>
        <w:t xml:space="preserve"> International Review of Cytology </w:t>
      </w:r>
      <w:r w:rsidRPr="005C45F6">
        <w:rPr>
          <w:b/>
          <w:bCs/>
        </w:rPr>
        <w:t>213</w:t>
      </w:r>
      <w:r w:rsidRPr="00956C38">
        <w:rPr>
          <w:b/>
          <w:bCs/>
        </w:rPr>
        <w:t>:</w:t>
      </w:r>
      <w:r w:rsidRPr="005C45F6">
        <w:rPr>
          <w:bCs/>
        </w:rPr>
        <w:t xml:space="preserve"> 1-47.</w:t>
      </w:r>
    </w:p>
    <w:p w:rsidR="005C45F6" w:rsidRPr="005C45F6" w:rsidRDefault="005C45F6" w:rsidP="00773890">
      <w:pPr>
        <w:jc w:val="both"/>
        <w:rPr>
          <w:bCs/>
        </w:rPr>
      </w:pPr>
      <w:r w:rsidRPr="005C45F6">
        <w:rPr>
          <w:b/>
          <w:bCs/>
        </w:rPr>
        <w:t>Weiberg, A., Wang, M., Lin, F.-M., Zhao, H., Zhang, Z., Kaloshian, I., Huang, H.-D., and Jin, H.</w:t>
      </w:r>
      <w:r w:rsidRPr="005C45F6">
        <w:rPr>
          <w:bCs/>
        </w:rPr>
        <w:t xml:space="preserve"> (2013) Fungal Small RNAs Suppress Plant Immunity by Hijacking Host RNA Interference Pathways. Science </w:t>
      </w:r>
      <w:r w:rsidRPr="005C45F6">
        <w:rPr>
          <w:b/>
          <w:bCs/>
        </w:rPr>
        <w:t>342</w:t>
      </w:r>
      <w:r w:rsidRPr="00956C38">
        <w:rPr>
          <w:b/>
          <w:bCs/>
        </w:rPr>
        <w:t>:</w:t>
      </w:r>
      <w:r w:rsidRPr="005C45F6">
        <w:rPr>
          <w:bCs/>
        </w:rPr>
        <w:t xml:space="preserve"> 118-123.</w:t>
      </w:r>
    </w:p>
    <w:p w:rsidR="005C45F6" w:rsidRDefault="005C45F6" w:rsidP="00773890">
      <w:pPr>
        <w:jc w:val="both"/>
        <w:rPr>
          <w:bCs/>
          <w:lang w:val="en-US"/>
        </w:rPr>
      </w:pPr>
      <w:proofErr w:type="gramStart"/>
      <w:r w:rsidRPr="005C45F6">
        <w:rPr>
          <w:b/>
          <w:bCs/>
        </w:rPr>
        <w:t>Weßling, R. and Panstruga, R.</w:t>
      </w:r>
      <w:r w:rsidRPr="005C45F6">
        <w:rPr>
          <w:bCs/>
        </w:rPr>
        <w:t xml:space="preserve"> (2012).</w:t>
      </w:r>
      <w:proofErr w:type="gramEnd"/>
      <w:r w:rsidRPr="005C45F6">
        <w:rPr>
          <w:bCs/>
        </w:rPr>
        <w:t xml:space="preserve"> </w:t>
      </w:r>
      <w:proofErr w:type="gramStart"/>
      <w:r w:rsidRPr="005C45F6">
        <w:rPr>
          <w:bCs/>
          <w:lang w:val="en-US"/>
        </w:rPr>
        <w:t>Rapid quantification of plant-powdery mildew interactions by qPCR and conidiospore counts.</w:t>
      </w:r>
      <w:proofErr w:type="gramEnd"/>
      <w:r w:rsidRPr="005C45F6">
        <w:rPr>
          <w:bCs/>
          <w:lang w:val="en-US"/>
        </w:rPr>
        <w:t xml:space="preserve"> Plant Methods </w:t>
      </w:r>
      <w:r w:rsidRPr="005C45F6">
        <w:rPr>
          <w:b/>
          <w:bCs/>
          <w:lang w:val="en-US"/>
        </w:rPr>
        <w:t>8</w:t>
      </w:r>
      <w:r w:rsidRPr="00956C38">
        <w:rPr>
          <w:b/>
          <w:bCs/>
          <w:lang w:val="en-US"/>
        </w:rPr>
        <w:t>:</w:t>
      </w:r>
      <w:r w:rsidRPr="005C45F6">
        <w:rPr>
          <w:bCs/>
          <w:lang w:val="en-US"/>
        </w:rPr>
        <w:t xml:space="preserve"> 2-10.</w:t>
      </w:r>
    </w:p>
    <w:p w:rsidR="00D776FC" w:rsidRPr="005C45F6" w:rsidRDefault="00D776FC" w:rsidP="00773890">
      <w:pPr>
        <w:jc w:val="both"/>
        <w:rPr>
          <w:bCs/>
          <w:lang w:val="en-US"/>
        </w:rPr>
      </w:pPr>
      <w:r w:rsidRPr="00D776FC">
        <w:rPr>
          <w:b/>
          <w:bCs/>
          <w:lang w:val="en-US"/>
        </w:rPr>
        <w:t>Widmann, C., Gibson, S., Jarpe, M.B., and Johnson, G.L.</w:t>
      </w:r>
      <w:r w:rsidRPr="00D776FC">
        <w:rPr>
          <w:bCs/>
          <w:lang w:val="en-US"/>
        </w:rPr>
        <w:t xml:space="preserve"> </w:t>
      </w:r>
      <w:r>
        <w:rPr>
          <w:bCs/>
          <w:lang w:val="en-US"/>
        </w:rPr>
        <w:t>(</w:t>
      </w:r>
      <w:r w:rsidRPr="00D776FC">
        <w:rPr>
          <w:bCs/>
          <w:lang w:val="en-US"/>
        </w:rPr>
        <w:t>1999</w:t>
      </w:r>
      <w:r>
        <w:rPr>
          <w:bCs/>
          <w:lang w:val="en-US"/>
        </w:rPr>
        <w:t>)</w:t>
      </w:r>
      <w:r w:rsidRPr="00D776FC">
        <w:rPr>
          <w:bCs/>
          <w:lang w:val="en-US"/>
        </w:rPr>
        <w:t>. Mitogen-activat</w:t>
      </w:r>
      <w:r>
        <w:rPr>
          <w:bCs/>
          <w:lang w:val="en-US"/>
        </w:rPr>
        <w:t xml:space="preserve">ed protein kinase: conservation </w:t>
      </w:r>
      <w:r w:rsidRPr="00D776FC">
        <w:rPr>
          <w:bCs/>
          <w:lang w:val="en-US"/>
        </w:rPr>
        <w:t xml:space="preserve">of a three-kinase module from yeast to human. </w:t>
      </w:r>
      <w:proofErr w:type="gramStart"/>
      <w:r w:rsidRPr="00D776FC">
        <w:rPr>
          <w:bCs/>
          <w:lang w:val="en-US"/>
        </w:rPr>
        <w:t xml:space="preserve">Physiol. Rev. </w:t>
      </w:r>
      <w:r w:rsidRPr="00D776FC">
        <w:rPr>
          <w:b/>
          <w:bCs/>
          <w:lang w:val="en-US"/>
        </w:rPr>
        <w:t>79:</w:t>
      </w:r>
      <w:r>
        <w:rPr>
          <w:bCs/>
          <w:lang w:val="en-US"/>
        </w:rPr>
        <w:t xml:space="preserve"> </w:t>
      </w:r>
      <w:r w:rsidRPr="00D776FC">
        <w:rPr>
          <w:bCs/>
          <w:lang w:val="en-US"/>
        </w:rPr>
        <w:t>143–80</w:t>
      </w:r>
      <w:r>
        <w:rPr>
          <w:bCs/>
          <w:lang w:val="en-US"/>
        </w:rPr>
        <w:t>.</w:t>
      </w:r>
      <w:proofErr w:type="gramEnd"/>
    </w:p>
    <w:p w:rsidR="005C45F6" w:rsidRPr="00B468EC" w:rsidRDefault="005C45F6" w:rsidP="00773890">
      <w:pPr>
        <w:jc w:val="both"/>
        <w:rPr>
          <w:lang w:val="en-US"/>
        </w:rPr>
      </w:pPr>
      <w:proofErr w:type="gramStart"/>
      <w:r w:rsidRPr="005C45F6">
        <w:rPr>
          <w:b/>
        </w:rPr>
        <w:t>Wildermuth, M.C., Dewdney, J., Wu, G. and Ausubel, F.M</w:t>
      </w:r>
      <w:r w:rsidRPr="00956C38">
        <w:rPr>
          <w:b/>
        </w:rPr>
        <w:t xml:space="preserve">. </w:t>
      </w:r>
      <w:r w:rsidRPr="005C45F6">
        <w:t>(2001).</w:t>
      </w:r>
      <w:proofErr w:type="gramEnd"/>
      <w:r w:rsidRPr="005C45F6">
        <w:t xml:space="preserve">  </w:t>
      </w:r>
      <w:r w:rsidR="00956C38">
        <w:rPr>
          <w:lang w:val="en-US"/>
        </w:rPr>
        <w:t xml:space="preserve">Isochorismate synthase is </w:t>
      </w:r>
      <w:r w:rsidRPr="005C45F6">
        <w:rPr>
          <w:lang w:val="en-US"/>
        </w:rPr>
        <w:t xml:space="preserve">required to synthesize salicylic acid for plant defence. </w:t>
      </w:r>
      <w:r w:rsidRPr="005C45F6">
        <w:t xml:space="preserve">Nature </w:t>
      </w:r>
      <w:r w:rsidRPr="005C45F6">
        <w:rPr>
          <w:b/>
        </w:rPr>
        <w:t>414</w:t>
      </w:r>
      <w:r w:rsidRPr="00956C38">
        <w:rPr>
          <w:b/>
        </w:rPr>
        <w:t>:</w:t>
      </w:r>
      <w:r w:rsidRPr="005C45F6">
        <w:t xml:space="preserve"> 562-565.</w:t>
      </w:r>
    </w:p>
    <w:p w:rsidR="005C45F6" w:rsidRDefault="005C45F6" w:rsidP="00773890">
      <w:pPr>
        <w:jc w:val="both"/>
      </w:pPr>
      <w:r w:rsidRPr="005C45F6">
        <w:rPr>
          <w:b/>
        </w:rPr>
        <w:t>Win, J., Morgan, W., Bos, J., Krasileva, K.V., Cano, L.M., Chaparro-Garcia, A., Ammar, R., Staskawicz, B.J., and Kamoun, S.</w:t>
      </w:r>
      <w:r w:rsidRPr="005C45F6">
        <w:t xml:space="preserve"> (2007). Adaptive Evolution Has Ta</w:t>
      </w:r>
      <w:r w:rsidR="004241A5">
        <w:t xml:space="preserve">rgeted the C-Terminal Domain of </w:t>
      </w:r>
      <w:r w:rsidRPr="005C45F6">
        <w:t xml:space="preserve">the RXLR Effectors of Plant Pathogenic Oomycetes. The Plant Cell </w:t>
      </w:r>
      <w:r w:rsidRPr="005C45F6">
        <w:rPr>
          <w:b/>
        </w:rPr>
        <w:t>19</w:t>
      </w:r>
      <w:r w:rsidRPr="004241A5">
        <w:rPr>
          <w:b/>
        </w:rPr>
        <w:t>:</w:t>
      </w:r>
      <w:r w:rsidRPr="005C45F6">
        <w:t xml:space="preserve"> 2349–2369.</w:t>
      </w:r>
    </w:p>
    <w:p w:rsidR="00B468EC" w:rsidRPr="005C45F6" w:rsidRDefault="00B468EC" w:rsidP="00773890">
      <w:pPr>
        <w:jc w:val="both"/>
      </w:pPr>
      <w:proofErr w:type="gramStart"/>
      <w:r w:rsidRPr="00B468EC">
        <w:rPr>
          <w:b/>
        </w:rPr>
        <w:t>Wu, Y., Zhang, D., Chu, J.Y., Boyle, P., Wang, Y., Brindle, I.D., De Luca, V., and Després, C.</w:t>
      </w:r>
      <w:r w:rsidRPr="00B468EC">
        <w:t xml:space="preserve"> (2012).</w:t>
      </w:r>
      <w:proofErr w:type="gramEnd"/>
      <w:r w:rsidRPr="00B468EC">
        <w:t xml:space="preserve"> The </w:t>
      </w:r>
      <w:r w:rsidRPr="00B468EC">
        <w:rPr>
          <w:i/>
        </w:rPr>
        <w:t>Arabidopsis</w:t>
      </w:r>
      <w:r w:rsidRPr="00B468EC">
        <w:t xml:space="preserve"> NPR1 Protein Is a Receptor for the Plant Defense Hormone Salicylic Acid. Cell Reports </w:t>
      </w:r>
      <w:r w:rsidRPr="00B468EC">
        <w:rPr>
          <w:b/>
        </w:rPr>
        <w:t>1:</w:t>
      </w:r>
      <w:r w:rsidRPr="00B468EC">
        <w:t xml:space="preserve"> 639–647.</w:t>
      </w:r>
    </w:p>
    <w:p w:rsidR="005C45F6" w:rsidRPr="005C45F6" w:rsidRDefault="005C45F6" w:rsidP="00773890">
      <w:pPr>
        <w:jc w:val="both"/>
        <w:rPr>
          <w:bCs/>
        </w:rPr>
      </w:pPr>
      <w:r w:rsidRPr="005C45F6">
        <w:rPr>
          <w:b/>
          <w:bCs/>
        </w:rPr>
        <w:t xml:space="preserve">Xiao, S., Brown, S., Patrick, E., Brearley, C., and Turner, J.G. </w:t>
      </w:r>
      <w:r w:rsidRPr="005C45F6">
        <w:rPr>
          <w:bCs/>
        </w:rPr>
        <w:t xml:space="preserve">(2003). Enhanced Transcription of the Arabidopsis Disease Resistance Genes </w:t>
      </w:r>
      <w:r w:rsidRPr="005C45F6">
        <w:rPr>
          <w:bCs/>
          <w:i/>
          <w:iCs/>
        </w:rPr>
        <w:t>RPW8.1</w:t>
      </w:r>
      <w:r w:rsidRPr="005C45F6">
        <w:rPr>
          <w:bCs/>
        </w:rPr>
        <w:t xml:space="preserve"> and </w:t>
      </w:r>
      <w:r w:rsidRPr="005C45F6">
        <w:rPr>
          <w:bCs/>
          <w:i/>
          <w:iCs/>
        </w:rPr>
        <w:t>RPW8.2</w:t>
      </w:r>
      <w:r w:rsidRPr="005C45F6">
        <w:rPr>
          <w:bCs/>
        </w:rPr>
        <w:t xml:space="preserve"> via a Salicylic Acid–Dependent Amplification Circuit Is Required for Hypersensitive Cell Death.</w:t>
      </w:r>
      <w:r w:rsidRPr="005C45F6">
        <w:t xml:space="preserve"> </w:t>
      </w:r>
      <w:r w:rsidRPr="005C45F6">
        <w:rPr>
          <w:bCs/>
        </w:rPr>
        <w:t xml:space="preserve">The Plant Cell </w:t>
      </w:r>
      <w:r w:rsidRPr="005C45F6">
        <w:rPr>
          <w:b/>
          <w:bCs/>
        </w:rPr>
        <w:t>15</w:t>
      </w:r>
      <w:r w:rsidRPr="004241A5">
        <w:rPr>
          <w:b/>
          <w:bCs/>
        </w:rPr>
        <w:t>:</w:t>
      </w:r>
      <w:r w:rsidRPr="005C45F6">
        <w:rPr>
          <w:bCs/>
        </w:rPr>
        <w:t xml:space="preserve"> 33–45.</w:t>
      </w:r>
    </w:p>
    <w:p w:rsidR="005C45F6" w:rsidRPr="005C45F6" w:rsidRDefault="005C45F6" w:rsidP="00773890">
      <w:pPr>
        <w:jc w:val="both"/>
        <w:rPr>
          <w:bCs/>
          <w:lang w:val="en-US"/>
        </w:rPr>
      </w:pPr>
      <w:proofErr w:type="gramStart"/>
      <w:r w:rsidRPr="005C45F6">
        <w:rPr>
          <w:b/>
          <w:bCs/>
          <w:lang w:val="en-US"/>
        </w:rPr>
        <w:t xml:space="preserve">Xiao, S., Calis, O., Patrick, E., Zhang, G., Charoenwattana, P., Muskett, P., Parker, J.E., and Turner, J.G. </w:t>
      </w:r>
      <w:r w:rsidRPr="005C45F6">
        <w:rPr>
          <w:bCs/>
          <w:lang w:val="en-US"/>
        </w:rPr>
        <w:t>(2005).</w:t>
      </w:r>
      <w:proofErr w:type="gramEnd"/>
      <w:r w:rsidRPr="005C45F6">
        <w:rPr>
          <w:bCs/>
          <w:lang w:val="en-US"/>
        </w:rPr>
        <w:t xml:space="preserve"> The atypical resistance gene, </w:t>
      </w:r>
      <w:r w:rsidRPr="005C45F6">
        <w:rPr>
          <w:bCs/>
          <w:i/>
          <w:lang w:val="en-US"/>
        </w:rPr>
        <w:t>RPW8</w:t>
      </w:r>
      <w:r w:rsidRPr="005C45F6">
        <w:rPr>
          <w:bCs/>
          <w:lang w:val="en-US"/>
        </w:rPr>
        <w:t xml:space="preserve">, recruits components of basal defence for powdery mildew resistance in Arabidopsis. The Plant Journal </w:t>
      </w:r>
      <w:r w:rsidRPr="005C45F6">
        <w:rPr>
          <w:b/>
          <w:bCs/>
          <w:lang w:val="en-US"/>
        </w:rPr>
        <w:t>42</w:t>
      </w:r>
      <w:r w:rsidRPr="004241A5">
        <w:rPr>
          <w:b/>
          <w:bCs/>
          <w:lang w:val="en-US"/>
        </w:rPr>
        <w:t>:</w:t>
      </w:r>
      <w:r w:rsidRPr="005C45F6">
        <w:rPr>
          <w:bCs/>
          <w:lang w:val="en-US"/>
        </w:rPr>
        <w:t xml:space="preserve"> 95–110.</w:t>
      </w:r>
    </w:p>
    <w:p w:rsidR="005C45F6" w:rsidRDefault="005C45F6" w:rsidP="00773890">
      <w:pPr>
        <w:jc w:val="both"/>
        <w:rPr>
          <w:bCs/>
          <w:lang w:val="en-US"/>
        </w:rPr>
      </w:pPr>
      <w:r w:rsidRPr="005C45F6">
        <w:rPr>
          <w:b/>
          <w:bCs/>
          <w:lang w:val="en-US"/>
        </w:rPr>
        <w:t xml:space="preserve">Yan, J., Zhang, C., </w:t>
      </w:r>
      <w:proofErr w:type="gramStart"/>
      <w:r w:rsidRPr="005C45F6">
        <w:rPr>
          <w:b/>
          <w:bCs/>
          <w:lang w:val="en-US"/>
        </w:rPr>
        <w:t>Gu</w:t>
      </w:r>
      <w:proofErr w:type="gramEnd"/>
      <w:r w:rsidRPr="005C45F6">
        <w:rPr>
          <w:b/>
          <w:bCs/>
          <w:lang w:val="en-US"/>
        </w:rPr>
        <w:t>, M., Bai, Z., Zhang, W., Qi, T., Cheng, Z., Peng, W., Luo, H., Nan, F., Wang, Z., and Xie, D.</w:t>
      </w:r>
      <w:r w:rsidRPr="005C45F6">
        <w:rPr>
          <w:bCs/>
          <w:lang w:val="en-US"/>
        </w:rPr>
        <w:t xml:space="preserve"> (2009).</w:t>
      </w:r>
      <w:r w:rsidRPr="005C45F6">
        <w:t xml:space="preserve"> </w:t>
      </w:r>
      <w:r w:rsidRPr="005C45F6">
        <w:rPr>
          <w:bCs/>
          <w:lang w:val="en-US"/>
        </w:rPr>
        <w:t xml:space="preserve">The </w:t>
      </w:r>
      <w:r w:rsidRPr="005C45F6">
        <w:rPr>
          <w:bCs/>
          <w:i/>
          <w:lang w:val="en-US"/>
        </w:rPr>
        <w:t>Arabidopsis</w:t>
      </w:r>
      <w:r w:rsidRPr="005C45F6">
        <w:rPr>
          <w:bCs/>
          <w:lang w:val="en-US"/>
        </w:rPr>
        <w:t xml:space="preserve"> CORONATINE INSENSITIVE1 Protein Is a Jasmonate Receptor.  The Plant Cell </w:t>
      </w:r>
      <w:r w:rsidRPr="005C45F6">
        <w:rPr>
          <w:b/>
          <w:bCs/>
          <w:lang w:val="en-US"/>
        </w:rPr>
        <w:t>21</w:t>
      </w:r>
      <w:r w:rsidRPr="004241A5">
        <w:rPr>
          <w:b/>
          <w:bCs/>
          <w:lang w:val="en-US"/>
        </w:rPr>
        <w:t>:</w:t>
      </w:r>
      <w:r w:rsidRPr="005C45F6">
        <w:rPr>
          <w:bCs/>
          <w:lang w:val="en-US"/>
        </w:rPr>
        <w:t xml:space="preserve"> 2220–2236.</w:t>
      </w:r>
    </w:p>
    <w:p w:rsidR="00EC1F11" w:rsidRPr="005C45F6" w:rsidRDefault="00EC1F11" w:rsidP="00773890">
      <w:pPr>
        <w:jc w:val="both"/>
        <w:rPr>
          <w:bCs/>
          <w:lang w:val="en-US"/>
        </w:rPr>
      </w:pPr>
      <w:proofErr w:type="gramStart"/>
      <w:r w:rsidRPr="00EC1F11">
        <w:rPr>
          <w:b/>
          <w:bCs/>
          <w:lang w:val="en-US"/>
        </w:rPr>
        <w:lastRenderedPageBreak/>
        <w:t>Yan, S. and Dong, X.</w:t>
      </w:r>
      <w:r>
        <w:rPr>
          <w:bCs/>
          <w:lang w:val="en-US"/>
        </w:rPr>
        <w:t xml:space="preserve"> (2014).</w:t>
      </w:r>
      <w:proofErr w:type="gramEnd"/>
      <w:r>
        <w:rPr>
          <w:bCs/>
          <w:lang w:val="en-US"/>
        </w:rPr>
        <w:t xml:space="preserve"> </w:t>
      </w:r>
      <w:proofErr w:type="gramStart"/>
      <w:r w:rsidRPr="00EC1F11">
        <w:rPr>
          <w:bCs/>
          <w:lang w:val="en-US"/>
        </w:rPr>
        <w:t>Perception of the plant immune signal salicylic acid</w:t>
      </w:r>
      <w:r>
        <w:rPr>
          <w:bCs/>
          <w:lang w:val="en-US"/>
        </w:rPr>
        <w:t>.</w:t>
      </w:r>
      <w:proofErr w:type="gramEnd"/>
      <w:r>
        <w:rPr>
          <w:bCs/>
          <w:lang w:val="en-US"/>
        </w:rPr>
        <w:t xml:space="preserve"> </w:t>
      </w:r>
      <w:r w:rsidRPr="00EC1F11">
        <w:rPr>
          <w:bCs/>
          <w:lang w:val="en-US"/>
        </w:rPr>
        <w:t>Curren</w:t>
      </w:r>
      <w:r>
        <w:rPr>
          <w:bCs/>
          <w:lang w:val="en-US"/>
        </w:rPr>
        <w:t>t Opinion in Plant Biology</w:t>
      </w:r>
      <w:r w:rsidRPr="00EC1F11">
        <w:rPr>
          <w:bCs/>
          <w:lang w:val="en-US"/>
        </w:rPr>
        <w:t xml:space="preserve"> </w:t>
      </w:r>
      <w:r w:rsidRPr="00EC1F11">
        <w:rPr>
          <w:b/>
          <w:bCs/>
          <w:lang w:val="en-US"/>
        </w:rPr>
        <w:t>20:</w:t>
      </w:r>
      <w:r>
        <w:rPr>
          <w:bCs/>
          <w:lang w:val="en-US"/>
        </w:rPr>
        <w:t xml:space="preserve"> </w:t>
      </w:r>
      <w:r w:rsidRPr="00EC1F11">
        <w:rPr>
          <w:bCs/>
          <w:lang w:val="en-US"/>
        </w:rPr>
        <w:t>64–68</w:t>
      </w:r>
      <w:r>
        <w:rPr>
          <w:bCs/>
          <w:lang w:val="en-US"/>
        </w:rPr>
        <w:t>.</w:t>
      </w:r>
    </w:p>
    <w:p w:rsidR="005C45F6" w:rsidRDefault="005C45F6" w:rsidP="00773890">
      <w:pPr>
        <w:jc w:val="both"/>
        <w:rPr>
          <w:bCs/>
          <w:iCs/>
        </w:rPr>
      </w:pPr>
      <w:proofErr w:type="gramStart"/>
      <w:r w:rsidRPr="005C45F6">
        <w:rPr>
          <w:b/>
        </w:rPr>
        <w:t>Zeier, J.</w:t>
      </w:r>
      <w:r w:rsidRPr="005C45F6">
        <w:t xml:space="preserve"> (2013).</w:t>
      </w:r>
      <w:proofErr w:type="gramEnd"/>
      <w:r w:rsidRPr="005C45F6">
        <w:t xml:space="preserve"> </w:t>
      </w:r>
      <w:proofErr w:type="gramStart"/>
      <w:r w:rsidRPr="005C45F6">
        <w:rPr>
          <w:bCs/>
        </w:rPr>
        <w:t>New insights into the regulation of plant immunity by amino acid metabolic pathways.</w:t>
      </w:r>
      <w:proofErr w:type="gramEnd"/>
      <w:r w:rsidRPr="005C45F6">
        <w:rPr>
          <w:bCs/>
        </w:rPr>
        <w:t xml:space="preserve"> </w:t>
      </w:r>
      <w:r w:rsidRPr="004241A5">
        <w:rPr>
          <w:bCs/>
          <w:iCs/>
        </w:rPr>
        <w:t>Plant, Cell and Environment</w:t>
      </w:r>
      <w:r w:rsidRPr="005C45F6">
        <w:rPr>
          <w:bCs/>
          <w:i/>
          <w:iCs/>
        </w:rPr>
        <w:t xml:space="preserve"> </w:t>
      </w:r>
      <w:r w:rsidRPr="005C45F6">
        <w:rPr>
          <w:b/>
          <w:bCs/>
          <w:iCs/>
        </w:rPr>
        <w:t>36</w:t>
      </w:r>
      <w:r w:rsidRPr="004241A5">
        <w:rPr>
          <w:b/>
          <w:bCs/>
          <w:iCs/>
        </w:rPr>
        <w:t xml:space="preserve">: </w:t>
      </w:r>
      <w:r w:rsidRPr="005C45F6">
        <w:rPr>
          <w:bCs/>
          <w:iCs/>
        </w:rPr>
        <w:t>2085-2103.</w:t>
      </w:r>
    </w:p>
    <w:p w:rsidR="00C4339E" w:rsidRDefault="00C4339E" w:rsidP="00773890">
      <w:pPr>
        <w:jc w:val="both"/>
        <w:rPr>
          <w:bCs/>
          <w:iCs/>
        </w:rPr>
      </w:pPr>
      <w:proofErr w:type="gramStart"/>
      <w:r w:rsidRPr="00C4339E">
        <w:rPr>
          <w:b/>
          <w:bCs/>
          <w:iCs/>
        </w:rPr>
        <w:t>Zeng, W., Melotto, M., and He, S.Y.</w:t>
      </w:r>
      <w:r w:rsidRPr="00C4339E">
        <w:rPr>
          <w:bCs/>
          <w:iCs/>
        </w:rPr>
        <w:t xml:space="preserve"> </w:t>
      </w:r>
      <w:r>
        <w:rPr>
          <w:bCs/>
          <w:iCs/>
        </w:rPr>
        <w:t>(</w:t>
      </w:r>
      <w:r w:rsidRPr="00C4339E">
        <w:rPr>
          <w:bCs/>
          <w:iCs/>
        </w:rPr>
        <w:t>2010</w:t>
      </w:r>
      <w:r>
        <w:rPr>
          <w:bCs/>
          <w:iCs/>
        </w:rPr>
        <w:t>)</w:t>
      </w:r>
      <w:r w:rsidRPr="00C4339E">
        <w:rPr>
          <w:bCs/>
          <w:iCs/>
        </w:rPr>
        <w:t>.</w:t>
      </w:r>
      <w:proofErr w:type="gramEnd"/>
      <w:r w:rsidRPr="00C4339E">
        <w:rPr>
          <w:bCs/>
          <w:iCs/>
        </w:rPr>
        <w:t xml:space="preserve"> Plant stomata: a checkpoint of host immunity and pat</w:t>
      </w:r>
      <w:r>
        <w:rPr>
          <w:bCs/>
          <w:iCs/>
        </w:rPr>
        <w:t xml:space="preserve">hogen virulence. </w:t>
      </w:r>
      <w:proofErr w:type="gramStart"/>
      <w:r w:rsidRPr="00C4339E">
        <w:rPr>
          <w:bCs/>
          <w:iCs/>
        </w:rPr>
        <w:t>Curr.</w:t>
      </w:r>
      <w:proofErr w:type="gramEnd"/>
      <w:r w:rsidRPr="00C4339E">
        <w:rPr>
          <w:bCs/>
          <w:iCs/>
        </w:rPr>
        <w:t xml:space="preserve"> </w:t>
      </w:r>
      <w:proofErr w:type="gramStart"/>
      <w:r w:rsidRPr="00C4339E">
        <w:rPr>
          <w:bCs/>
          <w:iCs/>
        </w:rPr>
        <w:t>Opin.</w:t>
      </w:r>
      <w:proofErr w:type="gramEnd"/>
      <w:r w:rsidRPr="00C4339E">
        <w:rPr>
          <w:bCs/>
          <w:iCs/>
        </w:rPr>
        <w:t xml:space="preserve"> </w:t>
      </w:r>
      <w:proofErr w:type="gramStart"/>
      <w:r w:rsidRPr="00C4339E">
        <w:rPr>
          <w:bCs/>
          <w:iCs/>
        </w:rPr>
        <w:t>Biotechnol.</w:t>
      </w:r>
      <w:proofErr w:type="gramEnd"/>
      <w:r w:rsidRPr="00C4339E">
        <w:rPr>
          <w:bCs/>
          <w:iCs/>
        </w:rPr>
        <w:t xml:space="preserve"> </w:t>
      </w:r>
      <w:r w:rsidRPr="00C4339E">
        <w:rPr>
          <w:b/>
          <w:bCs/>
          <w:iCs/>
        </w:rPr>
        <w:t>21:</w:t>
      </w:r>
      <w:r>
        <w:rPr>
          <w:bCs/>
          <w:iCs/>
        </w:rPr>
        <w:t xml:space="preserve"> </w:t>
      </w:r>
      <w:r w:rsidRPr="00C4339E">
        <w:rPr>
          <w:bCs/>
          <w:iCs/>
        </w:rPr>
        <w:t>599–603</w:t>
      </w:r>
      <w:r>
        <w:rPr>
          <w:bCs/>
          <w:iCs/>
        </w:rPr>
        <w:t>.</w:t>
      </w:r>
    </w:p>
    <w:p w:rsidR="00357101" w:rsidRDefault="00357101" w:rsidP="00773890">
      <w:pPr>
        <w:jc w:val="both"/>
        <w:rPr>
          <w:bCs/>
          <w:iCs/>
        </w:rPr>
      </w:pPr>
      <w:proofErr w:type="gramStart"/>
      <w:r w:rsidRPr="00357101">
        <w:rPr>
          <w:b/>
          <w:bCs/>
          <w:iCs/>
        </w:rPr>
        <w:t xml:space="preserve">Zhang, Z., Li, Q., Li, Z., Staswick, P.E., Wang, M., Zhu, Y., and He, Z. </w:t>
      </w:r>
      <w:r w:rsidRPr="00357101">
        <w:rPr>
          <w:bCs/>
          <w:iCs/>
        </w:rPr>
        <w:t>(2007).</w:t>
      </w:r>
      <w:proofErr w:type="gramEnd"/>
      <w:r w:rsidRPr="00357101">
        <w:rPr>
          <w:bCs/>
          <w:iCs/>
        </w:rPr>
        <w:t xml:space="preserve"> </w:t>
      </w:r>
      <w:proofErr w:type="gramStart"/>
      <w:r w:rsidRPr="00357101">
        <w:rPr>
          <w:bCs/>
          <w:iCs/>
        </w:rPr>
        <w:t>Dual regulation role of GH3.5 in sal</w:t>
      </w:r>
      <w:r>
        <w:rPr>
          <w:bCs/>
          <w:iCs/>
        </w:rPr>
        <w:t xml:space="preserve">icylic acid and auxin signaling </w:t>
      </w:r>
      <w:r w:rsidRPr="00357101">
        <w:rPr>
          <w:bCs/>
          <w:iCs/>
        </w:rPr>
        <w:t xml:space="preserve">during </w:t>
      </w:r>
      <w:r w:rsidRPr="00357101">
        <w:rPr>
          <w:bCs/>
          <w:i/>
          <w:iCs/>
        </w:rPr>
        <w:t>Arabidopsis-Pseudomonas syringae</w:t>
      </w:r>
      <w:r w:rsidRPr="00357101">
        <w:rPr>
          <w:bCs/>
          <w:iCs/>
        </w:rPr>
        <w:t xml:space="preserve"> interaction.</w:t>
      </w:r>
      <w:proofErr w:type="gramEnd"/>
      <w:r w:rsidRPr="00357101">
        <w:rPr>
          <w:bCs/>
          <w:iCs/>
        </w:rPr>
        <w:t xml:space="preserve"> Plant</w:t>
      </w:r>
      <w:r>
        <w:rPr>
          <w:bCs/>
          <w:iCs/>
        </w:rPr>
        <w:t xml:space="preserve"> </w:t>
      </w:r>
      <w:r w:rsidRPr="00357101">
        <w:rPr>
          <w:bCs/>
          <w:iCs/>
        </w:rPr>
        <w:t xml:space="preserve">Physiol. </w:t>
      </w:r>
      <w:r w:rsidRPr="00357101">
        <w:rPr>
          <w:b/>
          <w:bCs/>
          <w:iCs/>
        </w:rPr>
        <w:t>145:</w:t>
      </w:r>
      <w:r w:rsidRPr="00357101">
        <w:rPr>
          <w:bCs/>
          <w:iCs/>
        </w:rPr>
        <w:t xml:space="preserve"> 450-464.</w:t>
      </w:r>
    </w:p>
    <w:p w:rsidR="001762F5" w:rsidRPr="005C45F6" w:rsidRDefault="001762F5" w:rsidP="00773890">
      <w:pPr>
        <w:jc w:val="both"/>
        <w:rPr>
          <w:bCs/>
          <w:iCs/>
        </w:rPr>
      </w:pPr>
      <w:proofErr w:type="gramStart"/>
      <w:r w:rsidRPr="001762F5">
        <w:rPr>
          <w:b/>
          <w:bCs/>
          <w:iCs/>
        </w:rPr>
        <w:t>Zhang, S.</w:t>
      </w:r>
      <w:r w:rsidRPr="001762F5">
        <w:rPr>
          <w:bCs/>
          <w:iCs/>
        </w:rPr>
        <w:t xml:space="preserve"> </w:t>
      </w:r>
      <w:r>
        <w:rPr>
          <w:bCs/>
          <w:iCs/>
        </w:rPr>
        <w:t>(</w:t>
      </w:r>
      <w:r w:rsidRPr="001762F5">
        <w:rPr>
          <w:bCs/>
          <w:iCs/>
        </w:rPr>
        <w:t>2008</w:t>
      </w:r>
      <w:r>
        <w:rPr>
          <w:bCs/>
          <w:iCs/>
        </w:rPr>
        <w:t>)</w:t>
      </w:r>
      <w:r w:rsidRPr="001762F5">
        <w:rPr>
          <w:bCs/>
          <w:iCs/>
        </w:rPr>
        <w:t>.</w:t>
      </w:r>
      <w:proofErr w:type="gramEnd"/>
      <w:r w:rsidRPr="001762F5">
        <w:rPr>
          <w:bCs/>
          <w:iCs/>
        </w:rPr>
        <w:t xml:space="preserve"> Mitogen-activated protein kinase cascades in plant intracell</w:t>
      </w:r>
      <w:r>
        <w:rPr>
          <w:bCs/>
          <w:iCs/>
        </w:rPr>
        <w:t xml:space="preserve">ular signaling. In Annual Plant </w:t>
      </w:r>
      <w:r w:rsidRPr="001762F5">
        <w:rPr>
          <w:bCs/>
          <w:iCs/>
        </w:rPr>
        <w:t xml:space="preserve">Reviews, </w:t>
      </w:r>
      <w:r w:rsidRPr="001762F5">
        <w:rPr>
          <w:b/>
          <w:bCs/>
          <w:iCs/>
        </w:rPr>
        <w:t>Vol. 33:</w:t>
      </w:r>
      <w:r w:rsidRPr="001762F5">
        <w:rPr>
          <w:bCs/>
          <w:iCs/>
        </w:rPr>
        <w:t xml:space="preserve"> Intracellular Signaling in Plants, ed. Z Yang, pp. 100–136. Oxford</w:t>
      </w:r>
      <w:proofErr w:type="gramStart"/>
      <w:r w:rsidRPr="001762F5">
        <w:rPr>
          <w:bCs/>
          <w:iCs/>
        </w:rPr>
        <w:t>:Wiley</w:t>
      </w:r>
      <w:proofErr w:type="gramEnd"/>
      <w:r w:rsidRPr="001762F5">
        <w:rPr>
          <w:bCs/>
          <w:iCs/>
        </w:rPr>
        <w:t>-Blackwell</w:t>
      </w:r>
      <w:r>
        <w:rPr>
          <w:bCs/>
          <w:iCs/>
        </w:rPr>
        <w:t>.</w:t>
      </w:r>
    </w:p>
    <w:p w:rsidR="005C45F6" w:rsidRDefault="005C45F6" w:rsidP="00773890">
      <w:pPr>
        <w:jc w:val="both"/>
        <w:rPr>
          <w:bCs/>
          <w:iCs/>
        </w:rPr>
      </w:pPr>
      <w:proofErr w:type="gramStart"/>
      <w:r w:rsidRPr="005C45F6">
        <w:rPr>
          <w:b/>
          <w:bCs/>
          <w:iCs/>
        </w:rPr>
        <w:t>Zhou, N., Tootle, T.L., and Glazebrook, J.</w:t>
      </w:r>
      <w:r w:rsidRPr="005C45F6">
        <w:rPr>
          <w:bCs/>
          <w:iCs/>
        </w:rPr>
        <w:t xml:space="preserve"> (1999).</w:t>
      </w:r>
      <w:proofErr w:type="gramEnd"/>
      <w:r w:rsidRPr="005C45F6">
        <w:t xml:space="preserve"> </w:t>
      </w:r>
      <w:r w:rsidRPr="005C45F6">
        <w:rPr>
          <w:bCs/>
          <w:iCs/>
        </w:rPr>
        <w:t xml:space="preserve">Arabidopsis </w:t>
      </w:r>
      <w:r w:rsidRPr="005C45F6">
        <w:rPr>
          <w:bCs/>
          <w:i/>
          <w:iCs/>
        </w:rPr>
        <w:t>PAD3</w:t>
      </w:r>
      <w:r w:rsidR="004241A5">
        <w:rPr>
          <w:bCs/>
          <w:iCs/>
        </w:rPr>
        <w:t xml:space="preserve">, a Gene Required for Camalexin </w:t>
      </w:r>
      <w:r w:rsidRPr="005C45F6">
        <w:rPr>
          <w:bCs/>
          <w:iCs/>
        </w:rPr>
        <w:t xml:space="preserve">Biosynthesis, Encodes a Putative Cytochrome P450 Monooxygenase. The Plant Cell </w:t>
      </w:r>
      <w:r w:rsidRPr="005C45F6">
        <w:rPr>
          <w:b/>
          <w:bCs/>
          <w:iCs/>
        </w:rPr>
        <w:t>11</w:t>
      </w:r>
      <w:r w:rsidRPr="004241A5">
        <w:rPr>
          <w:b/>
          <w:bCs/>
          <w:iCs/>
        </w:rPr>
        <w:t>:</w:t>
      </w:r>
      <w:r w:rsidRPr="005C45F6">
        <w:rPr>
          <w:bCs/>
          <w:iCs/>
        </w:rPr>
        <w:t xml:space="preserve"> 2419–2428.</w:t>
      </w:r>
    </w:p>
    <w:p w:rsidR="009D5A3F" w:rsidRDefault="009D5A3F" w:rsidP="00773890">
      <w:pPr>
        <w:jc w:val="both"/>
        <w:rPr>
          <w:bCs/>
          <w:iCs/>
        </w:rPr>
      </w:pPr>
      <w:proofErr w:type="gramStart"/>
      <w:r w:rsidRPr="00F16A87">
        <w:rPr>
          <w:b/>
          <w:bCs/>
          <w:iCs/>
        </w:rPr>
        <w:t>Ziegler, D.M. and Pettit, F.H.</w:t>
      </w:r>
      <w:r w:rsidRPr="009D5A3F">
        <w:rPr>
          <w:bCs/>
          <w:iCs/>
        </w:rPr>
        <w:t xml:space="preserve"> (1964)</w:t>
      </w:r>
      <w:r w:rsidR="00F16A87">
        <w:rPr>
          <w:bCs/>
          <w:iCs/>
        </w:rPr>
        <w:t>.</w:t>
      </w:r>
      <w:proofErr w:type="gramEnd"/>
      <w:r w:rsidRPr="009D5A3F">
        <w:rPr>
          <w:bCs/>
          <w:iCs/>
        </w:rPr>
        <w:t xml:space="preserve"> Formation of an i</w:t>
      </w:r>
      <w:r>
        <w:rPr>
          <w:bCs/>
          <w:iCs/>
        </w:rPr>
        <w:t>ntermediate N</w:t>
      </w:r>
      <w:r w:rsidR="00F16A87">
        <w:rPr>
          <w:bCs/>
          <w:iCs/>
        </w:rPr>
        <w:t>-</w:t>
      </w:r>
      <w:r>
        <w:rPr>
          <w:bCs/>
          <w:iCs/>
        </w:rPr>
        <w:t xml:space="preserve">oxide </w:t>
      </w:r>
      <w:r w:rsidRPr="009D5A3F">
        <w:rPr>
          <w:bCs/>
          <w:iCs/>
        </w:rPr>
        <w:t>in the oxidative demethylation o</w:t>
      </w:r>
      <w:r w:rsidR="00F16A87">
        <w:rPr>
          <w:bCs/>
          <w:iCs/>
        </w:rPr>
        <w:t>f N</w:t>
      </w:r>
      <w:proofErr w:type="gramStart"/>
      <w:r w:rsidR="00F16A87">
        <w:rPr>
          <w:bCs/>
          <w:iCs/>
        </w:rPr>
        <w:t>,N</w:t>
      </w:r>
      <w:proofErr w:type="gramEnd"/>
      <w:r w:rsidR="00F16A87">
        <w:rPr>
          <w:bCs/>
          <w:iCs/>
        </w:rPr>
        <w:t xml:space="preserve">-dimethylaniline catalyzed </w:t>
      </w:r>
      <w:r w:rsidRPr="009D5A3F">
        <w:rPr>
          <w:bCs/>
          <w:iCs/>
        </w:rPr>
        <w:t xml:space="preserve">by liver microsomes. </w:t>
      </w:r>
      <w:proofErr w:type="gramStart"/>
      <w:r w:rsidRPr="009D5A3F">
        <w:rPr>
          <w:bCs/>
          <w:iCs/>
        </w:rPr>
        <w:t>Biochem.</w:t>
      </w:r>
      <w:proofErr w:type="gramEnd"/>
      <w:r w:rsidRPr="009D5A3F">
        <w:rPr>
          <w:bCs/>
          <w:iCs/>
        </w:rPr>
        <w:t xml:space="preserve"> </w:t>
      </w:r>
      <w:proofErr w:type="gramStart"/>
      <w:r w:rsidRPr="009D5A3F">
        <w:rPr>
          <w:bCs/>
          <w:iCs/>
        </w:rPr>
        <w:t>Biophys.</w:t>
      </w:r>
      <w:proofErr w:type="gramEnd"/>
      <w:r w:rsidRPr="009D5A3F">
        <w:rPr>
          <w:bCs/>
          <w:iCs/>
        </w:rPr>
        <w:t xml:space="preserve"> Res. Commun. </w:t>
      </w:r>
      <w:r w:rsidRPr="00F16A87">
        <w:rPr>
          <w:b/>
          <w:bCs/>
          <w:iCs/>
        </w:rPr>
        <w:t>15</w:t>
      </w:r>
      <w:r w:rsidR="00F16A87">
        <w:rPr>
          <w:bCs/>
          <w:iCs/>
        </w:rPr>
        <w:t xml:space="preserve">: </w:t>
      </w:r>
      <w:r w:rsidRPr="009D5A3F">
        <w:rPr>
          <w:bCs/>
          <w:iCs/>
        </w:rPr>
        <w:t>188–193</w:t>
      </w:r>
      <w:r w:rsidR="00F16A87">
        <w:rPr>
          <w:bCs/>
          <w:iCs/>
        </w:rPr>
        <w:t>.</w:t>
      </w:r>
    </w:p>
    <w:p w:rsidR="0003023A" w:rsidRPr="0003023A" w:rsidRDefault="0003023A" w:rsidP="00773890">
      <w:pPr>
        <w:jc w:val="both"/>
        <w:rPr>
          <w:bCs/>
          <w:iCs/>
          <w:lang w:val="en-US"/>
        </w:rPr>
      </w:pPr>
      <w:proofErr w:type="gramStart"/>
      <w:r w:rsidRPr="0003023A">
        <w:rPr>
          <w:b/>
          <w:bCs/>
          <w:iCs/>
          <w:lang w:val="en-US"/>
        </w:rPr>
        <w:t>Zimmerli, L., Jakab, G., Métraux, J.-P., and Mauch-Mani, B.</w:t>
      </w:r>
      <w:r w:rsidRPr="0003023A">
        <w:rPr>
          <w:bCs/>
          <w:iCs/>
          <w:lang w:val="en-US"/>
        </w:rPr>
        <w:t xml:space="preserve"> (2000) </w:t>
      </w:r>
      <w:r w:rsidRPr="0003023A">
        <w:rPr>
          <w:bCs/>
          <w:iCs/>
        </w:rPr>
        <w:t>Potentiation of pathogen-specific defense mechanisms in</w:t>
      </w:r>
      <w:r>
        <w:rPr>
          <w:bCs/>
          <w:iCs/>
          <w:lang w:val="en-US"/>
        </w:rPr>
        <w:t xml:space="preserve"> </w:t>
      </w:r>
      <w:r w:rsidRPr="0003023A">
        <w:rPr>
          <w:bCs/>
          <w:i/>
          <w:iCs/>
        </w:rPr>
        <w:t>Arabidopsis</w:t>
      </w:r>
      <w:r w:rsidRPr="0003023A">
        <w:rPr>
          <w:bCs/>
          <w:iCs/>
        </w:rPr>
        <w:t xml:space="preserve"> by b-aminobutyric acid.</w:t>
      </w:r>
      <w:proofErr w:type="gramEnd"/>
      <w:r w:rsidRPr="0003023A">
        <w:rPr>
          <w:bCs/>
          <w:iCs/>
        </w:rPr>
        <w:t xml:space="preserve"> </w:t>
      </w:r>
      <w:r>
        <w:rPr>
          <w:bCs/>
          <w:iCs/>
        </w:rPr>
        <w:t xml:space="preserve">PNAS </w:t>
      </w:r>
      <w:r w:rsidRPr="0003023A">
        <w:rPr>
          <w:b/>
          <w:bCs/>
          <w:iCs/>
        </w:rPr>
        <w:t>97:</w:t>
      </w:r>
      <w:r>
        <w:rPr>
          <w:bCs/>
          <w:iCs/>
        </w:rPr>
        <w:t xml:space="preserve"> </w:t>
      </w:r>
      <w:r w:rsidRPr="0003023A">
        <w:rPr>
          <w:bCs/>
          <w:iCs/>
        </w:rPr>
        <w:t>12920–12925</w:t>
      </w:r>
      <w:r>
        <w:rPr>
          <w:bCs/>
          <w:iCs/>
        </w:rPr>
        <w:t>.</w:t>
      </w:r>
    </w:p>
    <w:p w:rsidR="00651ACD" w:rsidRDefault="005C45F6" w:rsidP="00773890">
      <w:pPr>
        <w:jc w:val="both"/>
        <w:rPr>
          <w:bCs/>
        </w:rPr>
      </w:pPr>
      <w:proofErr w:type="gramStart"/>
      <w:r w:rsidRPr="005C45F6">
        <w:rPr>
          <w:b/>
          <w:bCs/>
        </w:rPr>
        <w:t xml:space="preserve">Zimmerli, L., Métraux, J.-P., and Mauch-Mani, B. </w:t>
      </w:r>
      <w:r w:rsidRPr="005C45F6">
        <w:rPr>
          <w:bCs/>
        </w:rPr>
        <w:t>(2001).</w:t>
      </w:r>
      <w:proofErr w:type="gramEnd"/>
      <w:r w:rsidRPr="005C45F6">
        <w:rPr>
          <w:bCs/>
        </w:rPr>
        <w:t xml:space="preserve"> </w:t>
      </w:r>
      <w:proofErr w:type="gramStart"/>
      <w:r w:rsidRPr="005C45F6">
        <w:rPr>
          <w:bCs/>
        </w:rPr>
        <w:t>ß-Aminobut</w:t>
      </w:r>
      <w:r w:rsidR="004241A5">
        <w:rPr>
          <w:bCs/>
        </w:rPr>
        <w:t xml:space="preserve">yric Acid-Induced Protection of </w:t>
      </w:r>
      <w:r w:rsidRPr="00DA52F3">
        <w:rPr>
          <w:bCs/>
          <w:i/>
        </w:rPr>
        <w:t>Arabidopsis</w:t>
      </w:r>
      <w:r w:rsidRPr="005C45F6">
        <w:rPr>
          <w:bCs/>
        </w:rPr>
        <w:t xml:space="preserve"> against the Necrotrophic Fungus </w:t>
      </w:r>
      <w:r w:rsidRPr="005C45F6">
        <w:rPr>
          <w:bCs/>
          <w:i/>
          <w:iCs/>
        </w:rPr>
        <w:t>Botrytis cinerea</w:t>
      </w:r>
      <w:r w:rsidRPr="005C45F6">
        <w:rPr>
          <w:bCs/>
        </w:rPr>
        <w:t>.</w:t>
      </w:r>
      <w:proofErr w:type="gramEnd"/>
      <w:r w:rsidRPr="005C45F6">
        <w:rPr>
          <w:bCs/>
        </w:rPr>
        <w:t xml:space="preserve"> </w:t>
      </w:r>
      <w:r w:rsidRPr="004241A5">
        <w:rPr>
          <w:bCs/>
          <w:iCs/>
        </w:rPr>
        <w:t>Plant Physiology</w:t>
      </w:r>
      <w:r w:rsidRPr="005C45F6">
        <w:rPr>
          <w:bCs/>
        </w:rPr>
        <w:t xml:space="preserve"> </w:t>
      </w:r>
      <w:r w:rsidRPr="005C45F6">
        <w:rPr>
          <w:b/>
          <w:bCs/>
        </w:rPr>
        <w:t>126</w:t>
      </w:r>
      <w:r w:rsidR="00651ACD" w:rsidRPr="004241A5">
        <w:rPr>
          <w:b/>
          <w:bCs/>
        </w:rPr>
        <w:t>:</w:t>
      </w:r>
      <w:r w:rsidR="00651ACD">
        <w:rPr>
          <w:bCs/>
        </w:rPr>
        <w:t xml:space="preserve"> 517–523.</w:t>
      </w:r>
    </w:p>
    <w:p w:rsidR="00DA52F3" w:rsidRPr="00DA52F3" w:rsidRDefault="00DA52F3" w:rsidP="00773890">
      <w:pPr>
        <w:jc w:val="both"/>
        <w:rPr>
          <w:bCs/>
          <w:lang w:val="en-US"/>
        </w:rPr>
      </w:pPr>
      <w:r w:rsidRPr="00EB1834">
        <w:rPr>
          <w:b/>
          <w:bCs/>
        </w:rPr>
        <w:t>Zimmerli, L., Stein, M., Lipka, V., Schulze-Lefert, P., and Somerville, S.</w:t>
      </w:r>
      <w:r w:rsidRPr="00EB1834">
        <w:rPr>
          <w:bCs/>
        </w:rPr>
        <w:t xml:space="preserve"> (2004). </w:t>
      </w:r>
      <w:r w:rsidRPr="00DA52F3">
        <w:rPr>
          <w:bCs/>
        </w:rPr>
        <w:t>Host and</w:t>
      </w:r>
      <w:r w:rsidRPr="00DA52F3">
        <w:rPr>
          <w:bCs/>
          <w:lang w:val="en-US"/>
        </w:rPr>
        <w:t xml:space="preserve"> </w:t>
      </w:r>
      <w:r w:rsidRPr="00DA52F3">
        <w:rPr>
          <w:bCs/>
        </w:rPr>
        <w:t xml:space="preserve">non-host pathogens elicit different jasmonate/ethylene responses in </w:t>
      </w:r>
      <w:r w:rsidRPr="00DA52F3">
        <w:rPr>
          <w:bCs/>
          <w:i/>
        </w:rPr>
        <w:t>Arabidopsis.</w:t>
      </w:r>
      <w:r>
        <w:rPr>
          <w:bCs/>
          <w:lang w:val="en-US"/>
        </w:rPr>
        <w:t xml:space="preserve"> </w:t>
      </w:r>
      <w:r w:rsidRPr="00DA52F3">
        <w:rPr>
          <w:bCs/>
        </w:rPr>
        <w:t xml:space="preserve">Plant J. </w:t>
      </w:r>
      <w:r w:rsidRPr="00DA52F3">
        <w:rPr>
          <w:b/>
          <w:bCs/>
        </w:rPr>
        <w:t>40:</w:t>
      </w:r>
      <w:r>
        <w:rPr>
          <w:bCs/>
        </w:rPr>
        <w:t xml:space="preserve"> </w:t>
      </w:r>
      <w:r w:rsidRPr="00DA52F3">
        <w:rPr>
          <w:bCs/>
        </w:rPr>
        <w:t>633–46</w:t>
      </w:r>
      <w:r>
        <w:rPr>
          <w:bCs/>
        </w:rPr>
        <w:t>.</w:t>
      </w:r>
    </w:p>
    <w:p w:rsidR="00651ACD" w:rsidRDefault="00651ACD" w:rsidP="00CB556F"/>
    <w:p w:rsidR="00651ACD" w:rsidRPr="00651ACD" w:rsidRDefault="00651ACD" w:rsidP="00CB556F"/>
    <w:p w:rsidR="00651ACD" w:rsidRDefault="00651ACD" w:rsidP="00CB556F">
      <w:pPr>
        <w:rPr>
          <w:b/>
        </w:rPr>
      </w:pPr>
    </w:p>
    <w:p w:rsidR="00651ACD" w:rsidRPr="00651ACD" w:rsidRDefault="00651ACD" w:rsidP="00CB556F"/>
    <w:p w:rsidR="006C36CD" w:rsidRDefault="006C36CD" w:rsidP="00CB556F"/>
    <w:p w:rsidR="00CB556F" w:rsidRDefault="00CB556F" w:rsidP="00CB556F"/>
    <w:p w:rsidR="00CB556F" w:rsidRDefault="00CB556F" w:rsidP="00CB556F"/>
    <w:p w:rsidR="00CB556F" w:rsidRDefault="00CB556F" w:rsidP="00CB556F"/>
    <w:p w:rsidR="00CB556F" w:rsidRDefault="00CB556F" w:rsidP="00CB556F"/>
    <w:p w:rsidR="00E46EA9" w:rsidRDefault="00E46EA9" w:rsidP="00C602AA">
      <w:pPr>
        <w:pStyle w:val="berschrift1"/>
        <w:spacing w:after="240"/>
        <w:rPr>
          <w:color w:val="auto"/>
        </w:rPr>
        <w:sectPr w:rsidR="00E46EA9" w:rsidSect="00B517AA">
          <w:headerReference w:type="default" r:id="rId106"/>
          <w:headerReference w:type="first" r:id="rId107"/>
          <w:type w:val="continuous"/>
          <w:pgSz w:w="11906" w:h="16838"/>
          <w:pgMar w:top="1417" w:right="1417" w:bottom="1134" w:left="1417" w:header="708" w:footer="708" w:gutter="0"/>
          <w:cols w:space="708"/>
          <w:titlePg/>
          <w:docGrid w:linePitch="360"/>
        </w:sectPr>
      </w:pPr>
    </w:p>
    <w:p w:rsidR="00443DBC" w:rsidRDefault="00443DBC" w:rsidP="00C602AA">
      <w:pPr>
        <w:pStyle w:val="berschrift1"/>
        <w:spacing w:after="240"/>
        <w:rPr>
          <w:color w:val="auto"/>
        </w:rPr>
        <w:sectPr w:rsidR="00443DBC" w:rsidSect="00E46EA9">
          <w:type w:val="continuous"/>
          <w:pgSz w:w="11906" w:h="16838"/>
          <w:pgMar w:top="1417" w:right="1417" w:bottom="1134" w:left="1417" w:header="708" w:footer="708" w:gutter="0"/>
          <w:cols w:space="708"/>
          <w:titlePg/>
          <w:docGrid w:linePitch="360"/>
        </w:sectPr>
      </w:pPr>
    </w:p>
    <w:p w:rsidR="00651ACD" w:rsidRDefault="009D6B61" w:rsidP="00C602AA">
      <w:pPr>
        <w:pStyle w:val="berschrift1"/>
        <w:spacing w:after="240"/>
        <w:rPr>
          <w:color w:val="auto"/>
        </w:rPr>
      </w:pPr>
      <w:bookmarkStart w:id="125" w:name="_Toc435621267"/>
      <w:r>
        <w:rPr>
          <w:color w:val="auto"/>
        </w:rPr>
        <w:lastRenderedPageBreak/>
        <w:t>10</w:t>
      </w:r>
      <w:r w:rsidR="00941C29">
        <w:rPr>
          <w:color w:val="auto"/>
        </w:rPr>
        <w:t xml:space="preserve"> </w:t>
      </w:r>
      <w:r w:rsidR="00294C4C">
        <w:rPr>
          <w:color w:val="auto"/>
        </w:rPr>
        <w:t>Appendix</w:t>
      </w:r>
      <w:bookmarkEnd w:id="125"/>
    </w:p>
    <w:p w:rsidR="008D3D1E" w:rsidRDefault="008D3D1E" w:rsidP="008D3D1E">
      <w:pPr>
        <w:keepNext/>
      </w:pPr>
      <w:r>
        <w:rPr>
          <w:noProof/>
          <w:lang w:val="de-DE" w:eastAsia="de-DE"/>
        </w:rPr>
        <w:drawing>
          <wp:anchor distT="0" distB="0" distL="114300" distR="114300" simplePos="0" relativeHeight="251719680" behindDoc="0" locked="0" layoutInCell="1" allowOverlap="1">
            <wp:simplePos x="914400" y="1457325"/>
            <wp:positionH relativeFrom="page">
              <wp:align>center</wp:align>
            </wp:positionH>
            <wp:positionV relativeFrom="paragraph">
              <wp:posOffset>17780</wp:posOffset>
            </wp:positionV>
            <wp:extent cx="5760000" cy="6010980"/>
            <wp:effectExtent l="19050" t="19050" r="12700" b="27940"/>
            <wp:wrapTopAndBottom/>
            <wp:docPr id="32" name="Grafik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o prim suppl1.png"/>
                    <pic:cNvPicPr/>
                  </pic:nvPicPr>
                  <pic:blipFill>
                    <a:blip r:embed="rId108" cstate="print">
                      <a:extLst>
                        <a:ext uri="{28A0092B-C50C-407E-A947-70E740481C1C}">
                          <a14:useLocalDpi xmlns:a14="http://schemas.microsoft.com/office/drawing/2010/main" val="0"/>
                        </a:ext>
                      </a:extLst>
                    </a:blip>
                    <a:stretch>
                      <a:fillRect/>
                    </a:stretch>
                  </pic:blipFill>
                  <pic:spPr>
                    <a:xfrm>
                      <a:off x="0" y="0"/>
                      <a:ext cx="5760000" cy="6010980"/>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p>
    <w:p w:rsidR="0083296E" w:rsidRPr="00DA11F1" w:rsidRDefault="008D3D1E" w:rsidP="000B3BC2">
      <w:pPr>
        <w:pStyle w:val="Beschriftung"/>
        <w:spacing w:after="0" w:line="360" w:lineRule="auto"/>
        <w:jc w:val="both"/>
        <w:rPr>
          <w:color w:val="auto"/>
          <w:lang w:val="en-US"/>
        </w:rPr>
      </w:pPr>
      <w:bookmarkStart w:id="126" w:name="_Toc435621166"/>
      <w:proofErr w:type="gramStart"/>
      <w:r w:rsidRPr="00DA11F1">
        <w:rPr>
          <w:color w:val="auto"/>
        </w:rPr>
        <w:t xml:space="preserve">Supplemental figure </w:t>
      </w:r>
      <w:r w:rsidRPr="00DA11F1">
        <w:rPr>
          <w:color w:val="auto"/>
        </w:rPr>
        <w:fldChar w:fldCharType="begin"/>
      </w:r>
      <w:r w:rsidRPr="00DA11F1">
        <w:rPr>
          <w:color w:val="auto"/>
        </w:rPr>
        <w:instrText xml:space="preserve"> SEQ Supplemental_figure \* ARABIC </w:instrText>
      </w:r>
      <w:r w:rsidRPr="00DA11F1">
        <w:rPr>
          <w:color w:val="auto"/>
        </w:rPr>
        <w:fldChar w:fldCharType="separate"/>
      </w:r>
      <w:r w:rsidR="00CB17FE">
        <w:rPr>
          <w:noProof/>
          <w:color w:val="auto"/>
        </w:rPr>
        <w:t>1</w:t>
      </w:r>
      <w:r w:rsidRPr="00DA11F1">
        <w:rPr>
          <w:color w:val="auto"/>
        </w:rPr>
        <w:fldChar w:fldCharType="end"/>
      </w:r>
      <w:r w:rsidR="00A36D07">
        <w:rPr>
          <w:color w:val="auto"/>
        </w:rPr>
        <w:t>.</w:t>
      </w:r>
      <w:proofErr w:type="gramEnd"/>
      <w:r w:rsidR="0083296E" w:rsidRPr="00DA11F1">
        <w:rPr>
          <w:color w:val="auto"/>
        </w:rPr>
        <w:t xml:space="preserve"> </w:t>
      </w:r>
      <w:proofErr w:type="gramStart"/>
      <w:r w:rsidR="00DA11F1">
        <w:rPr>
          <w:color w:val="auto"/>
          <w:lang w:val="en-US"/>
        </w:rPr>
        <w:t xml:space="preserve">Analysis of defence priming in </w:t>
      </w:r>
      <w:r w:rsidR="00DA11F1" w:rsidRPr="00DA11F1">
        <w:rPr>
          <w:i/>
          <w:color w:val="auto"/>
          <w:lang w:val="en-US"/>
        </w:rPr>
        <w:t>Arabidopsis thaliana</w:t>
      </w:r>
      <w:r w:rsidR="0083296E" w:rsidRPr="00DA11F1">
        <w:rPr>
          <w:color w:val="auto"/>
          <w:lang w:val="en-US"/>
        </w:rPr>
        <w:t>.</w:t>
      </w:r>
      <w:bookmarkEnd w:id="126"/>
      <w:proofErr w:type="gramEnd"/>
      <w:r w:rsidR="0083296E" w:rsidRPr="00DA11F1">
        <w:rPr>
          <w:color w:val="auto"/>
          <w:lang w:val="en-US"/>
        </w:rPr>
        <w:t xml:space="preserve"> </w:t>
      </w:r>
    </w:p>
    <w:p w:rsidR="0083296E" w:rsidRPr="002F653F" w:rsidRDefault="0083296E" w:rsidP="0083296E">
      <w:pPr>
        <w:pStyle w:val="Beschriftung"/>
        <w:jc w:val="both"/>
        <w:rPr>
          <w:b w:val="0"/>
          <w:color w:val="auto"/>
          <w:lang w:val="en-US"/>
        </w:rPr>
      </w:pPr>
      <w:r w:rsidRPr="002F653F">
        <w:rPr>
          <w:b w:val="0"/>
          <w:color w:val="auto"/>
          <w:lang w:val="en-US"/>
        </w:rPr>
        <w:t xml:space="preserve">Plants were double inoculated to analyse defence priming during SAR in Col-0, </w:t>
      </w:r>
      <w:r w:rsidRPr="002F653F">
        <w:rPr>
          <w:b w:val="0"/>
          <w:i/>
          <w:color w:val="auto"/>
          <w:lang w:val="en-US"/>
        </w:rPr>
        <w:t>ald1</w:t>
      </w:r>
      <w:r w:rsidRPr="002F653F">
        <w:rPr>
          <w:b w:val="0"/>
          <w:color w:val="auto"/>
          <w:lang w:val="en-US"/>
        </w:rPr>
        <w:t xml:space="preserve"> and </w:t>
      </w:r>
      <w:r w:rsidRPr="002F653F">
        <w:rPr>
          <w:b w:val="0"/>
          <w:i/>
          <w:color w:val="auto"/>
          <w:lang w:val="en-US"/>
        </w:rPr>
        <w:t>fmo1</w:t>
      </w:r>
      <w:r w:rsidRPr="002F653F">
        <w:rPr>
          <w:b w:val="0"/>
          <w:color w:val="auto"/>
          <w:lang w:val="en-US"/>
        </w:rPr>
        <w:t>. Plants were treated in lower (1°) leaves with either 10 mM MgCl</w:t>
      </w:r>
      <w:r w:rsidRPr="002F653F">
        <w:rPr>
          <w:b w:val="0"/>
          <w:color w:val="auto"/>
          <w:vertAlign w:val="subscript"/>
          <w:lang w:val="en-US"/>
        </w:rPr>
        <w:t xml:space="preserve">2 </w:t>
      </w:r>
      <w:r w:rsidRPr="002F653F">
        <w:rPr>
          <w:b w:val="0"/>
          <w:color w:val="auto"/>
          <w:lang w:val="en-US"/>
        </w:rPr>
        <w:t xml:space="preserve">or </w:t>
      </w:r>
      <w:r w:rsidRPr="002F653F">
        <w:rPr>
          <w:b w:val="0"/>
          <w:i/>
          <w:color w:val="auto"/>
          <w:lang w:val="en-US"/>
        </w:rPr>
        <w:t>Psm</w:t>
      </w:r>
      <w:r w:rsidRPr="002F653F">
        <w:rPr>
          <w:b w:val="0"/>
          <w:color w:val="auto"/>
          <w:lang w:val="en-US"/>
        </w:rPr>
        <w:t xml:space="preserve"> (OD</w:t>
      </w:r>
      <w:r w:rsidRPr="002F653F">
        <w:rPr>
          <w:b w:val="0"/>
          <w:color w:val="auto"/>
          <w:vertAlign w:val="subscript"/>
          <w:lang w:val="en-US"/>
        </w:rPr>
        <w:t>600</w:t>
      </w:r>
      <w:r w:rsidRPr="002F653F">
        <w:rPr>
          <w:b w:val="0"/>
          <w:color w:val="auto"/>
          <w:lang w:val="en-US"/>
        </w:rPr>
        <w:t>=0.005); 2 days later, upper leaves were infiltrated with either 10 mM MgCl</w:t>
      </w:r>
      <w:r w:rsidRPr="002F653F">
        <w:rPr>
          <w:b w:val="0"/>
          <w:color w:val="auto"/>
          <w:vertAlign w:val="subscript"/>
          <w:lang w:val="en-US"/>
        </w:rPr>
        <w:t>2</w:t>
      </w:r>
      <w:r w:rsidRPr="002F653F">
        <w:rPr>
          <w:b w:val="0"/>
          <w:color w:val="auto"/>
          <w:lang w:val="en-US"/>
        </w:rPr>
        <w:t xml:space="preserve"> or </w:t>
      </w:r>
      <w:r w:rsidRPr="002F653F">
        <w:rPr>
          <w:b w:val="0"/>
          <w:i/>
          <w:color w:val="auto"/>
          <w:lang w:val="en-US"/>
        </w:rPr>
        <w:t>Psm</w:t>
      </w:r>
      <w:r w:rsidRPr="002F653F">
        <w:rPr>
          <w:b w:val="0"/>
          <w:color w:val="auto"/>
          <w:lang w:val="en-US"/>
        </w:rPr>
        <w:t xml:space="preserve"> (OD</w:t>
      </w:r>
      <w:r w:rsidRPr="002F653F">
        <w:rPr>
          <w:b w:val="0"/>
          <w:color w:val="auto"/>
          <w:vertAlign w:val="subscript"/>
          <w:lang w:val="en-US"/>
        </w:rPr>
        <w:t>600</w:t>
      </w:r>
      <w:r w:rsidRPr="002F653F">
        <w:rPr>
          <w:b w:val="0"/>
          <w:color w:val="auto"/>
          <w:lang w:val="en-US"/>
        </w:rPr>
        <w:t>=0.005) and scored for gene expression analysis 10 h post inoculation. Four different cases, a control situation (1° MgCl</w:t>
      </w:r>
      <w:r w:rsidRPr="002F653F">
        <w:rPr>
          <w:b w:val="0"/>
          <w:color w:val="auto"/>
          <w:vertAlign w:val="subscript"/>
          <w:lang w:val="en-US"/>
        </w:rPr>
        <w:t>2</w:t>
      </w:r>
      <w:r w:rsidRPr="002F653F">
        <w:rPr>
          <w:b w:val="0"/>
          <w:color w:val="auto"/>
          <w:lang w:val="en-US"/>
        </w:rPr>
        <w:t>/2° MgCl</w:t>
      </w:r>
      <w:r w:rsidRPr="002F653F">
        <w:rPr>
          <w:b w:val="0"/>
          <w:color w:val="auto"/>
          <w:vertAlign w:val="subscript"/>
          <w:lang w:val="en-US"/>
        </w:rPr>
        <w:t>2</w:t>
      </w:r>
      <w:r w:rsidRPr="002F653F">
        <w:rPr>
          <w:b w:val="0"/>
          <w:color w:val="auto"/>
          <w:lang w:val="en-US"/>
        </w:rPr>
        <w:t xml:space="preserve">), a systemic response (1° </w:t>
      </w:r>
      <w:r w:rsidRPr="002F653F">
        <w:rPr>
          <w:b w:val="0"/>
          <w:i/>
          <w:color w:val="auto"/>
          <w:lang w:val="en-US"/>
        </w:rPr>
        <w:t>Psm</w:t>
      </w:r>
      <w:r w:rsidRPr="002F653F">
        <w:rPr>
          <w:b w:val="0"/>
          <w:color w:val="auto"/>
          <w:lang w:val="en-US"/>
        </w:rPr>
        <w:t>/2°MgCl</w:t>
      </w:r>
      <w:r w:rsidRPr="002F653F">
        <w:rPr>
          <w:b w:val="0"/>
          <w:color w:val="auto"/>
          <w:vertAlign w:val="subscript"/>
          <w:lang w:val="en-US"/>
        </w:rPr>
        <w:t>2</w:t>
      </w:r>
      <w:r w:rsidRPr="002F653F">
        <w:rPr>
          <w:b w:val="0"/>
          <w:color w:val="auto"/>
          <w:lang w:val="en-US"/>
        </w:rPr>
        <w:t>), a local response (1° MgCl</w:t>
      </w:r>
      <w:r w:rsidRPr="002F653F">
        <w:rPr>
          <w:b w:val="0"/>
          <w:color w:val="auto"/>
          <w:vertAlign w:val="subscript"/>
          <w:lang w:val="en-US"/>
        </w:rPr>
        <w:t>2</w:t>
      </w:r>
      <w:r w:rsidRPr="002F653F">
        <w:rPr>
          <w:b w:val="0"/>
          <w:color w:val="auto"/>
          <w:lang w:val="en-US"/>
        </w:rPr>
        <w:t xml:space="preserve">/2° </w:t>
      </w:r>
      <w:r w:rsidRPr="002F653F">
        <w:rPr>
          <w:b w:val="0"/>
          <w:i/>
          <w:color w:val="auto"/>
          <w:lang w:val="en-US"/>
        </w:rPr>
        <w:t>Psm</w:t>
      </w:r>
      <w:r w:rsidRPr="002F653F">
        <w:rPr>
          <w:b w:val="0"/>
          <w:color w:val="auto"/>
          <w:lang w:val="en-US"/>
        </w:rPr>
        <w:t xml:space="preserve">), and a combination of systemic and local responses to the pathogen, can be discerned with this experimental setup.  Relative expression of </w:t>
      </w:r>
      <w:r w:rsidR="00DA11F1" w:rsidRPr="002F653F">
        <w:rPr>
          <w:b w:val="0"/>
          <w:i/>
          <w:color w:val="auto"/>
          <w:lang w:val="en-US"/>
        </w:rPr>
        <w:t>2OGD2</w:t>
      </w:r>
      <w:r w:rsidRPr="002F653F">
        <w:rPr>
          <w:b w:val="0"/>
          <w:color w:val="auto"/>
          <w:lang w:val="en-US"/>
        </w:rPr>
        <w:t xml:space="preserve"> (A), </w:t>
      </w:r>
      <w:r w:rsidR="00DA11F1" w:rsidRPr="002F653F">
        <w:rPr>
          <w:b w:val="0"/>
          <w:i/>
          <w:color w:val="auto"/>
          <w:lang w:val="en-US"/>
        </w:rPr>
        <w:t>ACD11L</w:t>
      </w:r>
      <w:r w:rsidRPr="002F653F">
        <w:rPr>
          <w:b w:val="0"/>
          <w:color w:val="auto"/>
          <w:lang w:val="en-US"/>
        </w:rPr>
        <w:t xml:space="preserve"> (B), </w:t>
      </w:r>
      <w:r w:rsidR="00DA11F1" w:rsidRPr="002F653F">
        <w:rPr>
          <w:b w:val="0"/>
          <w:i/>
          <w:color w:val="auto"/>
          <w:lang w:val="en-US"/>
        </w:rPr>
        <w:t>AIG1</w:t>
      </w:r>
      <w:r w:rsidRPr="002F653F">
        <w:rPr>
          <w:b w:val="0"/>
          <w:color w:val="auto"/>
          <w:lang w:val="en-US"/>
        </w:rPr>
        <w:t xml:space="preserve"> (C), </w:t>
      </w:r>
      <w:r w:rsidR="00DA11F1" w:rsidRPr="002F653F">
        <w:rPr>
          <w:b w:val="0"/>
          <w:i/>
          <w:color w:val="auto"/>
          <w:lang w:val="en-US"/>
        </w:rPr>
        <w:t>ANAC042</w:t>
      </w:r>
      <w:r w:rsidRPr="002F653F">
        <w:rPr>
          <w:b w:val="0"/>
          <w:color w:val="auto"/>
          <w:lang w:val="en-US"/>
        </w:rPr>
        <w:t xml:space="preserve"> (D), </w:t>
      </w:r>
      <w:r w:rsidR="00DA11F1" w:rsidRPr="002F653F">
        <w:rPr>
          <w:b w:val="0"/>
          <w:i/>
          <w:color w:val="auto"/>
          <w:lang w:val="en-US"/>
        </w:rPr>
        <w:t>At1g03660</w:t>
      </w:r>
      <w:r w:rsidRPr="002F653F">
        <w:rPr>
          <w:b w:val="0"/>
          <w:color w:val="auto"/>
          <w:lang w:val="en-US"/>
        </w:rPr>
        <w:t xml:space="preserve"> (E), and </w:t>
      </w:r>
      <w:r w:rsidR="00DA11F1" w:rsidRPr="002F653F">
        <w:rPr>
          <w:b w:val="0"/>
          <w:i/>
          <w:color w:val="auto"/>
          <w:lang w:val="en-US"/>
        </w:rPr>
        <w:t>At5g39090</w:t>
      </w:r>
      <w:r w:rsidRPr="002F653F">
        <w:rPr>
          <w:b w:val="0"/>
          <w:color w:val="auto"/>
          <w:lang w:val="en-US"/>
        </w:rPr>
        <w:t xml:space="preserve"> (F) at 10 hours after 2° treatment. Transcript levels were determined by quantitative real-time PCR analysis, are given as means ±SD of three replicate samples, and are expressed relative to the respective mock control value. Statistical differences in transcript abundance upon 2° </w:t>
      </w:r>
      <w:r w:rsidRPr="002F653F">
        <w:rPr>
          <w:b w:val="0"/>
          <w:i/>
          <w:color w:val="auto"/>
          <w:lang w:val="en-US"/>
        </w:rPr>
        <w:t>Psm</w:t>
      </w:r>
      <w:r w:rsidRPr="002F653F">
        <w:rPr>
          <w:b w:val="0"/>
          <w:color w:val="auto"/>
          <w:lang w:val="en-US"/>
        </w:rPr>
        <w:t xml:space="preserve"> infection between SAR-noninduced and SAR-induced plants were analysed using two-tailed </w:t>
      </w:r>
      <w:r w:rsidRPr="002F653F">
        <w:rPr>
          <w:b w:val="0"/>
          <w:i/>
          <w:color w:val="auto"/>
          <w:lang w:val="en-US"/>
        </w:rPr>
        <w:t>t</w:t>
      </w:r>
      <w:r w:rsidRPr="002F653F">
        <w:rPr>
          <w:b w:val="0"/>
          <w:color w:val="auto"/>
          <w:lang w:val="en-US"/>
        </w:rPr>
        <w:t xml:space="preserve"> test (P, primed gene). Due to the large number of genes analysed, the experiment was done one time.</w:t>
      </w:r>
    </w:p>
    <w:p w:rsidR="008D3D1E" w:rsidRDefault="008D3D1E" w:rsidP="008D3D1E">
      <w:pPr>
        <w:pStyle w:val="Beschriftung"/>
      </w:pPr>
    </w:p>
    <w:p w:rsidR="008D3D1E" w:rsidRDefault="008D3D1E" w:rsidP="008D3D1E"/>
    <w:p w:rsidR="008D3D1E" w:rsidRDefault="008D3D1E" w:rsidP="008D3D1E">
      <w:pPr>
        <w:keepNext/>
      </w:pPr>
      <w:r>
        <w:rPr>
          <w:noProof/>
          <w:lang w:val="de-DE" w:eastAsia="de-DE"/>
        </w:rPr>
        <w:drawing>
          <wp:anchor distT="0" distB="0" distL="114300" distR="114300" simplePos="0" relativeHeight="251720704" behindDoc="0" locked="0" layoutInCell="1" allowOverlap="1">
            <wp:simplePos x="914400" y="914400"/>
            <wp:positionH relativeFrom="page">
              <wp:align>center</wp:align>
            </wp:positionH>
            <wp:positionV relativeFrom="paragraph">
              <wp:posOffset>14605</wp:posOffset>
            </wp:positionV>
            <wp:extent cx="5760000" cy="6105600"/>
            <wp:effectExtent l="19050" t="19050" r="12700" b="9525"/>
            <wp:wrapTopAndBottom/>
            <wp:docPr id="50" name="Grafik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o prim suppl2.png"/>
                    <pic:cNvPicPr/>
                  </pic:nvPicPr>
                  <pic:blipFill>
                    <a:blip r:embed="rId109" cstate="print">
                      <a:extLst>
                        <a:ext uri="{28A0092B-C50C-407E-A947-70E740481C1C}">
                          <a14:useLocalDpi xmlns:a14="http://schemas.microsoft.com/office/drawing/2010/main" val="0"/>
                        </a:ext>
                      </a:extLst>
                    </a:blip>
                    <a:stretch>
                      <a:fillRect/>
                    </a:stretch>
                  </pic:blipFill>
                  <pic:spPr>
                    <a:xfrm>
                      <a:off x="0" y="0"/>
                      <a:ext cx="5760000" cy="6105600"/>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p>
    <w:p w:rsidR="00360025" w:rsidRDefault="008D3D1E" w:rsidP="000B3BC2">
      <w:pPr>
        <w:pStyle w:val="Beschriftung"/>
        <w:spacing w:after="0" w:line="360" w:lineRule="auto"/>
        <w:jc w:val="both"/>
        <w:rPr>
          <w:color w:val="auto"/>
          <w:lang w:val="en-US"/>
        </w:rPr>
      </w:pPr>
      <w:bookmarkStart w:id="127" w:name="_Toc435621167"/>
      <w:proofErr w:type="gramStart"/>
      <w:r w:rsidRPr="00360025">
        <w:rPr>
          <w:color w:val="auto"/>
        </w:rPr>
        <w:t xml:space="preserve">Supplemental figure </w:t>
      </w:r>
      <w:r w:rsidRPr="00360025">
        <w:rPr>
          <w:color w:val="auto"/>
        </w:rPr>
        <w:fldChar w:fldCharType="begin"/>
      </w:r>
      <w:r w:rsidRPr="00360025">
        <w:rPr>
          <w:color w:val="auto"/>
        </w:rPr>
        <w:instrText xml:space="preserve"> SEQ Supplemental_figure \* ARABIC </w:instrText>
      </w:r>
      <w:r w:rsidRPr="00360025">
        <w:rPr>
          <w:color w:val="auto"/>
        </w:rPr>
        <w:fldChar w:fldCharType="separate"/>
      </w:r>
      <w:r w:rsidR="00CB17FE">
        <w:rPr>
          <w:noProof/>
          <w:color w:val="auto"/>
        </w:rPr>
        <w:t>2</w:t>
      </w:r>
      <w:r w:rsidRPr="00360025">
        <w:rPr>
          <w:color w:val="auto"/>
        </w:rPr>
        <w:fldChar w:fldCharType="end"/>
      </w:r>
      <w:r w:rsidR="00A36D07">
        <w:rPr>
          <w:color w:val="auto"/>
        </w:rPr>
        <w:t>.</w:t>
      </w:r>
      <w:proofErr w:type="gramEnd"/>
      <w:r w:rsidR="00360025" w:rsidRPr="00360025">
        <w:rPr>
          <w:color w:val="auto"/>
        </w:rPr>
        <w:t xml:space="preserve"> Analysis of defence priming in </w:t>
      </w:r>
      <w:r w:rsidR="00360025" w:rsidRPr="00360025">
        <w:rPr>
          <w:i/>
          <w:color w:val="auto"/>
        </w:rPr>
        <w:t>A</w:t>
      </w:r>
      <w:r w:rsidR="00CE18A4">
        <w:rPr>
          <w:i/>
          <w:color w:val="auto"/>
        </w:rPr>
        <w:t>.</w:t>
      </w:r>
      <w:r w:rsidR="00360025" w:rsidRPr="00360025">
        <w:rPr>
          <w:i/>
          <w:color w:val="auto"/>
        </w:rPr>
        <w:t xml:space="preserve"> thaliana</w:t>
      </w:r>
      <w:r w:rsidR="00360025" w:rsidRPr="00360025">
        <w:rPr>
          <w:color w:val="auto"/>
        </w:rPr>
        <w:t xml:space="preserve"> (continued).</w:t>
      </w:r>
      <w:bookmarkEnd w:id="127"/>
      <w:r w:rsidR="00360025" w:rsidRPr="00360025">
        <w:rPr>
          <w:color w:val="auto"/>
          <w:lang w:val="en-US"/>
        </w:rPr>
        <w:t xml:space="preserve"> </w:t>
      </w:r>
    </w:p>
    <w:p w:rsidR="00360025" w:rsidRPr="002F653F" w:rsidRDefault="00360025" w:rsidP="00360025">
      <w:pPr>
        <w:pStyle w:val="Beschriftung"/>
        <w:jc w:val="both"/>
        <w:rPr>
          <w:b w:val="0"/>
          <w:color w:val="auto"/>
          <w:lang w:val="en-US"/>
        </w:rPr>
      </w:pPr>
      <w:r w:rsidRPr="002F653F">
        <w:rPr>
          <w:b w:val="0"/>
          <w:color w:val="auto"/>
          <w:lang w:val="en-US"/>
        </w:rPr>
        <w:t xml:space="preserve">Plants were treated as described in supplemental figure 1. Relative expression of </w:t>
      </w:r>
      <w:r w:rsidRPr="002F653F">
        <w:rPr>
          <w:b w:val="0"/>
          <w:i/>
          <w:color w:val="auto"/>
          <w:lang w:val="en-US"/>
        </w:rPr>
        <w:t>BGLU31</w:t>
      </w:r>
      <w:r w:rsidRPr="002F653F">
        <w:rPr>
          <w:b w:val="0"/>
          <w:color w:val="auto"/>
          <w:lang w:val="en-US"/>
        </w:rPr>
        <w:t xml:space="preserve"> (A), </w:t>
      </w:r>
      <w:r w:rsidRPr="002F653F">
        <w:rPr>
          <w:b w:val="0"/>
          <w:i/>
          <w:color w:val="auto"/>
          <w:lang w:val="en-US"/>
        </w:rPr>
        <w:t xml:space="preserve">BGLU45 </w:t>
      </w:r>
      <w:r w:rsidRPr="002F653F">
        <w:rPr>
          <w:b w:val="0"/>
          <w:color w:val="auto"/>
          <w:lang w:val="en-US"/>
        </w:rPr>
        <w:t xml:space="preserve">(B), </w:t>
      </w:r>
      <w:r w:rsidRPr="002F653F">
        <w:rPr>
          <w:b w:val="0"/>
          <w:i/>
          <w:color w:val="auto"/>
          <w:lang w:val="en-US"/>
        </w:rPr>
        <w:t>BSMT1</w:t>
      </w:r>
      <w:r w:rsidRPr="002F653F">
        <w:rPr>
          <w:b w:val="0"/>
          <w:color w:val="auto"/>
          <w:lang w:val="en-US"/>
        </w:rPr>
        <w:t xml:space="preserve"> (C), </w:t>
      </w:r>
      <w:r w:rsidRPr="002F653F">
        <w:rPr>
          <w:b w:val="0"/>
          <w:i/>
          <w:color w:val="auto"/>
          <w:lang w:val="en-US"/>
        </w:rPr>
        <w:t>C2D1</w:t>
      </w:r>
      <w:r w:rsidRPr="002F653F">
        <w:rPr>
          <w:b w:val="0"/>
          <w:color w:val="auto"/>
          <w:lang w:val="en-US"/>
        </w:rPr>
        <w:t xml:space="preserve"> (D), </w:t>
      </w:r>
      <w:r w:rsidRPr="002F653F">
        <w:rPr>
          <w:b w:val="0"/>
          <w:i/>
          <w:color w:val="auto"/>
          <w:lang w:val="en-US"/>
        </w:rPr>
        <w:t>COBL4</w:t>
      </w:r>
      <w:r w:rsidRPr="002F653F">
        <w:rPr>
          <w:b w:val="0"/>
          <w:color w:val="auto"/>
          <w:lang w:val="en-US"/>
        </w:rPr>
        <w:t xml:space="preserve"> (E), and </w:t>
      </w:r>
      <w:r w:rsidRPr="002F653F">
        <w:rPr>
          <w:b w:val="0"/>
          <w:i/>
          <w:color w:val="auto"/>
          <w:lang w:val="en-US"/>
        </w:rPr>
        <w:t>CXE17</w:t>
      </w:r>
      <w:r w:rsidRPr="002F653F">
        <w:rPr>
          <w:b w:val="0"/>
          <w:color w:val="auto"/>
          <w:lang w:val="en-US"/>
        </w:rPr>
        <w:t xml:space="preserve"> (F) at 10 hours after 2° treatment. Transcript levels were determined by quantitative real-time PCR analysis, are given as means ±SD of three replicate samples, and are expressed relative to the respective mock control value. Statistical differences in transcript abundance upon 2° </w:t>
      </w:r>
      <w:r w:rsidRPr="002F653F">
        <w:rPr>
          <w:b w:val="0"/>
          <w:i/>
          <w:color w:val="auto"/>
          <w:lang w:val="en-US"/>
        </w:rPr>
        <w:t>Psm</w:t>
      </w:r>
      <w:r w:rsidRPr="002F653F">
        <w:rPr>
          <w:b w:val="0"/>
          <w:color w:val="auto"/>
          <w:lang w:val="en-US"/>
        </w:rPr>
        <w:t xml:space="preserve"> infection between SAR-noninduced and SAR-induced plants were analysed using two-tailed </w:t>
      </w:r>
      <w:r w:rsidRPr="002F653F">
        <w:rPr>
          <w:b w:val="0"/>
          <w:i/>
          <w:color w:val="auto"/>
          <w:lang w:val="en-US"/>
        </w:rPr>
        <w:t>t</w:t>
      </w:r>
      <w:r w:rsidRPr="002F653F">
        <w:rPr>
          <w:b w:val="0"/>
          <w:color w:val="auto"/>
          <w:lang w:val="en-US"/>
        </w:rPr>
        <w:t xml:space="preserve"> test (P, primed gene). Due to the large number of genes analysed, the experiment was done one time.</w:t>
      </w:r>
    </w:p>
    <w:p w:rsidR="008D3D1E" w:rsidRPr="00360025" w:rsidRDefault="008D3D1E" w:rsidP="00360025">
      <w:pPr>
        <w:pStyle w:val="Beschriftung"/>
        <w:spacing w:after="0"/>
        <w:rPr>
          <w:lang w:val="en-US"/>
        </w:rPr>
      </w:pPr>
    </w:p>
    <w:p w:rsidR="00360025" w:rsidRPr="00360025" w:rsidRDefault="00360025" w:rsidP="00360025"/>
    <w:p w:rsidR="00360025" w:rsidRPr="00360025" w:rsidRDefault="00360025" w:rsidP="00360025"/>
    <w:p w:rsidR="008D3D1E" w:rsidRDefault="008D3D1E" w:rsidP="008D3D1E"/>
    <w:p w:rsidR="008D3D1E" w:rsidRDefault="008D3D1E" w:rsidP="008D3D1E">
      <w:pPr>
        <w:keepNext/>
      </w:pPr>
      <w:r>
        <w:rPr>
          <w:noProof/>
          <w:lang w:val="de-DE" w:eastAsia="de-DE"/>
        </w:rPr>
        <w:lastRenderedPageBreak/>
        <w:drawing>
          <wp:anchor distT="0" distB="0" distL="114300" distR="114300" simplePos="0" relativeHeight="251721728" behindDoc="0" locked="0" layoutInCell="1" allowOverlap="1">
            <wp:simplePos x="914400" y="914400"/>
            <wp:positionH relativeFrom="page">
              <wp:align>center</wp:align>
            </wp:positionH>
            <wp:positionV relativeFrom="paragraph">
              <wp:posOffset>14605</wp:posOffset>
            </wp:positionV>
            <wp:extent cx="5760000" cy="6085020"/>
            <wp:effectExtent l="19050" t="19050" r="12700" b="11430"/>
            <wp:wrapTopAndBottom/>
            <wp:docPr id="51" name="Grafik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o prim suppl3.png"/>
                    <pic:cNvPicPr/>
                  </pic:nvPicPr>
                  <pic:blipFill>
                    <a:blip r:embed="rId110" cstate="print">
                      <a:extLst>
                        <a:ext uri="{28A0092B-C50C-407E-A947-70E740481C1C}">
                          <a14:useLocalDpi xmlns:a14="http://schemas.microsoft.com/office/drawing/2010/main" val="0"/>
                        </a:ext>
                      </a:extLst>
                    </a:blip>
                    <a:stretch>
                      <a:fillRect/>
                    </a:stretch>
                  </pic:blipFill>
                  <pic:spPr>
                    <a:xfrm>
                      <a:off x="0" y="0"/>
                      <a:ext cx="5760000" cy="6085020"/>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p>
    <w:p w:rsidR="00360025" w:rsidRDefault="008D3D1E" w:rsidP="000B3BC2">
      <w:pPr>
        <w:pStyle w:val="Beschriftung"/>
        <w:spacing w:after="0" w:line="360" w:lineRule="auto"/>
        <w:jc w:val="both"/>
        <w:rPr>
          <w:color w:val="auto"/>
          <w:lang w:val="en-US"/>
        </w:rPr>
      </w:pPr>
      <w:bookmarkStart w:id="128" w:name="_Toc435621168"/>
      <w:proofErr w:type="gramStart"/>
      <w:r w:rsidRPr="00360025">
        <w:rPr>
          <w:color w:val="auto"/>
        </w:rPr>
        <w:t xml:space="preserve">Supplemental figure </w:t>
      </w:r>
      <w:r w:rsidRPr="00360025">
        <w:rPr>
          <w:color w:val="auto"/>
        </w:rPr>
        <w:fldChar w:fldCharType="begin"/>
      </w:r>
      <w:r w:rsidRPr="00360025">
        <w:rPr>
          <w:color w:val="auto"/>
        </w:rPr>
        <w:instrText xml:space="preserve"> SEQ Supplemental_figure \* ARABIC </w:instrText>
      </w:r>
      <w:r w:rsidRPr="00360025">
        <w:rPr>
          <w:color w:val="auto"/>
        </w:rPr>
        <w:fldChar w:fldCharType="separate"/>
      </w:r>
      <w:r w:rsidR="00CB17FE">
        <w:rPr>
          <w:noProof/>
          <w:color w:val="auto"/>
        </w:rPr>
        <w:t>3</w:t>
      </w:r>
      <w:r w:rsidRPr="00360025">
        <w:rPr>
          <w:color w:val="auto"/>
        </w:rPr>
        <w:fldChar w:fldCharType="end"/>
      </w:r>
      <w:r w:rsidR="00A36D07">
        <w:rPr>
          <w:color w:val="auto"/>
        </w:rPr>
        <w:t>.</w:t>
      </w:r>
      <w:proofErr w:type="gramEnd"/>
      <w:r w:rsidR="00360025" w:rsidRPr="00360025">
        <w:rPr>
          <w:color w:val="auto"/>
        </w:rPr>
        <w:t xml:space="preserve"> Analysis of defence priming in </w:t>
      </w:r>
      <w:r w:rsidR="00360025" w:rsidRPr="00360025">
        <w:rPr>
          <w:i/>
          <w:color w:val="auto"/>
        </w:rPr>
        <w:t>A</w:t>
      </w:r>
      <w:r w:rsidR="00CE18A4">
        <w:rPr>
          <w:i/>
          <w:color w:val="auto"/>
        </w:rPr>
        <w:t>.</w:t>
      </w:r>
      <w:r w:rsidR="00360025" w:rsidRPr="00360025">
        <w:rPr>
          <w:i/>
          <w:color w:val="auto"/>
        </w:rPr>
        <w:t xml:space="preserve"> thaliana</w:t>
      </w:r>
      <w:r w:rsidR="00360025" w:rsidRPr="00360025">
        <w:rPr>
          <w:color w:val="auto"/>
        </w:rPr>
        <w:t xml:space="preserve"> (continued).</w:t>
      </w:r>
      <w:bookmarkEnd w:id="128"/>
      <w:r w:rsidR="00360025" w:rsidRPr="00360025">
        <w:rPr>
          <w:color w:val="auto"/>
          <w:lang w:val="en-US"/>
        </w:rPr>
        <w:t xml:space="preserve"> </w:t>
      </w:r>
    </w:p>
    <w:p w:rsidR="00360025" w:rsidRPr="002F653F" w:rsidRDefault="00360025" w:rsidP="00360025">
      <w:pPr>
        <w:pStyle w:val="Beschriftung"/>
        <w:jc w:val="both"/>
        <w:rPr>
          <w:b w:val="0"/>
          <w:color w:val="auto"/>
          <w:lang w:val="en-US"/>
        </w:rPr>
      </w:pPr>
      <w:r w:rsidRPr="002F653F">
        <w:rPr>
          <w:b w:val="0"/>
          <w:color w:val="auto"/>
          <w:lang w:val="en-US"/>
        </w:rPr>
        <w:t xml:space="preserve">Plants were treated as described in supplemental figure 1. Relative expression of </w:t>
      </w:r>
      <w:r w:rsidRPr="002F653F">
        <w:rPr>
          <w:b w:val="0"/>
          <w:i/>
          <w:color w:val="auto"/>
          <w:lang w:val="en-US"/>
        </w:rPr>
        <w:t>CXE20</w:t>
      </w:r>
      <w:r w:rsidRPr="002F653F">
        <w:rPr>
          <w:b w:val="0"/>
          <w:color w:val="auto"/>
          <w:lang w:val="en-US"/>
        </w:rPr>
        <w:t xml:space="preserve"> (A), </w:t>
      </w:r>
      <w:r w:rsidRPr="002F653F">
        <w:rPr>
          <w:b w:val="0"/>
          <w:i/>
          <w:color w:val="auto"/>
          <w:lang w:val="en-US"/>
        </w:rPr>
        <w:t xml:space="preserve">CYP710A1 </w:t>
      </w:r>
      <w:r w:rsidRPr="002F653F">
        <w:rPr>
          <w:b w:val="0"/>
          <w:color w:val="auto"/>
          <w:lang w:val="en-US"/>
        </w:rPr>
        <w:t xml:space="preserve">(B), </w:t>
      </w:r>
      <w:r w:rsidRPr="002F653F">
        <w:rPr>
          <w:b w:val="0"/>
          <w:i/>
          <w:color w:val="auto"/>
          <w:lang w:val="en-US"/>
        </w:rPr>
        <w:t>CYP71A13</w:t>
      </w:r>
      <w:r w:rsidRPr="002F653F">
        <w:rPr>
          <w:b w:val="0"/>
          <w:color w:val="auto"/>
          <w:lang w:val="en-US"/>
        </w:rPr>
        <w:t xml:space="preserve"> (C), </w:t>
      </w:r>
      <w:r w:rsidRPr="002F653F">
        <w:rPr>
          <w:b w:val="0"/>
          <w:i/>
          <w:color w:val="auto"/>
          <w:lang w:val="en-US"/>
        </w:rPr>
        <w:t>CYP81G1</w:t>
      </w:r>
      <w:r w:rsidRPr="002F653F">
        <w:rPr>
          <w:b w:val="0"/>
          <w:color w:val="auto"/>
          <w:lang w:val="en-US"/>
        </w:rPr>
        <w:t xml:space="preserve"> (D), </w:t>
      </w:r>
      <w:r w:rsidRPr="002F653F">
        <w:rPr>
          <w:b w:val="0"/>
          <w:i/>
          <w:color w:val="auto"/>
          <w:lang w:val="en-US"/>
        </w:rPr>
        <w:t>FRK1</w:t>
      </w:r>
      <w:r w:rsidRPr="002F653F">
        <w:rPr>
          <w:b w:val="0"/>
          <w:color w:val="auto"/>
          <w:lang w:val="en-US"/>
        </w:rPr>
        <w:t xml:space="preserve"> (E), and </w:t>
      </w:r>
      <w:r w:rsidRPr="002F653F">
        <w:rPr>
          <w:b w:val="0"/>
          <w:i/>
          <w:color w:val="auto"/>
          <w:lang w:val="en-US"/>
        </w:rPr>
        <w:t>GH3.3</w:t>
      </w:r>
      <w:r w:rsidRPr="002F653F">
        <w:rPr>
          <w:b w:val="0"/>
          <w:color w:val="auto"/>
          <w:lang w:val="en-US"/>
        </w:rPr>
        <w:t xml:space="preserve"> (F) at 10 hours after 2° treatment. Transcript levels were determined by quantitative real-time PCR analysis, are given as means ±SD of three replicate samples, and are expressed relative to the respective mock control value. Statistical differences in transcript abundance upon 2° </w:t>
      </w:r>
      <w:r w:rsidRPr="002F653F">
        <w:rPr>
          <w:b w:val="0"/>
          <w:i/>
          <w:color w:val="auto"/>
          <w:lang w:val="en-US"/>
        </w:rPr>
        <w:t>Psm</w:t>
      </w:r>
      <w:r w:rsidRPr="002F653F">
        <w:rPr>
          <w:b w:val="0"/>
          <w:color w:val="auto"/>
          <w:lang w:val="en-US"/>
        </w:rPr>
        <w:t xml:space="preserve"> infection between SAR-noninduced and SAR-induced plants were analysed using two-tailed </w:t>
      </w:r>
      <w:r w:rsidRPr="002F653F">
        <w:rPr>
          <w:b w:val="0"/>
          <w:i/>
          <w:color w:val="auto"/>
          <w:lang w:val="en-US"/>
        </w:rPr>
        <w:t>t</w:t>
      </w:r>
      <w:r w:rsidRPr="002F653F">
        <w:rPr>
          <w:b w:val="0"/>
          <w:color w:val="auto"/>
          <w:lang w:val="en-US"/>
        </w:rPr>
        <w:t xml:space="preserve"> test (P, primed gene). Due to the large number of genes analysed, the experiment was done one time.</w:t>
      </w:r>
    </w:p>
    <w:p w:rsidR="008D3D1E" w:rsidRPr="00360025" w:rsidRDefault="008D3D1E" w:rsidP="008D3D1E">
      <w:pPr>
        <w:pStyle w:val="Beschriftung"/>
        <w:rPr>
          <w:lang w:val="en-US"/>
        </w:rPr>
      </w:pPr>
    </w:p>
    <w:p w:rsidR="008D3D1E" w:rsidRDefault="008D3D1E" w:rsidP="008D3D1E"/>
    <w:p w:rsidR="008D3D1E" w:rsidRDefault="008D3D1E" w:rsidP="008D3D1E">
      <w:pPr>
        <w:keepNext/>
      </w:pPr>
      <w:r>
        <w:rPr>
          <w:noProof/>
          <w:lang w:val="de-DE" w:eastAsia="de-DE"/>
        </w:rPr>
        <w:lastRenderedPageBreak/>
        <w:drawing>
          <wp:anchor distT="0" distB="0" distL="114300" distR="114300" simplePos="0" relativeHeight="251722752" behindDoc="0" locked="0" layoutInCell="1" allowOverlap="1">
            <wp:simplePos x="914400" y="914400"/>
            <wp:positionH relativeFrom="page">
              <wp:align>center</wp:align>
            </wp:positionH>
            <wp:positionV relativeFrom="paragraph">
              <wp:posOffset>14605</wp:posOffset>
            </wp:positionV>
            <wp:extent cx="5760000" cy="6105600"/>
            <wp:effectExtent l="19050" t="19050" r="12700" b="9525"/>
            <wp:wrapTopAndBottom/>
            <wp:docPr id="52" name="Grafik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o prim suppl4.png"/>
                    <pic:cNvPicPr/>
                  </pic:nvPicPr>
                  <pic:blipFill>
                    <a:blip r:embed="rId111" cstate="print">
                      <a:extLst>
                        <a:ext uri="{28A0092B-C50C-407E-A947-70E740481C1C}">
                          <a14:useLocalDpi xmlns:a14="http://schemas.microsoft.com/office/drawing/2010/main" val="0"/>
                        </a:ext>
                      </a:extLst>
                    </a:blip>
                    <a:stretch>
                      <a:fillRect/>
                    </a:stretch>
                  </pic:blipFill>
                  <pic:spPr>
                    <a:xfrm>
                      <a:off x="0" y="0"/>
                      <a:ext cx="5760000" cy="6105600"/>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p>
    <w:p w:rsidR="00360025" w:rsidRDefault="008D3D1E" w:rsidP="000B3BC2">
      <w:pPr>
        <w:pStyle w:val="Beschriftung"/>
        <w:spacing w:after="0" w:line="360" w:lineRule="auto"/>
        <w:jc w:val="both"/>
        <w:rPr>
          <w:color w:val="auto"/>
          <w:lang w:val="en-US"/>
        </w:rPr>
      </w:pPr>
      <w:bookmarkStart w:id="129" w:name="_Toc435621169"/>
      <w:proofErr w:type="gramStart"/>
      <w:r w:rsidRPr="008677E1">
        <w:rPr>
          <w:color w:val="auto"/>
        </w:rPr>
        <w:t xml:space="preserve">Supplemental figure </w:t>
      </w:r>
      <w:r w:rsidRPr="008677E1">
        <w:rPr>
          <w:color w:val="auto"/>
        </w:rPr>
        <w:fldChar w:fldCharType="begin"/>
      </w:r>
      <w:r w:rsidRPr="008677E1">
        <w:rPr>
          <w:color w:val="auto"/>
        </w:rPr>
        <w:instrText xml:space="preserve"> SEQ Supplemental_figure \* ARABIC </w:instrText>
      </w:r>
      <w:r w:rsidRPr="008677E1">
        <w:rPr>
          <w:color w:val="auto"/>
        </w:rPr>
        <w:fldChar w:fldCharType="separate"/>
      </w:r>
      <w:r w:rsidR="00CB17FE">
        <w:rPr>
          <w:noProof/>
          <w:color w:val="auto"/>
        </w:rPr>
        <w:t>4</w:t>
      </w:r>
      <w:r w:rsidRPr="008677E1">
        <w:rPr>
          <w:color w:val="auto"/>
        </w:rPr>
        <w:fldChar w:fldCharType="end"/>
      </w:r>
      <w:r w:rsidR="00A36D07">
        <w:rPr>
          <w:color w:val="auto"/>
        </w:rPr>
        <w:t>.</w:t>
      </w:r>
      <w:proofErr w:type="gramEnd"/>
      <w:r w:rsidR="00360025" w:rsidRPr="008677E1">
        <w:rPr>
          <w:color w:val="auto"/>
        </w:rPr>
        <w:t xml:space="preserve"> </w:t>
      </w:r>
      <w:r w:rsidR="00360025" w:rsidRPr="00360025">
        <w:rPr>
          <w:color w:val="auto"/>
        </w:rPr>
        <w:t xml:space="preserve">Analysis of defence priming in </w:t>
      </w:r>
      <w:r w:rsidR="00360025" w:rsidRPr="00360025">
        <w:rPr>
          <w:i/>
          <w:color w:val="auto"/>
        </w:rPr>
        <w:t>A</w:t>
      </w:r>
      <w:r w:rsidR="00CE18A4">
        <w:rPr>
          <w:i/>
          <w:color w:val="auto"/>
        </w:rPr>
        <w:t>.</w:t>
      </w:r>
      <w:r w:rsidR="00360025" w:rsidRPr="00360025">
        <w:rPr>
          <w:i/>
          <w:color w:val="auto"/>
        </w:rPr>
        <w:t xml:space="preserve"> thaliana</w:t>
      </w:r>
      <w:r w:rsidR="00360025" w:rsidRPr="00360025">
        <w:rPr>
          <w:color w:val="auto"/>
        </w:rPr>
        <w:t xml:space="preserve"> (continued).</w:t>
      </w:r>
      <w:bookmarkEnd w:id="129"/>
      <w:r w:rsidR="00360025" w:rsidRPr="00360025">
        <w:rPr>
          <w:color w:val="auto"/>
          <w:lang w:val="en-US"/>
        </w:rPr>
        <w:t xml:space="preserve"> </w:t>
      </w:r>
    </w:p>
    <w:p w:rsidR="00360025" w:rsidRPr="002F653F" w:rsidRDefault="00360025" w:rsidP="00360025">
      <w:pPr>
        <w:pStyle w:val="Beschriftung"/>
        <w:jc w:val="both"/>
        <w:rPr>
          <w:b w:val="0"/>
          <w:color w:val="auto"/>
          <w:lang w:val="en-US"/>
        </w:rPr>
      </w:pPr>
      <w:r w:rsidRPr="002F653F">
        <w:rPr>
          <w:b w:val="0"/>
          <w:color w:val="auto"/>
          <w:lang w:val="en-US"/>
        </w:rPr>
        <w:t xml:space="preserve">Plants were treated as described in supplemental figure 1. Relative expression of </w:t>
      </w:r>
      <w:r w:rsidR="008677E1" w:rsidRPr="002F653F">
        <w:rPr>
          <w:b w:val="0"/>
          <w:i/>
          <w:color w:val="auto"/>
          <w:lang w:val="en-US"/>
        </w:rPr>
        <w:t>GH3.4</w:t>
      </w:r>
      <w:r w:rsidRPr="002F653F">
        <w:rPr>
          <w:b w:val="0"/>
          <w:color w:val="auto"/>
          <w:lang w:val="en-US"/>
        </w:rPr>
        <w:t xml:space="preserve"> (A), </w:t>
      </w:r>
      <w:r w:rsidR="008677E1" w:rsidRPr="002F653F">
        <w:rPr>
          <w:b w:val="0"/>
          <w:i/>
          <w:color w:val="auto"/>
          <w:lang w:val="en-US"/>
        </w:rPr>
        <w:t>GPAT5</w:t>
      </w:r>
      <w:r w:rsidRPr="002F653F">
        <w:rPr>
          <w:b w:val="0"/>
          <w:i/>
          <w:color w:val="auto"/>
          <w:lang w:val="en-US"/>
        </w:rPr>
        <w:t xml:space="preserve"> </w:t>
      </w:r>
      <w:r w:rsidRPr="002F653F">
        <w:rPr>
          <w:b w:val="0"/>
          <w:color w:val="auto"/>
          <w:lang w:val="en-US"/>
        </w:rPr>
        <w:t xml:space="preserve">(B), </w:t>
      </w:r>
      <w:r w:rsidR="008677E1" w:rsidRPr="002F653F">
        <w:rPr>
          <w:b w:val="0"/>
          <w:i/>
          <w:color w:val="auto"/>
          <w:lang w:val="en-US"/>
        </w:rPr>
        <w:t>GRXS13</w:t>
      </w:r>
      <w:r w:rsidRPr="002F653F">
        <w:rPr>
          <w:b w:val="0"/>
          <w:color w:val="auto"/>
          <w:lang w:val="en-US"/>
        </w:rPr>
        <w:t xml:space="preserve"> (C), </w:t>
      </w:r>
      <w:r w:rsidR="008677E1" w:rsidRPr="002F653F">
        <w:rPr>
          <w:b w:val="0"/>
          <w:i/>
          <w:color w:val="auto"/>
          <w:lang w:val="en-US"/>
        </w:rPr>
        <w:t>IPT7</w:t>
      </w:r>
      <w:r w:rsidRPr="002F653F">
        <w:rPr>
          <w:b w:val="0"/>
          <w:color w:val="auto"/>
          <w:lang w:val="en-US"/>
        </w:rPr>
        <w:t xml:space="preserve"> (D), </w:t>
      </w:r>
      <w:r w:rsidR="008677E1" w:rsidRPr="002F653F">
        <w:rPr>
          <w:b w:val="0"/>
          <w:i/>
          <w:color w:val="auto"/>
          <w:lang w:val="en-US"/>
        </w:rPr>
        <w:t>KNAT1</w:t>
      </w:r>
      <w:r w:rsidRPr="002F653F">
        <w:rPr>
          <w:b w:val="0"/>
          <w:color w:val="auto"/>
          <w:lang w:val="en-US"/>
        </w:rPr>
        <w:t xml:space="preserve"> (E), and </w:t>
      </w:r>
      <w:r w:rsidR="008677E1" w:rsidRPr="002F653F">
        <w:rPr>
          <w:b w:val="0"/>
          <w:i/>
          <w:color w:val="auto"/>
          <w:lang w:val="en-US"/>
        </w:rPr>
        <w:t>KTI1</w:t>
      </w:r>
      <w:r w:rsidRPr="002F653F">
        <w:rPr>
          <w:b w:val="0"/>
          <w:color w:val="auto"/>
          <w:lang w:val="en-US"/>
        </w:rPr>
        <w:t xml:space="preserve"> (F) at 10 hours after 2° treatment. Transcript levels were determined by quantitative real-time PCR analysis, are given as means ±SD of three replicate samples, and are expressed relative to the respective mock control value. Statistical differences in transcript abundance upon 2° </w:t>
      </w:r>
      <w:r w:rsidRPr="002F653F">
        <w:rPr>
          <w:b w:val="0"/>
          <w:i/>
          <w:color w:val="auto"/>
          <w:lang w:val="en-US"/>
        </w:rPr>
        <w:t>Psm</w:t>
      </w:r>
      <w:r w:rsidRPr="002F653F">
        <w:rPr>
          <w:b w:val="0"/>
          <w:color w:val="auto"/>
          <w:lang w:val="en-US"/>
        </w:rPr>
        <w:t xml:space="preserve"> infection between SAR-noninduced and SAR-induced plants were analysed using two-tailed </w:t>
      </w:r>
      <w:r w:rsidRPr="002F653F">
        <w:rPr>
          <w:b w:val="0"/>
          <w:i/>
          <w:color w:val="auto"/>
          <w:lang w:val="en-US"/>
        </w:rPr>
        <w:t>t</w:t>
      </w:r>
      <w:r w:rsidRPr="002F653F">
        <w:rPr>
          <w:b w:val="0"/>
          <w:color w:val="auto"/>
          <w:lang w:val="en-US"/>
        </w:rPr>
        <w:t xml:space="preserve"> test (P, primed gene). Due to the large number of genes analysed, the experiment was done one time.</w:t>
      </w:r>
    </w:p>
    <w:p w:rsidR="008D3D1E" w:rsidRPr="00360025" w:rsidRDefault="008D3D1E" w:rsidP="008D3D1E">
      <w:pPr>
        <w:pStyle w:val="Beschriftung"/>
        <w:rPr>
          <w:lang w:val="en-US"/>
        </w:rPr>
      </w:pPr>
    </w:p>
    <w:p w:rsidR="008D3D1E" w:rsidRDefault="008D3D1E" w:rsidP="008D3D1E"/>
    <w:p w:rsidR="008D3D1E" w:rsidRDefault="008D3D1E" w:rsidP="008D3D1E">
      <w:pPr>
        <w:keepNext/>
      </w:pPr>
      <w:r>
        <w:rPr>
          <w:noProof/>
          <w:lang w:val="de-DE" w:eastAsia="de-DE"/>
        </w:rPr>
        <w:lastRenderedPageBreak/>
        <w:drawing>
          <wp:anchor distT="0" distB="0" distL="114300" distR="114300" simplePos="0" relativeHeight="251723776" behindDoc="0" locked="0" layoutInCell="1" allowOverlap="1">
            <wp:simplePos x="914400" y="914400"/>
            <wp:positionH relativeFrom="page">
              <wp:align>center</wp:align>
            </wp:positionH>
            <wp:positionV relativeFrom="paragraph">
              <wp:posOffset>14605</wp:posOffset>
            </wp:positionV>
            <wp:extent cx="5760000" cy="6060340"/>
            <wp:effectExtent l="19050" t="19050" r="12700" b="17145"/>
            <wp:wrapTopAndBottom/>
            <wp:docPr id="53" name="Grafik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o prim suppl5.png"/>
                    <pic:cNvPicPr/>
                  </pic:nvPicPr>
                  <pic:blipFill>
                    <a:blip r:embed="rId112" cstate="print">
                      <a:extLst>
                        <a:ext uri="{28A0092B-C50C-407E-A947-70E740481C1C}">
                          <a14:useLocalDpi xmlns:a14="http://schemas.microsoft.com/office/drawing/2010/main" val="0"/>
                        </a:ext>
                      </a:extLst>
                    </a:blip>
                    <a:stretch>
                      <a:fillRect/>
                    </a:stretch>
                  </pic:blipFill>
                  <pic:spPr>
                    <a:xfrm>
                      <a:off x="0" y="0"/>
                      <a:ext cx="5760000" cy="6060340"/>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p>
    <w:p w:rsidR="008677E1" w:rsidRDefault="008D3D1E" w:rsidP="000B3BC2">
      <w:pPr>
        <w:pStyle w:val="Beschriftung"/>
        <w:spacing w:after="0" w:line="360" w:lineRule="auto"/>
        <w:jc w:val="both"/>
        <w:rPr>
          <w:color w:val="auto"/>
          <w:lang w:val="en-US"/>
        </w:rPr>
      </w:pPr>
      <w:bookmarkStart w:id="130" w:name="_Toc435621170"/>
      <w:proofErr w:type="gramStart"/>
      <w:r w:rsidRPr="008677E1">
        <w:rPr>
          <w:color w:val="auto"/>
        </w:rPr>
        <w:t xml:space="preserve">Supplemental figure </w:t>
      </w:r>
      <w:r w:rsidRPr="008677E1">
        <w:rPr>
          <w:color w:val="auto"/>
        </w:rPr>
        <w:fldChar w:fldCharType="begin"/>
      </w:r>
      <w:r w:rsidRPr="008677E1">
        <w:rPr>
          <w:color w:val="auto"/>
        </w:rPr>
        <w:instrText xml:space="preserve"> SEQ Supplemental_figure \* ARABIC </w:instrText>
      </w:r>
      <w:r w:rsidRPr="008677E1">
        <w:rPr>
          <w:color w:val="auto"/>
        </w:rPr>
        <w:fldChar w:fldCharType="separate"/>
      </w:r>
      <w:r w:rsidR="00CB17FE">
        <w:rPr>
          <w:noProof/>
          <w:color w:val="auto"/>
        </w:rPr>
        <w:t>5</w:t>
      </w:r>
      <w:r w:rsidRPr="008677E1">
        <w:rPr>
          <w:color w:val="auto"/>
        </w:rPr>
        <w:fldChar w:fldCharType="end"/>
      </w:r>
      <w:r w:rsidR="00A36D07">
        <w:rPr>
          <w:color w:val="auto"/>
        </w:rPr>
        <w:t>.</w:t>
      </w:r>
      <w:proofErr w:type="gramEnd"/>
      <w:r w:rsidR="008677E1" w:rsidRPr="008677E1">
        <w:rPr>
          <w:color w:val="auto"/>
        </w:rPr>
        <w:t xml:space="preserve"> </w:t>
      </w:r>
      <w:r w:rsidR="008677E1" w:rsidRPr="00360025">
        <w:rPr>
          <w:color w:val="auto"/>
        </w:rPr>
        <w:t xml:space="preserve">Analysis of defence priming in </w:t>
      </w:r>
      <w:r w:rsidR="008677E1" w:rsidRPr="00360025">
        <w:rPr>
          <w:i/>
          <w:color w:val="auto"/>
        </w:rPr>
        <w:t>A</w:t>
      </w:r>
      <w:r w:rsidR="00CE18A4">
        <w:rPr>
          <w:i/>
          <w:color w:val="auto"/>
        </w:rPr>
        <w:t>.</w:t>
      </w:r>
      <w:r w:rsidR="008677E1" w:rsidRPr="00360025">
        <w:rPr>
          <w:i/>
          <w:color w:val="auto"/>
        </w:rPr>
        <w:t xml:space="preserve"> thaliana</w:t>
      </w:r>
      <w:r w:rsidR="008677E1" w:rsidRPr="00360025">
        <w:rPr>
          <w:color w:val="auto"/>
        </w:rPr>
        <w:t xml:space="preserve"> (continued).</w:t>
      </w:r>
      <w:bookmarkEnd w:id="130"/>
      <w:r w:rsidR="008677E1" w:rsidRPr="00360025">
        <w:rPr>
          <w:color w:val="auto"/>
          <w:lang w:val="en-US"/>
        </w:rPr>
        <w:t xml:space="preserve"> </w:t>
      </w:r>
    </w:p>
    <w:p w:rsidR="008677E1" w:rsidRPr="002F653F" w:rsidRDefault="008677E1" w:rsidP="008677E1">
      <w:pPr>
        <w:pStyle w:val="Beschriftung"/>
        <w:jc w:val="both"/>
        <w:rPr>
          <w:b w:val="0"/>
          <w:color w:val="auto"/>
          <w:lang w:val="en-US"/>
        </w:rPr>
      </w:pPr>
      <w:r w:rsidRPr="002F653F">
        <w:rPr>
          <w:b w:val="0"/>
          <w:color w:val="auto"/>
          <w:lang w:val="en-US"/>
        </w:rPr>
        <w:t xml:space="preserve">Plants were treated as described in supplemental figure 1. Relative expression of </w:t>
      </w:r>
      <w:r w:rsidRPr="002F653F">
        <w:rPr>
          <w:b w:val="0"/>
          <w:i/>
          <w:color w:val="auto"/>
          <w:lang w:val="en-US"/>
        </w:rPr>
        <w:t>LAC7</w:t>
      </w:r>
      <w:r w:rsidRPr="002F653F">
        <w:rPr>
          <w:b w:val="0"/>
          <w:color w:val="auto"/>
          <w:lang w:val="en-US"/>
        </w:rPr>
        <w:t xml:space="preserve"> (A), </w:t>
      </w:r>
      <w:r w:rsidRPr="002F653F">
        <w:rPr>
          <w:b w:val="0"/>
          <w:i/>
          <w:color w:val="auto"/>
          <w:lang w:val="en-US"/>
        </w:rPr>
        <w:t xml:space="preserve">LHY </w:t>
      </w:r>
      <w:r w:rsidRPr="002F653F">
        <w:rPr>
          <w:b w:val="0"/>
          <w:color w:val="auto"/>
          <w:lang w:val="en-US"/>
        </w:rPr>
        <w:t xml:space="preserve">(B), </w:t>
      </w:r>
      <w:r w:rsidRPr="002F653F">
        <w:rPr>
          <w:b w:val="0"/>
          <w:i/>
          <w:color w:val="auto"/>
          <w:lang w:val="en-US"/>
        </w:rPr>
        <w:t>MAPKKK18</w:t>
      </w:r>
      <w:r w:rsidRPr="002F653F">
        <w:rPr>
          <w:b w:val="0"/>
          <w:color w:val="auto"/>
          <w:lang w:val="en-US"/>
        </w:rPr>
        <w:t xml:space="preserve"> (C), </w:t>
      </w:r>
      <w:r w:rsidRPr="002F653F">
        <w:rPr>
          <w:b w:val="0"/>
          <w:i/>
          <w:color w:val="auto"/>
          <w:lang w:val="en-US"/>
        </w:rPr>
        <w:t>NCED5</w:t>
      </w:r>
      <w:r w:rsidRPr="002F653F">
        <w:rPr>
          <w:b w:val="0"/>
          <w:color w:val="auto"/>
          <w:lang w:val="en-US"/>
        </w:rPr>
        <w:t xml:space="preserve"> (D), </w:t>
      </w:r>
      <w:r w:rsidRPr="002F653F">
        <w:rPr>
          <w:b w:val="0"/>
          <w:i/>
          <w:color w:val="auto"/>
          <w:lang w:val="en-US"/>
        </w:rPr>
        <w:t>NPR3</w:t>
      </w:r>
      <w:r w:rsidRPr="002F653F">
        <w:rPr>
          <w:b w:val="0"/>
          <w:color w:val="auto"/>
          <w:lang w:val="en-US"/>
        </w:rPr>
        <w:t xml:space="preserve"> (E), and </w:t>
      </w:r>
      <w:r w:rsidRPr="002F653F">
        <w:rPr>
          <w:b w:val="0"/>
          <w:i/>
          <w:color w:val="auto"/>
          <w:lang w:val="en-US"/>
        </w:rPr>
        <w:t>NPR4</w:t>
      </w:r>
      <w:r w:rsidRPr="002F653F">
        <w:rPr>
          <w:b w:val="0"/>
          <w:color w:val="auto"/>
          <w:lang w:val="en-US"/>
        </w:rPr>
        <w:t xml:space="preserve"> (F) at 10 hours after 2° treatment. Transcript levels were determined by quantitative real-time PCR analysis, are given as means ±SD of three replicate samples, and are expressed relative to the respective mock control value. Statistical differences in transcript abundance upon 2° </w:t>
      </w:r>
      <w:r w:rsidRPr="002F653F">
        <w:rPr>
          <w:b w:val="0"/>
          <w:i/>
          <w:color w:val="auto"/>
          <w:lang w:val="en-US"/>
        </w:rPr>
        <w:t>Psm</w:t>
      </w:r>
      <w:r w:rsidRPr="002F653F">
        <w:rPr>
          <w:b w:val="0"/>
          <w:color w:val="auto"/>
          <w:lang w:val="en-US"/>
        </w:rPr>
        <w:t xml:space="preserve"> infection between SAR-noninduced and SAR-induced plants were analysed using two-tailed </w:t>
      </w:r>
      <w:r w:rsidRPr="002F653F">
        <w:rPr>
          <w:b w:val="0"/>
          <w:i/>
          <w:color w:val="auto"/>
          <w:lang w:val="en-US"/>
        </w:rPr>
        <w:t>t</w:t>
      </w:r>
      <w:r w:rsidRPr="002F653F">
        <w:rPr>
          <w:b w:val="0"/>
          <w:color w:val="auto"/>
          <w:lang w:val="en-US"/>
        </w:rPr>
        <w:t xml:space="preserve"> test (P, primed gene). Due to the large number of genes analysed, the experiment was done one time.</w:t>
      </w:r>
    </w:p>
    <w:p w:rsidR="008D3D1E" w:rsidRPr="008677E1" w:rsidRDefault="008D3D1E" w:rsidP="008D3D1E">
      <w:pPr>
        <w:pStyle w:val="Beschriftung"/>
        <w:rPr>
          <w:lang w:val="en-US"/>
        </w:rPr>
      </w:pPr>
    </w:p>
    <w:p w:rsidR="008D3D1E" w:rsidRDefault="008D3D1E" w:rsidP="008D3D1E"/>
    <w:p w:rsidR="008D3D1E" w:rsidRDefault="008D3D1E" w:rsidP="008D3D1E">
      <w:pPr>
        <w:keepNext/>
      </w:pPr>
      <w:r>
        <w:rPr>
          <w:noProof/>
          <w:lang w:val="de-DE" w:eastAsia="de-DE"/>
        </w:rPr>
        <w:lastRenderedPageBreak/>
        <w:drawing>
          <wp:anchor distT="0" distB="0" distL="114300" distR="114300" simplePos="0" relativeHeight="251724800" behindDoc="0" locked="0" layoutInCell="1" allowOverlap="1">
            <wp:simplePos x="914400" y="914400"/>
            <wp:positionH relativeFrom="page">
              <wp:align>center</wp:align>
            </wp:positionH>
            <wp:positionV relativeFrom="paragraph">
              <wp:posOffset>14605</wp:posOffset>
            </wp:positionV>
            <wp:extent cx="5760000" cy="6064460"/>
            <wp:effectExtent l="19050" t="19050" r="12700" b="12700"/>
            <wp:wrapTopAndBottom/>
            <wp:docPr id="54" name="Grafik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o prim suppl6.png"/>
                    <pic:cNvPicPr/>
                  </pic:nvPicPr>
                  <pic:blipFill>
                    <a:blip r:embed="rId113" cstate="print">
                      <a:extLst>
                        <a:ext uri="{28A0092B-C50C-407E-A947-70E740481C1C}">
                          <a14:useLocalDpi xmlns:a14="http://schemas.microsoft.com/office/drawing/2010/main" val="0"/>
                        </a:ext>
                      </a:extLst>
                    </a:blip>
                    <a:stretch>
                      <a:fillRect/>
                    </a:stretch>
                  </pic:blipFill>
                  <pic:spPr>
                    <a:xfrm>
                      <a:off x="0" y="0"/>
                      <a:ext cx="5760000" cy="6064460"/>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p>
    <w:p w:rsidR="008677E1" w:rsidRDefault="008D3D1E" w:rsidP="000B3BC2">
      <w:pPr>
        <w:pStyle w:val="Beschriftung"/>
        <w:spacing w:after="0" w:line="360" w:lineRule="auto"/>
        <w:jc w:val="both"/>
        <w:rPr>
          <w:color w:val="auto"/>
          <w:lang w:val="en-US"/>
        </w:rPr>
      </w:pPr>
      <w:bookmarkStart w:id="131" w:name="_Toc435621171"/>
      <w:proofErr w:type="gramStart"/>
      <w:r w:rsidRPr="008677E1">
        <w:rPr>
          <w:color w:val="auto"/>
        </w:rPr>
        <w:t xml:space="preserve">Supplemental figure </w:t>
      </w:r>
      <w:r w:rsidRPr="008677E1">
        <w:rPr>
          <w:color w:val="auto"/>
        </w:rPr>
        <w:fldChar w:fldCharType="begin"/>
      </w:r>
      <w:r w:rsidRPr="008677E1">
        <w:rPr>
          <w:color w:val="auto"/>
        </w:rPr>
        <w:instrText xml:space="preserve"> SEQ Supplemental_figure \* ARABIC </w:instrText>
      </w:r>
      <w:r w:rsidRPr="008677E1">
        <w:rPr>
          <w:color w:val="auto"/>
        </w:rPr>
        <w:fldChar w:fldCharType="separate"/>
      </w:r>
      <w:r w:rsidR="00CB17FE">
        <w:rPr>
          <w:noProof/>
          <w:color w:val="auto"/>
        </w:rPr>
        <w:t>6</w:t>
      </w:r>
      <w:r w:rsidRPr="008677E1">
        <w:rPr>
          <w:color w:val="auto"/>
        </w:rPr>
        <w:fldChar w:fldCharType="end"/>
      </w:r>
      <w:r w:rsidR="00A36D07">
        <w:rPr>
          <w:color w:val="auto"/>
        </w:rPr>
        <w:t>.</w:t>
      </w:r>
      <w:proofErr w:type="gramEnd"/>
      <w:r w:rsidR="008677E1" w:rsidRPr="008677E1">
        <w:rPr>
          <w:color w:val="auto"/>
        </w:rPr>
        <w:t xml:space="preserve"> </w:t>
      </w:r>
      <w:r w:rsidR="008677E1" w:rsidRPr="00360025">
        <w:rPr>
          <w:color w:val="auto"/>
        </w:rPr>
        <w:t xml:space="preserve">Analysis of defence priming in </w:t>
      </w:r>
      <w:r w:rsidR="008677E1" w:rsidRPr="00360025">
        <w:rPr>
          <w:i/>
          <w:color w:val="auto"/>
        </w:rPr>
        <w:t>A</w:t>
      </w:r>
      <w:r w:rsidR="00CE18A4">
        <w:rPr>
          <w:i/>
          <w:color w:val="auto"/>
        </w:rPr>
        <w:t>.</w:t>
      </w:r>
      <w:r w:rsidR="008677E1" w:rsidRPr="00360025">
        <w:rPr>
          <w:i/>
          <w:color w:val="auto"/>
        </w:rPr>
        <w:t xml:space="preserve"> thaliana</w:t>
      </w:r>
      <w:r w:rsidR="008677E1" w:rsidRPr="00360025">
        <w:rPr>
          <w:color w:val="auto"/>
        </w:rPr>
        <w:t xml:space="preserve"> (continued).</w:t>
      </w:r>
      <w:bookmarkEnd w:id="131"/>
      <w:r w:rsidR="008677E1" w:rsidRPr="00360025">
        <w:rPr>
          <w:color w:val="auto"/>
          <w:lang w:val="en-US"/>
        </w:rPr>
        <w:t xml:space="preserve"> </w:t>
      </w:r>
    </w:p>
    <w:p w:rsidR="008677E1" w:rsidRPr="002F653F" w:rsidRDefault="008677E1" w:rsidP="008677E1">
      <w:pPr>
        <w:pStyle w:val="Beschriftung"/>
        <w:jc w:val="both"/>
        <w:rPr>
          <w:b w:val="0"/>
          <w:color w:val="auto"/>
          <w:lang w:val="en-US"/>
        </w:rPr>
      </w:pPr>
      <w:r w:rsidRPr="002F653F">
        <w:rPr>
          <w:b w:val="0"/>
          <w:color w:val="auto"/>
          <w:lang w:val="en-US"/>
        </w:rPr>
        <w:t xml:space="preserve">Plants were treated as described in supplemental figure 1. Relative expression of </w:t>
      </w:r>
      <w:r w:rsidR="0059236E" w:rsidRPr="002F653F">
        <w:rPr>
          <w:b w:val="0"/>
          <w:i/>
          <w:color w:val="auto"/>
          <w:lang w:val="en-US"/>
        </w:rPr>
        <w:t>PAD3</w:t>
      </w:r>
      <w:r w:rsidRPr="002F653F">
        <w:rPr>
          <w:b w:val="0"/>
          <w:color w:val="auto"/>
          <w:lang w:val="en-US"/>
        </w:rPr>
        <w:t xml:space="preserve"> (A), </w:t>
      </w:r>
      <w:r w:rsidR="0059236E" w:rsidRPr="002F653F">
        <w:rPr>
          <w:b w:val="0"/>
          <w:i/>
          <w:color w:val="auto"/>
          <w:lang w:val="en-US"/>
        </w:rPr>
        <w:t>PBS3</w:t>
      </w:r>
      <w:r w:rsidRPr="002F653F">
        <w:rPr>
          <w:b w:val="0"/>
          <w:i/>
          <w:color w:val="auto"/>
          <w:lang w:val="en-US"/>
        </w:rPr>
        <w:t xml:space="preserve"> </w:t>
      </w:r>
      <w:r w:rsidRPr="002F653F">
        <w:rPr>
          <w:b w:val="0"/>
          <w:color w:val="auto"/>
          <w:lang w:val="en-US"/>
        </w:rPr>
        <w:t xml:space="preserve">(B), </w:t>
      </w:r>
      <w:r w:rsidR="0059236E" w:rsidRPr="002F653F">
        <w:rPr>
          <w:b w:val="0"/>
          <w:i/>
          <w:color w:val="auto"/>
          <w:lang w:val="en-US"/>
        </w:rPr>
        <w:t>PME</w:t>
      </w:r>
      <w:r w:rsidR="0059236E" w:rsidRPr="002F653F">
        <w:rPr>
          <w:rFonts w:ascii="Calibri" w:hAnsi="Calibri"/>
          <w:b w:val="0"/>
          <w:i/>
          <w:color w:val="auto"/>
          <w:lang w:val="en-US"/>
        </w:rPr>
        <w:t>α</w:t>
      </w:r>
      <w:r w:rsidRPr="002F653F">
        <w:rPr>
          <w:b w:val="0"/>
          <w:color w:val="auto"/>
          <w:lang w:val="en-US"/>
        </w:rPr>
        <w:t xml:space="preserve"> (C), </w:t>
      </w:r>
      <w:r w:rsidR="0059236E" w:rsidRPr="002F653F">
        <w:rPr>
          <w:b w:val="0"/>
          <w:i/>
          <w:color w:val="auto"/>
          <w:lang w:val="en-US"/>
        </w:rPr>
        <w:t>PMEI</w:t>
      </w:r>
      <w:r w:rsidR="0059236E" w:rsidRPr="002F653F">
        <w:rPr>
          <w:rFonts w:ascii="Calibri" w:hAnsi="Calibri"/>
          <w:b w:val="0"/>
          <w:i/>
          <w:color w:val="auto"/>
          <w:lang w:val="en-US"/>
        </w:rPr>
        <w:t>α</w:t>
      </w:r>
      <w:r w:rsidRPr="002F653F">
        <w:rPr>
          <w:b w:val="0"/>
          <w:color w:val="auto"/>
          <w:lang w:val="en-US"/>
        </w:rPr>
        <w:t xml:space="preserve"> (D), </w:t>
      </w:r>
      <w:r w:rsidR="0059236E" w:rsidRPr="002F653F">
        <w:rPr>
          <w:b w:val="0"/>
          <w:i/>
          <w:color w:val="auto"/>
          <w:lang w:val="en-US"/>
        </w:rPr>
        <w:t>PR3</w:t>
      </w:r>
      <w:r w:rsidRPr="002F653F">
        <w:rPr>
          <w:b w:val="0"/>
          <w:color w:val="auto"/>
          <w:lang w:val="en-US"/>
        </w:rPr>
        <w:t xml:space="preserve"> (E), and </w:t>
      </w:r>
      <w:r w:rsidR="0059236E" w:rsidRPr="002F653F">
        <w:rPr>
          <w:b w:val="0"/>
          <w:i/>
          <w:color w:val="auto"/>
          <w:lang w:val="en-US"/>
        </w:rPr>
        <w:t>PRB1</w:t>
      </w:r>
      <w:r w:rsidRPr="002F653F">
        <w:rPr>
          <w:b w:val="0"/>
          <w:color w:val="auto"/>
          <w:lang w:val="en-US"/>
        </w:rPr>
        <w:t xml:space="preserve"> (F) at 10 hours after 2° treatment. Transcript levels were determined by quantitative real-time PCR analysis, are given as means ±SD of three replicate samples, and are expressed relative to the respective mock control value. Statistical differences in transcript abundance upon 2° </w:t>
      </w:r>
      <w:r w:rsidRPr="002F653F">
        <w:rPr>
          <w:b w:val="0"/>
          <w:i/>
          <w:color w:val="auto"/>
          <w:lang w:val="en-US"/>
        </w:rPr>
        <w:t>Psm</w:t>
      </w:r>
      <w:r w:rsidRPr="002F653F">
        <w:rPr>
          <w:b w:val="0"/>
          <w:color w:val="auto"/>
          <w:lang w:val="en-US"/>
        </w:rPr>
        <w:t xml:space="preserve"> infection between SAR-noninduced and SAR-induced plants were analysed using two-tailed </w:t>
      </w:r>
      <w:r w:rsidRPr="002F653F">
        <w:rPr>
          <w:b w:val="0"/>
          <w:i/>
          <w:color w:val="auto"/>
          <w:lang w:val="en-US"/>
        </w:rPr>
        <w:t>t</w:t>
      </w:r>
      <w:r w:rsidRPr="002F653F">
        <w:rPr>
          <w:b w:val="0"/>
          <w:color w:val="auto"/>
          <w:lang w:val="en-US"/>
        </w:rPr>
        <w:t xml:space="preserve"> test (P, primed gene). Due to the large number of genes analysed, the experiment was done one time.</w:t>
      </w:r>
    </w:p>
    <w:p w:rsidR="008D3D1E" w:rsidRPr="008677E1" w:rsidRDefault="008D3D1E" w:rsidP="008D3D1E">
      <w:pPr>
        <w:pStyle w:val="Beschriftung"/>
        <w:rPr>
          <w:lang w:val="en-US"/>
        </w:rPr>
      </w:pPr>
    </w:p>
    <w:p w:rsidR="008D3D1E" w:rsidRDefault="008D3D1E" w:rsidP="008D3D1E"/>
    <w:p w:rsidR="008D3D1E" w:rsidRDefault="008D3D1E" w:rsidP="008D3D1E">
      <w:pPr>
        <w:keepNext/>
      </w:pPr>
      <w:r>
        <w:rPr>
          <w:noProof/>
          <w:lang w:val="de-DE" w:eastAsia="de-DE"/>
        </w:rPr>
        <w:lastRenderedPageBreak/>
        <w:drawing>
          <wp:anchor distT="0" distB="0" distL="114300" distR="114300" simplePos="0" relativeHeight="251725824" behindDoc="0" locked="0" layoutInCell="1" allowOverlap="1">
            <wp:simplePos x="914400" y="914400"/>
            <wp:positionH relativeFrom="page">
              <wp:align>center</wp:align>
            </wp:positionH>
            <wp:positionV relativeFrom="paragraph">
              <wp:posOffset>14605</wp:posOffset>
            </wp:positionV>
            <wp:extent cx="5760000" cy="6072680"/>
            <wp:effectExtent l="19050" t="19050" r="12700" b="23495"/>
            <wp:wrapTopAndBottom/>
            <wp:docPr id="67" name="Grafik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o prim suppl7.png"/>
                    <pic:cNvPicPr/>
                  </pic:nvPicPr>
                  <pic:blipFill>
                    <a:blip r:embed="rId114" cstate="print">
                      <a:extLst>
                        <a:ext uri="{28A0092B-C50C-407E-A947-70E740481C1C}">
                          <a14:useLocalDpi xmlns:a14="http://schemas.microsoft.com/office/drawing/2010/main" val="0"/>
                        </a:ext>
                      </a:extLst>
                    </a:blip>
                    <a:stretch>
                      <a:fillRect/>
                    </a:stretch>
                  </pic:blipFill>
                  <pic:spPr>
                    <a:xfrm>
                      <a:off x="0" y="0"/>
                      <a:ext cx="5760000" cy="6072680"/>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p>
    <w:p w:rsidR="0059236E" w:rsidRDefault="008D3D1E" w:rsidP="000B3BC2">
      <w:pPr>
        <w:pStyle w:val="Beschriftung"/>
        <w:spacing w:after="0" w:line="360" w:lineRule="auto"/>
        <w:jc w:val="both"/>
        <w:rPr>
          <w:color w:val="auto"/>
          <w:lang w:val="en-US"/>
        </w:rPr>
      </w:pPr>
      <w:bookmarkStart w:id="132" w:name="_Toc435621172"/>
      <w:proofErr w:type="gramStart"/>
      <w:r w:rsidRPr="0059236E">
        <w:rPr>
          <w:color w:val="auto"/>
        </w:rPr>
        <w:t xml:space="preserve">Supplemental figure </w:t>
      </w:r>
      <w:r w:rsidRPr="0059236E">
        <w:rPr>
          <w:color w:val="auto"/>
        </w:rPr>
        <w:fldChar w:fldCharType="begin"/>
      </w:r>
      <w:r w:rsidRPr="0059236E">
        <w:rPr>
          <w:color w:val="auto"/>
        </w:rPr>
        <w:instrText xml:space="preserve"> SEQ Supplemental_figure \* ARABIC </w:instrText>
      </w:r>
      <w:r w:rsidRPr="0059236E">
        <w:rPr>
          <w:color w:val="auto"/>
        </w:rPr>
        <w:fldChar w:fldCharType="separate"/>
      </w:r>
      <w:r w:rsidR="00CB17FE">
        <w:rPr>
          <w:noProof/>
          <w:color w:val="auto"/>
        </w:rPr>
        <w:t>7</w:t>
      </w:r>
      <w:r w:rsidRPr="0059236E">
        <w:rPr>
          <w:color w:val="auto"/>
        </w:rPr>
        <w:fldChar w:fldCharType="end"/>
      </w:r>
      <w:r w:rsidR="00A36D07">
        <w:rPr>
          <w:color w:val="auto"/>
        </w:rPr>
        <w:t>.</w:t>
      </w:r>
      <w:proofErr w:type="gramEnd"/>
      <w:r w:rsidR="0059236E" w:rsidRPr="0059236E">
        <w:rPr>
          <w:color w:val="auto"/>
        </w:rPr>
        <w:t xml:space="preserve"> </w:t>
      </w:r>
      <w:r w:rsidR="0059236E" w:rsidRPr="00360025">
        <w:rPr>
          <w:color w:val="auto"/>
        </w:rPr>
        <w:t xml:space="preserve">Analysis of defence priming in </w:t>
      </w:r>
      <w:r w:rsidR="0059236E" w:rsidRPr="00360025">
        <w:rPr>
          <w:i/>
          <w:color w:val="auto"/>
        </w:rPr>
        <w:t>A</w:t>
      </w:r>
      <w:r w:rsidR="00CE18A4">
        <w:rPr>
          <w:i/>
          <w:color w:val="auto"/>
        </w:rPr>
        <w:t>.</w:t>
      </w:r>
      <w:r w:rsidR="0059236E" w:rsidRPr="00360025">
        <w:rPr>
          <w:i/>
          <w:color w:val="auto"/>
        </w:rPr>
        <w:t xml:space="preserve"> thaliana</w:t>
      </w:r>
      <w:r w:rsidR="0059236E" w:rsidRPr="00360025">
        <w:rPr>
          <w:color w:val="auto"/>
        </w:rPr>
        <w:t xml:space="preserve"> (continued).</w:t>
      </w:r>
      <w:bookmarkEnd w:id="132"/>
      <w:r w:rsidR="0059236E" w:rsidRPr="00360025">
        <w:rPr>
          <w:color w:val="auto"/>
          <w:lang w:val="en-US"/>
        </w:rPr>
        <w:t xml:space="preserve"> </w:t>
      </w:r>
    </w:p>
    <w:p w:rsidR="0059236E" w:rsidRPr="002F653F" w:rsidRDefault="0059236E" w:rsidP="0059236E">
      <w:pPr>
        <w:pStyle w:val="Beschriftung"/>
        <w:jc w:val="both"/>
        <w:rPr>
          <w:b w:val="0"/>
          <w:color w:val="auto"/>
          <w:lang w:val="en-US"/>
        </w:rPr>
      </w:pPr>
      <w:r w:rsidRPr="002F653F">
        <w:rPr>
          <w:b w:val="0"/>
          <w:color w:val="auto"/>
          <w:lang w:val="en-US"/>
        </w:rPr>
        <w:t xml:space="preserve">Plants were treated as described in supplemental figure 1. Relative expression of </w:t>
      </w:r>
      <w:r w:rsidRPr="002F653F">
        <w:rPr>
          <w:b w:val="0"/>
          <w:i/>
          <w:color w:val="auto"/>
          <w:lang w:val="en-US"/>
        </w:rPr>
        <w:t>RABA1i</w:t>
      </w:r>
      <w:r w:rsidRPr="002F653F">
        <w:rPr>
          <w:b w:val="0"/>
          <w:color w:val="auto"/>
          <w:lang w:val="en-US"/>
        </w:rPr>
        <w:t xml:space="preserve"> (A), </w:t>
      </w:r>
      <w:r w:rsidRPr="002F653F">
        <w:rPr>
          <w:b w:val="0"/>
          <w:i/>
          <w:color w:val="auto"/>
          <w:lang w:val="en-US"/>
        </w:rPr>
        <w:t>RBOHA</w:t>
      </w:r>
      <w:r w:rsidRPr="002F653F">
        <w:rPr>
          <w:b w:val="0"/>
          <w:color w:val="auto"/>
          <w:lang w:val="en-US"/>
        </w:rPr>
        <w:t xml:space="preserve">(B), </w:t>
      </w:r>
      <w:r w:rsidRPr="002F653F">
        <w:rPr>
          <w:b w:val="0"/>
          <w:i/>
          <w:color w:val="auto"/>
          <w:lang w:val="en-US"/>
        </w:rPr>
        <w:t>SAG13</w:t>
      </w:r>
      <w:r w:rsidRPr="002F653F">
        <w:rPr>
          <w:b w:val="0"/>
          <w:color w:val="auto"/>
          <w:lang w:val="en-US"/>
        </w:rPr>
        <w:t xml:space="preserve"> (C), </w:t>
      </w:r>
      <w:r w:rsidRPr="002F653F">
        <w:rPr>
          <w:b w:val="0"/>
          <w:i/>
          <w:color w:val="auto"/>
          <w:lang w:val="en-US"/>
        </w:rPr>
        <w:t>SDR4</w:t>
      </w:r>
      <w:r w:rsidRPr="002F653F">
        <w:rPr>
          <w:b w:val="0"/>
          <w:color w:val="auto"/>
          <w:lang w:val="en-US"/>
        </w:rPr>
        <w:t xml:space="preserve"> (D), </w:t>
      </w:r>
      <w:r w:rsidRPr="002F653F">
        <w:rPr>
          <w:b w:val="0"/>
          <w:i/>
          <w:color w:val="auto"/>
          <w:lang w:val="en-US"/>
        </w:rPr>
        <w:t>UGT73B2</w:t>
      </w:r>
      <w:r w:rsidRPr="002F653F">
        <w:rPr>
          <w:b w:val="0"/>
          <w:color w:val="auto"/>
          <w:lang w:val="en-US"/>
        </w:rPr>
        <w:t xml:space="preserve"> (E), and </w:t>
      </w:r>
      <w:r w:rsidRPr="002F653F">
        <w:rPr>
          <w:b w:val="0"/>
          <w:i/>
          <w:color w:val="auto"/>
          <w:lang w:val="en-US"/>
        </w:rPr>
        <w:t>UGT73B3</w:t>
      </w:r>
      <w:r w:rsidRPr="002F653F">
        <w:rPr>
          <w:b w:val="0"/>
          <w:color w:val="auto"/>
          <w:lang w:val="en-US"/>
        </w:rPr>
        <w:t xml:space="preserve"> (F) at 10 hours after 2° treatment. Transcript levels were determined by quantitative real-time PCR analysis, are given as means ±SD of three replicate samples, and are expressed relative to the respective mock control value. Statistical differences in transcript abundance upon 2° </w:t>
      </w:r>
      <w:r w:rsidRPr="002F653F">
        <w:rPr>
          <w:b w:val="0"/>
          <w:i/>
          <w:color w:val="auto"/>
          <w:lang w:val="en-US"/>
        </w:rPr>
        <w:t>Psm</w:t>
      </w:r>
      <w:r w:rsidRPr="002F653F">
        <w:rPr>
          <w:b w:val="0"/>
          <w:color w:val="auto"/>
          <w:lang w:val="en-US"/>
        </w:rPr>
        <w:t xml:space="preserve"> infection between SAR-noninduced and SAR-induced plants were analysed using two-tailed </w:t>
      </w:r>
      <w:r w:rsidRPr="002F653F">
        <w:rPr>
          <w:b w:val="0"/>
          <w:i/>
          <w:color w:val="auto"/>
          <w:lang w:val="en-US"/>
        </w:rPr>
        <w:t>t</w:t>
      </w:r>
      <w:r w:rsidRPr="002F653F">
        <w:rPr>
          <w:b w:val="0"/>
          <w:color w:val="auto"/>
          <w:lang w:val="en-US"/>
        </w:rPr>
        <w:t xml:space="preserve"> test (P, primed gene). Due to the large number of genes analysed, the experiment was done one time.</w:t>
      </w:r>
    </w:p>
    <w:p w:rsidR="008D3D1E" w:rsidRPr="0059236E" w:rsidRDefault="008D3D1E" w:rsidP="008D3D1E">
      <w:pPr>
        <w:pStyle w:val="Beschriftung"/>
        <w:rPr>
          <w:lang w:val="en-US"/>
        </w:rPr>
      </w:pPr>
    </w:p>
    <w:p w:rsidR="008D3D1E" w:rsidRDefault="008D3D1E" w:rsidP="008D3D1E"/>
    <w:p w:rsidR="008D3D1E" w:rsidRDefault="008D3D1E" w:rsidP="008D3D1E">
      <w:pPr>
        <w:keepNext/>
      </w:pPr>
      <w:r>
        <w:rPr>
          <w:noProof/>
          <w:lang w:val="de-DE" w:eastAsia="de-DE"/>
        </w:rPr>
        <w:lastRenderedPageBreak/>
        <w:drawing>
          <wp:anchor distT="0" distB="0" distL="114300" distR="114300" simplePos="0" relativeHeight="251726848" behindDoc="0" locked="0" layoutInCell="1" allowOverlap="1">
            <wp:simplePos x="914400" y="914400"/>
            <wp:positionH relativeFrom="page">
              <wp:align>center</wp:align>
            </wp:positionH>
            <wp:positionV relativeFrom="paragraph">
              <wp:posOffset>14605</wp:posOffset>
            </wp:positionV>
            <wp:extent cx="5580000" cy="7572855"/>
            <wp:effectExtent l="19050" t="19050" r="20955" b="28575"/>
            <wp:wrapTopAndBottom/>
            <wp:docPr id="71" name="Grafik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o prim suppl8.png"/>
                    <pic:cNvPicPr/>
                  </pic:nvPicPr>
                  <pic:blipFill>
                    <a:blip r:embed="rId115" cstate="print">
                      <a:extLst>
                        <a:ext uri="{28A0092B-C50C-407E-A947-70E740481C1C}">
                          <a14:useLocalDpi xmlns:a14="http://schemas.microsoft.com/office/drawing/2010/main" val="0"/>
                        </a:ext>
                      </a:extLst>
                    </a:blip>
                    <a:stretch>
                      <a:fillRect/>
                    </a:stretch>
                  </pic:blipFill>
                  <pic:spPr>
                    <a:xfrm>
                      <a:off x="0" y="0"/>
                      <a:ext cx="5580000" cy="7572855"/>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p>
    <w:p w:rsidR="0059236E" w:rsidRDefault="008D3D1E" w:rsidP="000B3BC2">
      <w:pPr>
        <w:pStyle w:val="Beschriftung"/>
        <w:spacing w:after="0" w:line="360" w:lineRule="auto"/>
        <w:jc w:val="both"/>
        <w:rPr>
          <w:color w:val="auto"/>
          <w:lang w:val="en-US"/>
        </w:rPr>
      </w:pPr>
      <w:bookmarkStart w:id="133" w:name="_Toc435621173"/>
      <w:proofErr w:type="gramStart"/>
      <w:r w:rsidRPr="0059236E">
        <w:rPr>
          <w:color w:val="auto"/>
        </w:rPr>
        <w:t xml:space="preserve">Supplemental figure </w:t>
      </w:r>
      <w:r w:rsidRPr="0059236E">
        <w:rPr>
          <w:color w:val="auto"/>
        </w:rPr>
        <w:fldChar w:fldCharType="begin"/>
      </w:r>
      <w:r w:rsidRPr="0059236E">
        <w:rPr>
          <w:color w:val="auto"/>
        </w:rPr>
        <w:instrText xml:space="preserve"> SEQ Supplemental_figure \* ARABIC </w:instrText>
      </w:r>
      <w:r w:rsidRPr="0059236E">
        <w:rPr>
          <w:color w:val="auto"/>
        </w:rPr>
        <w:fldChar w:fldCharType="separate"/>
      </w:r>
      <w:r w:rsidR="00CB17FE">
        <w:rPr>
          <w:noProof/>
          <w:color w:val="auto"/>
        </w:rPr>
        <w:t>8</w:t>
      </w:r>
      <w:r w:rsidRPr="0059236E">
        <w:rPr>
          <w:color w:val="auto"/>
        </w:rPr>
        <w:fldChar w:fldCharType="end"/>
      </w:r>
      <w:r w:rsidR="00A36D07">
        <w:rPr>
          <w:color w:val="auto"/>
        </w:rPr>
        <w:t>.</w:t>
      </w:r>
      <w:proofErr w:type="gramEnd"/>
      <w:r w:rsidR="0059236E" w:rsidRPr="0059236E">
        <w:rPr>
          <w:color w:val="auto"/>
        </w:rPr>
        <w:t xml:space="preserve"> </w:t>
      </w:r>
      <w:r w:rsidR="0059236E" w:rsidRPr="00360025">
        <w:rPr>
          <w:color w:val="auto"/>
        </w:rPr>
        <w:t xml:space="preserve">Analysis of defence priming in </w:t>
      </w:r>
      <w:r w:rsidR="0059236E" w:rsidRPr="00360025">
        <w:rPr>
          <w:i/>
          <w:color w:val="auto"/>
        </w:rPr>
        <w:t>A</w:t>
      </w:r>
      <w:r w:rsidR="00CE18A4">
        <w:rPr>
          <w:i/>
          <w:color w:val="auto"/>
        </w:rPr>
        <w:t>.</w:t>
      </w:r>
      <w:r w:rsidR="0059236E" w:rsidRPr="00360025">
        <w:rPr>
          <w:i/>
          <w:color w:val="auto"/>
        </w:rPr>
        <w:t xml:space="preserve"> thaliana</w:t>
      </w:r>
      <w:r w:rsidR="0059236E" w:rsidRPr="00360025">
        <w:rPr>
          <w:color w:val="auto"/>
        </w:rPr>
        <w:t xml:space="preserve"> (continued).</w:t>
      </w:r>
      <w:bookmarkEnd w:id="133"/>
      <w:r w:rsidR="0059236E" w:rsidRPr="00360025">
        <w:rPr>
          <w:color w:val="auto"/>
          <w:lang w:val="en-US"/>
        </w:rPr>
        <w:t xml:space="preserve"> </w:t>
      </w:r>
    </w:p>
    <w:p w:rsidR="0059236E" w:rsidRPr="002F653F" w:rsidRDefault="0059236E" w:rsidP="0059236E">
      <w:pPr>
        <w:pStyle w:val="Beschriftung"/>
        <w:jc w:val="both"/>
        <w:rPr>
          <w:b w:val="0"/>
          <w:color w:val="auto"/>
          <w:lang w:val="en-US"/>
        </w:rPr>
      </w:pPr>
      <w:r w:rsidRPr="002F653F">
        <w:rPr>
          <w:b w:val="0"/>
          <w:color w:val="auto"/>
          <w:lang w:val="en-US"/>
        </w:rPr>
        <w:t xml:space="preserve">Plants were treated as described in supplemental figure 1. Relative expression of </w:t>
      </w:r>
      <w:r w:rsidRPr="002F653F">
        <w:rPr>
          <w:b w:val="0"/>
          <w:i/>
          <w:color w:val="auto"/>
          <w:lang w:val="en-US"/>
        </w:rPr>
        <w:t>UGT73D1</w:t>
      </w:r>
      <w:r w:rsidRPr="002F653F">
        <w:rPr>
          <w:b w:val="0"/>
          <w:color w:val="auto"/>
          <w:lang w:val="en-US"/>
        </w:rPr>
        <w:t xml:space="preserve"> (A), </w:t>
      </w:r>
      <w:r w:rsidRPr="002F653F">
        <w:rPr>
          <w:b w:val="0"/>
          <w:i/>
          <w:color w:val="auto"/>
          <w:lang w:val="en-US"/>
        </w:rPr>
        <w:t xml:space="preserve">UGT74E2 </w:t>
      </w:r>
      <w:r w:rsidRPr="002F653F">
        <w:rPr>
          <w:b w:val="0"/>
          <w:color w:val="auto"/>
          <w:lang w:val="en-US"/>
        </w:rPr>
        <w:t xml:space="preserve">(B), </w:t>
      </w:r>
      <w:r w:rsidRPr="002F653F">
        <w:rPr>
          <w:b w:val="0"/>
          <w:i/>
          <w:color w:val="auto"/>
          <w:lang w:val="en-US"/>
        </w:rPr>
        <w:t>UGT76B1</w:t>
      </w:r>
      <w:r w:rsidRPr="002F653F">
        <w:rPr>
          <w:b w:val="0"/>
          <w:color w:val="auto"/>
          <w:lang w:val="en-US"/>
        </w:rPr>
        <w:t xml:space="preserve"> (C), </w:t>
      </w:r>
      <w:r w:rsidRPr="002F653F">
        <w:rPr>
          <w:b w:val="0"/>
          <w:i/>
          <w:color w:val="auto"/>
          <w:lang w:val="en-US"/>
        </w:rPr>
        <w:t>UGT85A1</w:t>
      </w:r>
      <w:r w:rsidRPr="002F653F">
        <w:rPr>
          <w:b w:val="0"/>
          <w:color w:val="auto"/>
          <w:lang w:val="en-US"/>
        </w:rPr>
        <w:t xml:space="preserve"> (D), </w:t>
      </w:r>
      <w:r w:rsidRPr="002F653F">
        <w:rPr>
          <w:b w:val="0"/>
          <w:i/>
          <w:color w:val="auto"/>
          <w:lang w:val="en-US"/>
        </w:rPr>
        <w:t>WRKY38</w:t>
      </w:r>
      <w:r w:rsidRPr="002F653F">
        <w:rPr>
          <w:b w:val="0"/>
          <w:color w:val="auto"/>
          <w:lang w:val="en-US"/>
        </w:rPr>
        <w:t xml:space="preserve"> (E), </w:t>
      </w:r>
      <w:r w:rsidRPr="002F653F">
        <w:rPr>
          <w:b w:val="0"/>
          <w:i/>
          <w:color w:val="auto"/>
          <w:lang w:val="en-US"/>
        </w:rPr>
        <w:t>XHT10</w:t>
      </w:r>
      <w:r w:rsidRPr="002F653F">
        <w:rPr>
          <w:b w:val="0"/>
          <w:color w:val="auto"/>
          <w:lang w:val="en-US"/>
        </w:rPr>
        <w:t xml:space="preserve"> (F), and </w:t>
      </w:r>
      <w:r w:rsidRPr="002F653F">
        <w:rPr>
          <w:b w:val="0"/>
          <w:i/>
          <w:color w:val="auto"/>
          <w:lang w:val="en-US"/>
        </w:rPr>
        <w:t>ZCF37</w:t>
      </w:r>
      <w:r w:rsidRPr="002F653F">
        <w:rPr>
          <w:b w:val="0"/>
          <w:color w:val="auto"/>
          <w:lang w:val="en-US"/>
        </w:rPr>
        <w:t xml:space="preserve"> (G) at 10 hours after 2° treatment. Transcript levels were determined by quantitative real-time PCR analysis, are given as means ±SD of three replicate samples, and are expressed relative to the respective mock control value. Statistical differences in transcript abundance upon 2° </w:t>
      </w:r>
      <w:r w:rsidRPr="002F653F">
        <w:rPr>
          <w:b w:val="0"/>
          <w:i/>
          <w:color w:val="auto"/>
          <w:lang w:val="en-US"/>
        </w:rPr>
        <w:t>Psm</w:t>
      </w:r>
      <w:r w:rsidRPr="002F653F">
        <w:rPr>
          <w:b w:val="0"/>
          <w:color w:val="auto"/>
          <w:lang w:val="en-US"/>
        </w:rPr>
        <w:t xml:space="preserve"> infection between SAR-noninduced and SAR-induced plants were analysed using two-tailed </w:t>
      </w:r>
      <w:r w:rsidRPr="002F653F">
        <w:rPr>
          <w:b w:val="0"/>
          <w:i/>
          <w:color w:val="auto"/>
          <w:lang w:val="en-US"/>
        </w:rPr>
        <w:t>t</w:t>
      </w:r>
      <w:r w:rsidRPr="002F653F">
        <w:rPr>
          <w:b w:val="0"/>
          <w:color w:val="auto"/>
          <w:lang w:val="en-US"/>
        </w:rPr>
        <w:t xml:space="preserve"> test (P, primed gene). Due to the large number of genes analysed, the experiment was done one time.</w:t>
      </w:r>
    </w:p>
    <w:p w:rsidR="008D3D1E" w:rsidRPr="0059236E" w:rsidRDefault="008D3D1E" w:rsidP="008D3D1E">
      <w:pPr>
        <w:pStyle w:val="Beschriftung"/>
        <w:rPr>
          <w:lang w:val="en-US"/>
        </w:rPr>
      </w:pPr>
    </w:p>
    <w:p w:rsidR="008D3D1E" w:rsidRDefault="008D3D1E" w:rsidP="008D3D1E"/>
    <w:p w:rsidR="008D3D1E" w:rsidRDefault="008D3D1E" w:rsidP="008D3D1E">
      <w:pPr>
        <w:keepNext/>
      </w:pPr>
      <w:r>
        <w:rPr>
          <w:noProof/>
          <w:lang w:val="de-DE" w:eastAsia="de-DE"/>
        </w:rPr>
        <w:drawing>
          <wp:anchor distT="0" distB="0" distL="114300" distR="114300" simplePos="0" relativeHeight="251727872" behindDoc="0" locked="0" layoutInCell="1" allowOverlap="1">
            <wp:simplePos x="914400" y="914400"/>
            <wp:positionH relativeFrom="page">
              <wp:align>center</wp:align>
            </wp:positionH>
            <wp:positionV relativeFrom="paragraph">
              <wp:posOffset>14605</wp:posOffset>
            </wp:positionV>
            <wp:extent cx="5040000" cy="2910600"/>
            <wp:effectExtent l="19050" t="19050" r="27305" b="23495"/>
            <wp:wrapTopAndBottom/>
            <wp:docPr id="72" name="Grafik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centage analysed genes.png"/>
                    <pic:cNvPicPr/>
                  </pic:nvPicPr>
                  <pic:blipFill>
                    <a:blip r:embed="rId116">
                      <a:extLst>
                        <a:ext uri="{28A0092B-C50C-407E-A947-70E740481C1C}">
                          <a14:useLocalDpi xmlns:a14="http://schemas.microsoft.com/office/drawing/2010/main" val="0"/>
                        </a:ext>
                      </a:extLst>
                    </a:blip>
                    <a:stretch>
                      <a:fillRect/>
                    </a:stretch>
                  </pic:blipFill>
                  <pic:spPr>
                    <a:xfrm>
                      <a:off x="0" y="0"/>
                      <a:ext cx="5040000" cy="2910600"/>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p>
    <w:p w:rsidR="00581A7F" w:rsidRPr="00581A7F" w:rsidRDefault="008D3D1E" w:rsidP="000B3BC2">
      <w:pPr>
        <w:pStyle w:val="Beschriftung"/>
        <w:spacing w:after="0" w:line="360" w:lineRule="auto"/>
        <w:jc w:val="both"/>
        <w:rPr>
          <w:color w:val="auto"/>
        </w:rPr>
      </w:pPr>
      <w:bookmarkStart w:id="134" w:name="_Toc435621174"/>
      <w:proofErr w:type="gramStart"/>
      <w:r w:rsidRPr="00581A7F">
        <w:rPr>
          <w:color w:val="auto"/>
        </w:rPr>
        <w:t xml:space="preserve">Supplemental figure </w:t>
      </w:r>
      <w:r w:rsidRPr="00581A7F">
        <w:rPr>
          <w:color w:val="auto"/>
        </w:rPr>
        <w:fldChar w:fldCharType="begin"/>
      </w:r>
      <w:r w:rsidRPr="00581A7F">
        <w:rPr>
          <w:color w:val="auto"/>
        </w:rPr>
        <w:instrText xml:space="preserve"> SEQ Supplemental_figure \* ARABIC </w:instrText>
      </w:r>
      <w:r w:rsidRPr="00581A7F">
        <w:rPr>
          <w:color w:val="auto"/>
        </w:rPr>
        <w:fldChar w:fldCharType="separate"/>
      </w:r>
      <w:r w:rsidR="00CB17FE">
        <w:rPr>
          <w:noProof/>
          <w:color w:val="auto"/>
        </w:rPr>
        <w:t>9</w:t>
      </w:r>
      <w:r w:rsidRPr="00581A7F">
        <w:rPr>
          <w:color w:val="auto"/>
        </w:rPr>
        <w:fldChar w:fldCharType="end"/>
      </w:r>
      <w:r w:rsidR="00A36D07">
        <w:rPr>
          <w:color w:val="auto"/>
        </w:rPr>
        <w:t>.</w:t>
      </w:r>
      <w:proofErr w:type="gramEnd"/>
      <w:r w:rsidR="00D23D9F">
        <w:rPr>
          <w:color w:val="auto"/>
        </w:rPr>
        <w:t xml:space="preserve"> SA-depende</w:t>
      </w:r>
      <w:r w:rsidR="00581A7F" w:rsidRPr="00581A7F">
        <w:rPr>
          <w:color w:val="auto"/>
        </w:rPr>
        <w:t>ncy of genes analysed for defence priming.</w:t>
      </w:r>
      <w:bookmarkEnd w:id="134"/>
      <w:r w:rsidR="00581A7F" w:rsidRPr="00581A7F">
        <w:rPr>
          <w:color w:val="auto"/>
        </w:rPr>
        <w:t xml:space="preserve"> </w:t>
      </w:r>
    </w:p>
    <w:p w:rsidR="008D3D1E" w:rsidRPr="002F653F" w:rsidRDefault="00581A7F" w:rsidP="00581A7F">
      <w:pPr>
        <w:pStyle w:val="Beschriftung"/>
        <w:jc w:val="both"/>
        <w:rPr>
          <w:b w:val="0"/>
          <w:color w:val="auto"/>
        </w:rPr>
      </w:pPr>
      <w:r w:rsidRPr="002F653F">
        <w:rPr>
          <w:b w:val="0"/>
          <w:color w:val="auto"/>
        </w:rPr>
        <w:t xml:space="preserve">The majority of genes analysed for primed expression during SAR were </w:t>
      </w:r>
      <w:r w:rsidR="00CE18A4">
        <w:rPr>
          <w:b w:val="0"/>
          <w:color w:val="auto"/>
        </w:rPr>
        <w:t>SA-</w:t>
      </w:r>
      <w:r w:rsidRPr="002F653F">
        <w:rPr>
          <w:b w:val="0"/>
          <w:color w:val="auto"/>
        </w:rPr>
        <w:t>independent.</w:t>
      </w:r>
    </w:p>
    <w:p w:rsidR="008D3D1E" w:rsidRDefault="008D3D1E" w:rsidP="008D3D1E"/>
    <w:p w:rsidR="008D3D1E" w:rsidRDefault="008D3D1E" w:rsidP="008D3D1E"/>
    <w:p w:rsidR="008D3D1E" w:rsidRPr="008D3D1E" w:rsidRDefault="008D3D1E" w:rsidP="008D3D1E"/>
    <w:p w:rsidR="00E46EA9" w:rsidRDefault="00E46EA9" w:rsidP="00E46EA9">
      <w:pPr>
        <w:keepNext/>
      </w:pPr>
      <w:r>
        <w:rPr>
          <w:noProof/>
          <w:lang w:val="de-DE" w:eastAsia="de-DE"/>
        </w:rPr>
        <w:lastRenderedPageBreak/>
        <w:drawing>
          <wp:anchor distT="0" distB="0" distL="114300" distR="114300" simplePos="0" relativeHeight="251728896" behindDoc="0" locked="0" layoutInCell="1" allowOverlap="1">
            <wp:simplePos x="914400" y="5105400"/>
            <wp:positionH relativeFrom="page">
              <wp:align>center</wp:align>
            </wp:positionH>
            <wp:positionV relativeFrom="paragraph">
              <wp:posOffset>21590</wp:posOffset>
            </wp:positionV>
            <wp:extent cx="5760000" cy="4394060"/>
            <wp:effectExtent l="19050" t="19050" r="12700" b="26035"/>
            <wp:wrapTopAndBottom/>
            <wp:docPr id="65" name="Grafik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p-Priming with Col0 and fmo1.png"/>
                    <pic:cNvPicPr/>
                  </pic:nvPicPr>
                  <pic:blipFill>
                    <a:blip r:embed="rId117">
                      <a:extLst>
                        <a:ext uri="{28A0092B-C50C-407E-A947-70E740481C1C}">
                          <a14:useLocalDpi xmlns:a14="http://schemas.microsoft.com/office/drawing/2010/main" val="0"/>
                        </a:ext>
                      </a:extLst>
                    </a:blip>
                    <a:stretch>
                      <a:fillRect/>
                    </a:stretch>
                  </pic:blipFill>
                  <pic:spPr>
                    <a:xfrm>
                      <a:off x="0" y="0"/>
                      <a:ext cx="5760000" cy="4394060"/>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p>
    <w:p w:rsidR="00A8044E" w:rsidRPr="00C40615" w:rsidRDefault="00E46EA9" w:rsidP="000B3BC2">
      <w:pPr>
        <w:pStyle w:val="Beschriftung"/>
        <w:spacing w:after="0" w:line="360" w:lineRule="auto"/>
        <w:jc w:val="both"/>
        <w:rPr>
          <w:color w:val="auto"/>
        </w:rPr>
      </w:pPr>
      <w:bookmarkStart w:id="135" w:name="_Toc435621175"/>
      <w:proofErr w:type="gramStart"/>
      <w:r w:rsidRPr="00C40615">
        <w:rPr>
          <w:color w:val="auto"/>
        </w:rPr>
        <w:t xml:space="preserve">Supplemental figure </w:t>
      </w:r>
      <w:r w:rsidRPr="00C40615">
        <w:rPr>
          <w:color w:val="auto"/>
        </w:rPr>
        <w:fldChar w:fldCharType="begin"/>
      </w:r>
      <w:r w:rsidRPr="00C40615">
        <w:rPr>
          <w:color w:val="auto"/>
        </w:rPr>
        <w:instrText xml:space="preserve"> SEQ Supplemental_figure \* ARABIC </w:instrText>
      </w:r>
      <w:r w:rsidRPr="00C40615">
        <w:rPr>
          <w:color w:val="auto"/>
        </w:rPr>
        <w:fldChar w:fldCharType="separate"/>
      </w:r>
      <w:r w:rsidR="00CB17FE">
        <w:rPr>
          <w:noProof/>
          <w:color w:val="auto"/>
        </w:rPr>
        <w:t>10</w:t>
      </w:r>
      <w:r w:rsidRPr="00C40615">
        <w:rPr>
          <w:color w:val="auto"/>
        </w:rPr>
        <w:fldChar w:fldCharType="end"/>
      </w:r>
      <w:r w:rsidR="00A36D07">
        <w:rPr>
          <w:color w:val="auto"/>
        </w:rPr>
        <w:t>.</w:t>
      </w:r>
      <w:proofErr w:type="gramEnd"/>
      <w:r w:rsidR="00B270CA" w:rsidRPr="00C40615">
        <w:rPr>
          <w:color w:val="auto"/>
        </w:rPr>
        <w:t xml:space="preserve"> Primed gene expression and camalexin accumulation by exogenous</w:t>
      </w:r>
      <w:r w:rsidR="00CE18A4">
        <w:rPr>
          <w:color w:val="auto"/>
        </w:rPr>
        <w:t>ly applied</w:t>
      </w:r>
      <w:r w:rsidR="00B270CA" w:rsidRPr="00C40615">
        <w:rPr>
          <w:color w:val="auto"/>
        </w:rPr>
        <w:t xml:space="preserve"> Pip is abolished in </w:t>
      </w:r>
      <w:r w:rsidR="00B270CA" w:rsidRPr="00C40615">
        <w:rPr>
          <w:i/>
          <w:color w:val="auto"/>
        </w:rPr>
        <w:t>fmo1</w:t>
      </w:r>
      <w:r w:rsidR="00B270CA" w:rsidRPr="00C40615">
        <w:rPr>
          <w:color w:val="auto"/>
        </w:rPr>
        <w:t>.</w:t>
      </w:r>
      <w:bookmarkEnd w:id="135"/>
    </w:p>
    <w:p w:rsidR="00E46EA9" w:rsidRPr="00C40615" w:rsidRDefault="00A51727" w:rsidP="00B270CA">
      <w:pPr>
        <w:pStyle w:val="Beschriftung"/>
        <w:jc w:val="both"/>
        <w:rPr>
          <w:b w:val="0"/>
          <w:color w:val="auto"/>
        </w:rPr>
      </w:pPr>
      <w:r w:rsidRPr="00C40615">
        <w:rPr>
          <w:b w:val="0"/>
          <w:color w:val="auto"/>
        </w:rPr>
        <w:t xml:space="preserve">Plants were treated and samples analysed as described in figure 29. </w:t>
      </w:r>
      <w:proofErr w:type="gramStart"/>
      <w:r w:rsidRPr="00C40615">
        <w:rPr>
          <w:b w:val="0"/>
          <w:color w:val="auto"/>
        </w:rPr>
        <w:t>P, primed gene expression.</w:t>
      </w:r>
      <w:proofErr w:type="gramEnd"/>
      <w:r w:rsidRPr="00C40615">
        <w:rPr>
          <w:b w:val="0"/>
          <w:color w:val="auto"/>
        </w:rPr>
        <w:t xml:space="preserve"> This experiment was done in collaboration with Dr Friederike Bernsdorff and Katrin Gruner.</w:t>
      </w:r>
    </w:p>
    <w:p w:rsidR="007E5FC5" w:rsidRDefault="007E5FC5" w:rsidP="007E5FC5">
      <w:pPr>
        <w:keepNext/>
      </w:pPr>
      <w:r>
        <w:rPr>
          <w:noProof/>
          <w:lang w:val="de-DE" w:eastAsia="de-DE"/>
        </w:rPr>
        <w:lastRenderedPageBreak/>
        <w:drawing>
          <wp:anchor distT="0" distB="0" distL="114300" distR="114300" simplePos="0" relativeHeight="251729920" behindDoc="0" locked="0" layoutInCell="1" allowOverlap="1">
            <wp:simplePos x="914400" y="914400"/>
            <wp:positionH relativeFrom="page">
              <wp:align>center</wp:align>
            </wp:positionH>
            <wp:positionV relativeFrom="paragraph">
              <wp:posOffset>14605</wp:posOffset>
            </wp:positionV>
            <wp:extent cx="5760000" cy="5825820"/>
            <wp:effectExtent l="19050" t="19050" r="12700" b="22860"/>
            <wp:wrapTopAndBottom/>
            <wp:docPr id="66" name="Grafik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o priming with mapks.png"/>
                    <pic:cNvPicPr/>
                  </pic:nvPicPr>
                  <pic:blipFill>
                    <a:blip r:embed="rId118" cstate="print">
                      <a:extLst>
                        <a:ext uri="{28A0092B-C50C-407E-A947-70E740481C1C}">
                          <a14:useLocalDpi xmlns:a14="http://schemas.microsoft.com/office/drawing/2010/main" val="0"/>
                        </a:ext>
                      </a:extLst>
                    </a:blip>
                    <a:stretch>
                      <a:fillRect/>
                    </a:stretch>
                  </pic:blipFill>
                  <pic:spPr>
                    <a:xfrm>
                      <a:off x="0" y="0"/>
                      <a:ext cx="5760000" cy="5825820"/>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p>
    <w:p w:rsidR="00A8044E" w:rsidRPr="00C40615" w:rsidRDefault="007E5FC5" w:rsidP="000B3BC2">
      <w:pPr>
        <w:pStyle w:val="Beschriftung"/>
        <w:spacing w:after="0" w:line="360" w:lineRule="auto"/>
        <w:jc w:val="both"/>
        <w:rPr>
          <w:color w:val="auto"/>
        </w:rPr>
      </w:pPr>
      <w:bookmarkStart w:id="136" w:name="_Toc435621176"/>
      <w:proofErr w:type="gramStart"/>
      <w:r w:rsidRPr="00C40615">
        <w:rPr>
          <w:color w:val="auto"/>
        </w:rPr>
        <w:t xml:space="preserve">Supplemental figure </w:t>
      </w:r>
      <w:r w:rsidRPr="00C40615">
        <w:rPr>
          <w:color w:val="auto"/>
        </w:rPr>
        <w:fldChar w:fldCharType="begin"/>
      </w:r>
      <w:r w:rsidRPr="00C40615">
        <w:rPr>
          <w:color w:val="auto"/>
        </w:rPr>
        <w:instrText xml:space="preserve"> SEQ Supplemental_figure \* ARABIC </w:instrText>
      </w:r>
      <w:r w:rsidRPr="00C40615">
        <w:rPr>
          <w:color w:val="auto"/>
        </w:rPr>
        <w:fldChar w:fldCharType="separate"/>
      </w:r>
      <w:r w:rsidR="00CB17FE">
        <w:rPr>
          <w:noProof/>
          <w:color w:val="auto"/>
        </w:rPr>
        <w:t>11</w:t>
      </w:r>
      <w:r w:rsidRPr="00C40615">
        <w:rPr>
          <w:color w:val="auto"/>
        </w:rPr>
        <w:fldChar w:fldCharType="end"/>
      </w:r>
      <w:r w:rsidR="00A36D07">
        <w:rPr>
          <w:color w:val="auto"/>
        </w:rPr>
        <w:t>.</w:t>
      </w:r>
      <w:proofErr w:type="gramEnd"/>
      <w:r w:rsidR="00CE18A4">
        <w:rPr>
          <w:color w:val="auto"/>
        </w:rPr>
        <w:t xml:space="preserve"> MPK</w:t>
      </w:r>
      <w:r w:rsidRPr="00C40615">
        <w:rPr>
          <w:color w:val="auto"/>
        </w:rPr>
        <w:t xml:space="preserve">3 and </w:t>
      </w:r>
      <w:r w:rsidR="00CE18A4">
        <w:rPr>
          <w:color w:val="auto"/>
        </w:rPr>
        <w:t>MPK</w:t>
      </w:r>
      <w:r w:rsidRPr="00C40615">
        <w:rPr>
          <w:color w:val="auto"/>
        </w:rPr>
        <w:t>6 are not involved in defence priming.</w:t>
      </w:r>
      <w:bookmarkEnd w:id="136"/>
      <w:r w:rsidR="00A51727" w:rsidRPr="00C40615">
        <w:rPr>
          <w:color w:val="auto"/>
        </w:rPr>
        <w:t xml:space="preserve"> </w:t>
      </w:r>
    </w:p>
    <w:p w:rsidR="00B270CA" w:rsidRPr="00C40615" w:rsidRDefault="00A51727" w:rsidP="00067D6A">
      <w:pPr>
        <w:pStyle w:val="Beschriftung"/>
        <w:spacing w:after="0"/>
        <w:jc w:val="both"/>
        <w:rPr>
          <w:b w:val="0"/>
          <w:color w:val="auto"/>
        </w:rPr>
      </w:pPr>
      <w:r w:rsidRPr="00C40615">
        <w:rPr>
          <w:b w:val="0"/>
          <w:color w:val="auto"/>
        </w:rPr>
        <w:t xml:space="preserve">Plants were treated and samples analysed as delineated in figure 30. </w:t>
      </w:r>
      <w:proofErr w:type="gramStart"/>
      <w:r w:rsidRPr="00C40615">
        <w:rPr>
          <w:b w:val="0"/>
          <w:color w:val="auto"/>
        </w:rPr>
        <w:t xml:space="preserve">Analysis of </w:t>
      </w:r>
      <w:r w:rsidR="00CE18A4">
        <w:rPr>
          <w:b w:val="0"/>
          <w:color w:val="auto"/>
        </w:rPr>
        <w:t>SAR</w:t>
      </w:r>
      <w:r w:rsidRPr="00C40615">
        <w:rPr>
          <w:b w:val="0"/>
          <w:color w:val="auto"/>
        </w:rPr>
        <w:t xml:space="preserve"> (A) and Pip-induced resistance (B) in </w:t>
      </w:r>
      <w:r w:rsidRPr="00C40615">
        <w:rPr>
          <w:b w:val="0"/>
          <w:i/>
          <w:color w:val="auto"/>
        </w:rPr>
        <w:t>Arabidopsis</w:t>
      </w:r>
      <w:r w:rsidRPr="00C40615">
        <w:rPr>
          <w:b w:val="0"/>
          <w:color w:val="auto"/>
        </w:rPr>
        <w:t xml:space="preserve"> Col-0 as well as </w:t>
      </w:r>
      <w:r w:rsidRPr="00C40615">
        <w:rPr>
          <w:b w:val="0"/>
          <w:i/>
          <w:color w:val="auto"/>
        </w:rPr>
        <w:t>mpk3, mpk6</w:t>
      </w:r>
      <w:r w:rsidRPr="00C40615">
        <w:rPr>
          <w:b w:val="0"/>
          <w:color w:val="auto"/>
        </w:rPr>
        <w:t xml:space="preserve">, and </w:t>
      </w:r>
      <w:r w:rsidRPr="00C40615">
        <w:rPr>
          <w:b w:val="0"/>
          <w:i/>
          <w:color w:val="auto"/>
        </w:rPr>
        <w:t>mpk3 mpk6</w:t>
      </w:r>
      <w:r w:rsidRPr="00C40615">
        <w:rPr>
          <w:b w:val="0"/>
          <w:color w:val="auto"/>
        </w:rPr>
        <w:t>.</w:t>
      </w:r>
      <w:proofErr w:type="gramEnd"/>
      <w:r w:rsidRPr="00C40615">
        <w:rPr>
          <w:b w:val="0"/>
          <w:color w:val="auto"/>
        </w:rPr>
        <w:t xml:space="preserve"> Accumulation of defence compounds </w:t>
      </w:r>
      <w:r w:rsidR="00CE18A4">
        <w:rPr>
          <w:b w:val="0"/>
          <w:color w:val="auto"/>
        </w:rPr>
        <w:t>Pip</w:t>
      </w:r>
      <w:r w:rsidRPr="00C40615">
        <w:rPr>
          <w:b w:val="0"/>
          <w:color w:val="auto"/>
        </w:rPr>
        <w:t xml:space="preserve"> (C) and camalexin (D)</w:t>
      </w:r>
      <w:r w:rsidR="006254A8" w:rsidRPr="00C40615">
        <w:rPr>
          <w:b w:val="0"/>
          <w:color w:val="auto"/>
        </w:rPr>
        <w:t xml:space="preserve"> and expression of defence-related genes </w:t>
      </w:r>
      <w:r w:rsidR="006254A8" w:rsidRPr="00C40615">
        <w:rPr>
          <w:b w:val="0"/>
          <w:i/>
          <w:color w:val="auto"/>
        </w:rPr>
        <w:t>ALD1</w:t>
      </w:r>
      <w:r w:rsidR="006254A8" w:rsidRPr="00C40615">
        <w:rPr>
          <w:b w:val="0"/>
          <w:color w:val="auto"/>
        </w:rPr>
        <w:t xml:space="preserve"> (E) and </w:t>
      </w:r>
      <w:r w:rsidR="006254A8" w:rsidRPr="00C40615">
        <w:rPr>
          <w:b w:val="0"/>
          <w:i/>
          <w:color w:val="auto"/>
        </w:rPr>
        <w:t>FMO1</w:t>
      </w:r>
      <w:r w:rsidR="006254A8" w:rsidRPr="00C40615">
        <w:rPr>
          <w:b w:val="0"/>
          <w:color w:val="auto"/>
        </w:rPr>
        <w:t xml:space="preserve"> (F) were studied in respect of defence priming in Col-0</w:t>
      </w:r>
      <w:r w:rsidR="006254A8" w:rsidRPr="00C40615">
        <w:rPr>
          <w:b w:val="0"/>
          <w:i/>
          <w:color w:val="auto"/>
        </w:rPr>
        <w:t>, mpk3, mpk6</w:t>
      </w:r>
      <w:r w:rsidR="006254A8" w:rsidRPr="00C40615">
        <w:rPr>
          <w:b w:val="0"/>
          <w:color w:val="auto"/>
        </w:rPr>
        <w:t xml:space="preserve">, and </w:t>
      </w:r>
      <w:r w:rsidR="006254A8" w:rsidRPr="00C40615">
        <w:rPr>
          <w:b w:val="0"/>
          <w:i/>
          <w:color w:val="auto"/>
        </w:rPr>
        <w:t>mpk3 mpk6</w:t>
      </w:r>
      <w:r w:rsidR="006254A8" w:rsidRPr="00C40615">
        <w:rPr>
          <w:b w:val="0"/>
          <w:color w:val="auto"/>
        </w:rPr>
        <w:t xml:space="preserve">. Seeds for </w:t>
      </w:r>
      <w:r w:rsidR="006254A8" w:rsidRPr="00C40615">
        <w:rPr>
          <w:b w:val="0"/>
          <w:i/>
          <w:color w:val="auto"/>
        </w:rPr>
        <w:t>mpk3, mpk6</w:t>
      </w:r>
      <w:r w:rsidR="006254A8" w:rsidRPr="00C40615">
        <w:rPr>
          <w:b w:val="0"/>
          <w:color w:val="auto"/>
        </w:rPr>
        <w:t xml:space="preserve">, and </w:t>
      </w:r>
      <w:r w:rsidR="006254A8" w:rsidRPr="00C40615">
        <w:rPr>
          <w:b w:val="0"/>
          <w:i/>
          <w:color w:val="auto"/>
        </w:rPr>
        <w:t>mpk3 mpk6</w:t>
      </w:r>
      <w:r w:rsidR="006254A8" w:rsidRPr="00C40615">
        <w:rPr>
          <w:b w:val="0"/>
          <w:color w:val="auto"/>
        </w:rPr>
        <w:t xml:space="preserve"> were provided by Dr Ken Tsuda (MPIZ Cologne). </w:t>
      </w:r>
      <w:proofErr w:type="gramStart"/>
      <w:r w:rsidR="006254A8" w:rsidRPr="00C40615">
        <w:rPr>
          <w:b w:val="0"/>
          <w:color w:val="auto"/>
        </w:rPr>
        <w:t>P, primed response.</w:t>
      </w:r>
      <w:proofErr w:type="gramEnd"/>
    </w:p>
    <w:p w:rsidR="004D32E4" w:rsidRDefault="004D32E4" w:rsidP="004D32E4">
      <w:pPr>
        <w:keepNext/>
      </w:pPr>
      <w:r>
        <w:rPr>
          <w:noProof/>
          <w:lang w:val="de-DE" w:eastAsia="de-DE"/>
        </w:rPr>
        <w:lastRenderedPageBreak/>
        <w:drawing>
          <wp:anchor distT="0" distB="0" distL="114300" distR="114300" simplePos="0" relativeHeight="251730944" behindDoc="0" locked="0" layoutInCell="1" allowOverlap="1">
            <wp:simplePos x="914400" y="914400"/>
            <wp:positionH relativeFrom="page">
              <wp:align>center</wp:align>
            </wp:positionH>
            <wp:positionV relativeFrom="paragraph">
              <wp:posOffset>14605</wp:posOffset>
            </wp:positionV>
            <wp:extent cx="5760000" cy="5986280"/>
            <wp:effectExtent l="19050" t="19050" r="12700" b="14605"/>
            <wp:wrapTopAndBottom/>
            <wp:docPr id="68" name="Grafik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me course met acc after bc inf.png"/>
                    <pic:cNvPicPr/>
                  </pic:nvPicPr>
                  <pic:blipFill>
                    <a:blip r:embed="rId119" cstate="print">
                      <a:extLst>
                        <a:ext uri="{28A0092B-C50C-407E-A947-70E740481C1C}">
                          <a14:useLocalDpi xmlns:a14="http://schemas.microsoft.com/office/drawing/2010/main" val="0"/>
                        </a:ext>
                      </a:extLst>
                    </a:blip>
                    <a:stretch>
                      <a:fillRect/>
                    </a:stretch>
                  </pic:blipFill>
                  <pic:spPr>
                    <a:xfrm>
                      <a:off x="0" y="0"/>
                      <a:ext cx="5760000" cy="5986280"/>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p>
    <w:p w:rsidR="00A8044E" w:rsidRPr="00C40615" w:rsidRDefault="004D32E4" w:rsidP="000B3BC2">
      <w:pPr>
        <w:pStyle w:val="Beschriftung"/>
        <w:spacing w:after="0" w:line="360" w:lineRule="auto"/>
        <w:jc w:val="both"/>
        <w:rPr>
          <w:color w:val="auto"/>
        </w:rPr>
      </w:pPr>
      <w:bookmarkStart w:id="137" w:name="_Toc435621177"/>
      <w:proofErr w:type="gramStart"/>
      <w:r w:rsidRPr="00C40615">
        <w:rPr>
          <w:color w:val="auto"/>
        </w:rPr>
        <w:t xml:space="preserve">Supplemental figure </w:t>
      </w:r>
      <w:r w:rsidRPr="00C40615">
        <w:rPr>
          <w:color w:val="auto"/>
        </w:rPr>
        <w:fldChar w:fldCharType="begin"/>
      </w:r>
      <w:r w:rsidRPr="00C40615">
        <w:rPr>
          <w:color w:val="auto"/>
        </w:rPr>
        <w:instrText xml:space="preserve"> SEQ Supplemental_figure \* ARABIC </w:instrText>
      </w:r>
      <w:r w:rsidRPr="00C40615">
        <w:rPr>
          <w:color w:val="auto"/>
        </w:rPr>
        <w:fldChar w:fldCharType="separate"/>
      </w:r>
      <w:r w:rsidR="00CB17FE">
        <w:rPr>
          <w:noProof/>
          <w:color w:val="auto"/>
        </w:rPr>
        <w:t>12</w:t>
      </w:r>
      <w:r w:rsidRPr="00C40615">
        <w:rPr>
          <w:color w:val="auto"/>
        </w:rPr>
        <w:fldChar w:fldCharType="end"/>
      </w:r>
      <w:r w:rsidR="000B319C">
        <w:rPr>
          <w:color w:val="auto"/>
        </w:rPr>
        <w:t>.</w:t>
      </w:r>
      <w:proofErr w:type="gramEnd"/>
      <w:r w:rsidR="007A166C" w:rsidRPr="00C40615">
        <w:rPr>
          <w:color w:val="auto"/>
        </w:rPr>
        <w:t xml:space="preserve"> Metabolic profile of </w:t>
      </w:r>
      <w:r w:rsidR="007A166C" w:rsidRPr="00C40615">
        <w:rPr>
          <w:i/>
          <w:color w:val="auto"/>
        </w:rPr>
        <w:t>A</w:t>
      </w:r>
      <w:r w:rsidR="00CE18A4">
        <w:rPr>
          <w:i/>
          <w:color w:val="auto"/>
        </w:rPr>
        <w:t>.</w:t>
      </w:r>
      <w:r w:rsidR="007A166C" w:rsidRPr="00C40615">
        <w:rPr>
          <w:i/>
          <w:color w:val="auto"/>
        </w:rPr>
        <w:t xml:space="preserve"> thaliana</w:t>
      </w:r>
      <w:r w:rsidR="007A166C" w:rsidRPr="00C40615">
        <w:rPr>
          <w:color w:val="auto"/>
        </w:rPr>
        <w:t xml:space="preserve"> plants infected with the necrotroph </w:t>
      </w:r>
      <w:r w:rsidR="00CE18A4">
        <w:rPr>
          <w:i/>
          <w:color w:val="auto"/>
        </w:rPr>
        <w:t xml:space="preserve">B. </w:t>
      </w:r>
      <w:r w:rsidR="007A166C" w:rsidRPr="00C40615">
        <w:rPr>
          <w:i/>
          <w:color w:val="auto"/>
        </w:rPr>
        <w:t>cinerea</w:t>
      </w:r>
      <w:r w:rsidR="007A166C" w:rsidRPr="00C40615">
        <w:rPr>
          <w:color w:val="auto"/>
        </w:rPr>
        <w:t>.</w:t>
      </w:r>
      <w:bookmarkEnd w:id="137"/>
    </w:p>
    <w:p w:rsidR="00067D6A" w:rsidRPr="00C40615" w:rsidRDefault="00067D6A" w:rsidP="00067D6A">
      <w:pPr>
        <w:pStyle w:val="Beschriftung"/>
        <w:spacing w:after="0"/>
        <w:jc w:val="both"/>
        <w:rPr>
          <w:b w:val="0"/>
          <w:color w:val="auto"/>
        </w:rPr>
      </w:pPr>
      <w:r w:rsidRPr="00C40615">
        <w:rPr>
          <w:b w:val="0"/>
          <w:color w:val="auto"/>
        </w:rPr>
        <w:t xml:space="preserve">Plants were treated and analysed as described in figure 33. Accumulation of free </w:t>
      </w:r>
      <w:r w:rsidR="00CE18A4">
        <w:rPr>
          <w:b w:val="0"/>
          <w:color w:val="auto"/>
        </w:rPr>
        <w:t>SA</w:t>
      </w:r>
      <w:r w:rsidRPr="00C40615">
        <w:rPr>
          <w:b w:val="0"/>
          <w:color w:val="auto"/>
        </w:rPr>
        <w:t xml:space="preserve"> (A), camalexin (B), </w:t>
      </w:r>
      <w:r w:rsidR="00CE18A4">
        <w:rPr>
          <w:b w:val="0"/>
          <w:color w:val="auto"/>
        </w:rPr>
        <w:t>JA</w:t>
      </w:r>
      <w:r w:rsidRPr="00C40615">
        <w:rPr>
          <w:b w:val="0"/>
          <w:color w:val="auto"/>
        </w:rPr>
        <w:t xml:space="preserve"> (C), </w:t>
      </w:r>
      <w:r w:rsidR="00CE18A4">
        <w:rPr>
          <w:b w:val="0"/>
          <w:color w:val="auto"/>
        </w:rPr>
        <w:t>ICA</w:t>
      </w:r>
      <w:r w:rsidRPr="00C40615">
        <w:rPr>
          <w:b w:val="0"/>
          <w:color w:val="auto"/>
        </w:rPr>
        <w:t xml:space="preserve"> (D), </w:t>
      </w:r>
      <w:r w:rsidR="00CE18A4">
        <w:rPr>
          <w:b w:val="0"/>
          <w:color w:val="auto"/>
        </w:rPr>
        <w:t>Pip</w:t>
      </w:r>
      <w:r w:rsidRPr="00C40615">
        <w:rPr>
          <w:b w:val="0"/>
          <w:color w:val="auto"/>
        </w:rPr>
        <w:t xml:space="preserve"> (E), and </w:t>
      </w:r>
      <w:r w:rsidR="00CE18A4" w:rsidRPr="00CE18A4">
        <w:rPr>
          <w:rFonts w:cstheme="minorHAnsi"/>
          <w:b w:val="0"/>
          <w:color w:val="auto"/>
        </w:rPr>
        <w:t>GABA</w:t>
      </w:r>
      <w:r w:rsidRPr="00CE18A4">
        <w:rPr>
          <w:b w:val="0"/>
          <w:color w:val="auto"/>
        </w:rPr>
        <w:t xml:space="preserve"> </w:t>
      </w:r>
      <w:r w:rsidRPr="00C40615">
        <w:rPr>
          <w:b w:val="0"/>
          <w:color w:val="auto"/>
        </w:rPr>
        <w:t xml:space="preserve">(F). </w:t>
      </w:r>
      <w:r w:rsidRPr="00C40615">
        <w:rPr>
          <w:b w:val="0"/>
          <w:color w:val="auto"/>
          <w:lang w:val="en-US"/>
        </w:rPr>
        <w:t xml:space="preserve">Bars represent the mean ±SD of three replicate samples and asterisks above the bars show significant statistical differences between non-infected and infected plants (two-tailed </w:t>
      </w:r>
      <w:r w:rsidRPr="00C40615">
        <w:rPr>
          <w:b w:val="0"/>
          <w:i/>
          <w:color w:val="auto"/>
          <w:lang w:val="en-US"/>
        </w:rPr>
        <w:t>t</w:t>
      </w:r>
      <w:r w:rsidRPr="00C40615">
        <w:rPr>
          <w:b w:val="0"/>
          <w:color w:val="auto"/>
          <w:lang w:val="en-US"/>
        </w:rPr>
        <w:t xml:space="preserve"> test; *, P&lt; 0.05; **, P&lt; 0.01; ***, P&lt; 0.001).  </w:t>
      </w:r>
      <w:proofErr w:type="gramStart"/>
      <w:r w:rsidRPr="00C40615">
        <w:rPr>
          <w:b w:val="0"/>
          <w:color w:val="auto"/>
          <w:lang w:val="en-US"/>
        </w:rPr>
        <w:t>FW, fresh weight.</w:t>
      </w:r>
      <w:proofErr w:type="gramEnd"/>
      <w:r w:rsidRPr="00C40615">
        <w:rPr>
          <w:b w:val="0"/>
          <w:color w:val="auto"/>
          <w:lang w:val="en-US"/>
        </w:rPr>
        <w:t xml:space="preserve"> This experiment was done in cooperation with Verena Gruber</w:t>
      </w:r>
      <w:r w:rsidR="00D23D9F">
        <w:rPr>
          <w:b w:val="0"/>
          <w:color w:val="auto"/>
          <w:lang w:val="en-US"/>
        </w:rPr>
        <w:t>,</w:t>
      </w:r>
      <w:r w:rsidR="002F653F" w:rsidRPr="00C40615">
        <w:rPr>
          <w:b w:val="0"/>
          <w:color w:val="auto"/>
          <w:lang w:val="en-US"/>
        </w:rPr>
        <w:t xml:space="preserve"> </w:t>
      </w:r>
      <w:proofErr w:type="gramStart"/>
      <w:r w:rsidR="002F653F" w:rsidRPr="00C40615">
        <w:rPr>
          <w:b w:val="0"/>
          <w:color w:val="auto"/>
          <w:lang w:val="en-US"/>
        </w:rPr>
        <w:t>B.Sc.</w:t>
      </w:r>
      <w:r w:rsidRPr="00C40615">
        <w:rPr>
          <w:b w:val="0"/>
          <w:color w:val="auto"/>
          <w:lang w:val="en-US"/>
        </w:rPr>
        <w:t>.</w:t>
      </w:r>
      <w:proofErr w:type="gramEnd"/>
    </w:p>
    <w:p w:rsidR="007E5FC5" w:rsidRDefault="007E5FC5" w:rsidP="007A166C">
      <w:pPr>
        <w:pStyle w:val="Beschriftung"/>
        <w:jc w:val="both"/>
      </w:pPr>
    </w:p>
    <w:p w:rsidR="00AA6928" w:rsidRDefault="00AA6928" w:rsidP="00AA6928"/>
    <w:p w:rsidR="00AA6928" w:rsidRPr="00AA6928" w:rsidRDefault="00AA6928" w:rsidP="00AA6928"/>
    <w:p w:rsidR="005E0953" w:rsidRDefault="005E0953" w:rsidP="005E0953">
      <w:pPr>
        <w:keepNext/>
      </w:pPr>
      <w:r>
        <w:rPr>
          <w:noProof/>
          <w:lang w:val="de-DE" w:eastAsia="de-DE"/>
        </w:rPr>
        <w:lastRenderedPageBreak/>
        <w:drawing>
          <wp:anchor distT="0" distB="0" distL="114300" distR="114300" simplePos="0" relativeHeight="251731968" behindDoc="0" locked="0" layoutInCell="1" allowOverlap="1">
            <wp:simplePos x="914400" y="914400"/>
            <wp:positionH relativeFrom="page">
              <wp:align>center</wp:align>
            </wp:positionH>
            <wp:positionV relativeFrom="paragraph">
              <wp:posOffset>14605</wp:posOffset>
            </wp:positionV>
            <wp:extent cx="5760000" cy="3641140"/>
            <wp:effectExtent l="19050" t="19050" r="12700" b="16510"/>
            <wp:wrapTopAndBottom/>
            <wp:docPr id="69" name="Grafik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c inf in mutants.png"/>
                    <pic:cNvPicPr/>
                  </pic:nvPicPr>
                  <pic:blipFill>
                    <a:blip r:embed="rId120" cstate="print">
                      <a:extLst>
                        <a:ext uri="{28A0092B-C50C-407E-A947-70E740481C1C}">
                          <a14:useLocalDpi xmlns:a14="http://schemas.microsoft.com/office/drawing/2010/main" val="0"/>
                        </a:ext>
                      </a:extLst>
                    </a:blip>
                    <a:stretch>
                      <a:fillRect/>
                    </a:stretch>
                  </pic:blipFill>
                  <pic:spPr>
                    <a:xfrm>
                      <a:off x="0" y="0"/>
                      <a:ext cx="5760000" cy="3641140"/>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p>
    <w:p w:rsidR="000A0576" w:rsidRPr="00C40615" w:rsidRDefault="005E0953" w:rsidP="000B3BC2">
      <w:pPr>
        <w:pStyle w:val="Beschriftung"/>
        <w:spacing w:after="0" w:line="360" w:lineRule="auto"/>
        <w:rPr>
          <w:color w:val="auto"/>
        </w:rPr>
      </w:pPr>
      <w:bookmarkStart w:id="138" w:name="_Toc435621178"/>
      <w:proofErr w:type="gramStart"/>
      <w:r w:rsidRPr="00C40615">
        <w:rPr>
          <w:color w:val="auto"/>
        </w:rPr>
        <w:t xml:space="preserve">Supplemental figure </w:t>
      </w:r>
      <w:r w:rsidRPr="00C40615">
        <w:rPr>
          <w:color w:val="auto"/>
        </w:rPr>
        <w:fldChar w:fldCharType="begin"/>
      </w:r>
      <w:r w:rsidRPr="00C40615">
        <w:rPr>
          <w:color w:val="auto"/>
        </w:rPr>
        <w:instrText xml:space="preserve"> SEQ Supplemental_figure \* ARABIC </w:instrText>
      </w:r>
      <w:r w:rsidRPr="00C40615">
        <w:rPr>
          <w:color w:val="auto"/>
        </w:rPr>
        <w:fldChar w:fldCharType="separate"/>
      </w:r>
      <w:r w:rsidR="00CB17FE">
        <w:rPr>
          <w:noProof/>
          <w:color w:val="auto"/>
        </w:rPr>
        <w:t>13</w:t>
      </w:r>
      <w:r w:rsidRPr="00C40615">
        <w:rPr>
          <w:color w:val="auto"/>
        </w:rPr>
        <w:fldChar w:fldCharType="end"/>
      </w:r>
      <w:r w:rsidR="000B319C">
        <w:rPr>
          <w:color w:val="auto"/>
        </w:rPr>
        <w:t>.</w:t>
      </w:r>
      <w:proofErr w:type="gramEnd"/>
      <w:r w:rsidRPr="00C40615">
        <w:rPr>
          <w:color w:val="auto"/>
        </w:rPr>
        <w:t xml:space="preserve"> </w:t>
      </w:r>
      <w:proofErr w:type="gramStart"/>
      <w:r w:rsidRPr="00C40615">
        <w:rPr>
          <w:color w:val="auto"/>
        </w:rPr>
        <w:t xml:space="preserve">Defence signalling in the </w:t>
      </w:r>
      <w:r w:rsidRPr="00C40615">
        <w:rPr>
          <w:i/>
          <w:color w:val="auto"/>
        </w:rPr>
        <w:t>Arabidopsis-Botrytis</w:t>
      </w:r>
      <w:r w:rsidRPr="00C40615">
        <w:rPr>
          <w:color w:val="auto"/>
        </w:rPr>
        <w:t xml:space="preserve"> interaction.</w:t>
      </w:r>
      <w:bookmarkEnd w:id="138"/>
      <w:proofErr w:type="gramEnd"/>
      <w:r w:rsidR="000A0576" w:rsidRPr="00C40615">
        <w:rPr>
          <w:color w:val="auto"/>
        </w:rPr>
        <w:t xml:space="preserve"> </w:t>
      </w:r>
    </w:p>
    <w:p w:rsidR="007A166C" w:rsidRPr="00C40615" w:rsidRDefault="000A0576" w:rsidP="000A0576">
      <w:pPr>
        <w:pStyle w:val="Beschriftung"/>
        <w:spacing w:after="0"/>
        <w:jc w:val="both"/>
        <w:rPr>
          <w:b w:val="0"/>
          <w:color w:val="auto"/>
        </w:rPr>
      </w:pPr>
      <w:r w:rsidRPr="00C40615">
        <w:rPr>
          <w:b w:val="0"/>
          <w:color w:val="auto"/>
        </w:rPr>
        <w:t xml:space="preserve">Analysis of metabolite accumulation in </w:t>
      </w:r>
      <w:r w:rsidRPr="00C40615">
        <w:rPr>
          <w:b w:val="0"/>
          <w:i/>
          <w:color w:val="auto"/>
        </w:rPr>
        <w:t>Arabidopsis</w:t>
      </w:r>
      <w:r w:rsidRPr="00C40615">
        <w:rPr>
          <w:b w:val="0"/>
          <w:color w:val="auto"/>
        </w:rPr>
        <w:t xml:space="preserve"> plants after infection with the necrotrophic fungus </w:t>
      </w:r>
      <w:r w:rsidRPr="00C40615">
        <w:rPr>
          <w:b w:val="0"/>
          <w:i/>
          <w:color w:val="auto"/>
        </w:rPr>
        <w:t>B.</w:t>
      </w:r>
      <w:r w:rsidR="00CE18A4">
        <w:rPr>
          <w:b w:val="0"/>
          <w:i/>
          <w:color w:val="auto"/>
        </w:rPr>
        <w:t xml:space="preserve"> </w:t>
      </w:r>
      <w:r w:rsidRPr="00C40615">
        <w:rPr>
          <w:b w:val="0"/>
          <w:i/>
          <w:color w:val="auto"/>
        </w:rPr>
        <w:t>cinerea</w:t>
      </w:r>
      <w:r w:rsidRPr="00C40615">
        <w:rPr>
          <w:b w:val="0"/>
          <w:color w:val="auto"/>
        </w:rPr>
        <w:t xml:space="preserve"> as delineated in figure 35. Accumulation of total </w:t>
      </w:r>
      <w:r w:rsidR="00CE18A4">
        <w:rPr>
          <w:b w:val="0"/>
          <w:color w:val="auto"/>
        </w:rPr>
        <w:t>SA</w:t>
      </w:r>
      <w:r w:rsidR="00D23D9F">
        <w:rPr>
          <w:b w:val="0"/>
          <w:color w:val="auto"/>
        </w:rPr>
        <w:t xml:space="preserve"> (sum of free and conjugated</w:t>
      </w:r>
      <w:r w:rsidRPr="00C40615">
        <w:rPr>
          <w:b w:val="0"/>
          <w:color w:val="auto"/>
        </w:rPr>
        <w:t xml:space="preserve"> SA) (A), camalexin (B), </w:t>
      </w:r>
      <w:r w:rsidR="00CE18A4">
        <w:rPr>
          <w:b w:val="0"/>
          <w:color w:val="auto"/>
        </w:rPr>
        <w:t>Pip</w:t>
      </w:r>
      <w:r w:rsidRPr="00C40615">
        <w:rPr>
          <w:b w:val="0"/>
          <w:color w:val="auto"/>
        </w:rPr>
        <w:t xml:space="preserve"> (C), and the unknown compound 13 (D). </w:t>
      </w:r>
      <w:r w:rsidRPr="00C40615">
        <w:rPr>
          <w:b w:val="0"/>
          <w:color w:val="auto"/>
          <w:lang w:val="en-US"/>
        </w:rPr>
        <w:t xml:space="preserve">Bars represent the mean ±SD of three replicate samples and asterisks above the bars show significant statistical differences between non-infected and infected plants (two-tailed </w:t>
      </w:r>
      <w:r w:rsidRPr="00C40615">
        <w:rPr>
          <w:b w:val="0"/>
          <w:i/>
          <w:color w:val="auto"/>
          <w:lang w:val="en-US"/>
        </w:rPr>
        <w:t>t</w:t>
      </w:r>
      <w:r w:rsidRPr="00C40615">
        <w:rPr>
          <w:b w:val="0"/>
          <w:color w:val="auto"/>
          <w:lang w:val="en-US"/>
        </w:rPr>
        <w:t xml:space="preserve"> test; *, P&lt; 0.05; **, P&lt; 0.01; ***, P&lt; 0.001).  </w:t>
      </w:r>
      <w:proofErr w:type="gramStart"/>
      <w:r w:rsidRPr="00C40615">
        <w:rPr>
          <w:b w:val="0"/>
          <w:color w:val="auto"/>
          <w:lang w:val="en-US"/>
        </w:rPr>
        <w:t>FW, fresh weight.</w:t>
      </w:r>
      <w:proofErr w:type="gramEnd"/>
    </w:p>
    <w:p w:rsidR="005E0953" w:rsidRDefault="005E0953" w:rsidP="005E0953"/>
    <w:p w:rsidR="00AA6928" w:rsidRDefault="00AA6928" w:rsidP="005E0953"/>
    <w:p w:rsidR="00165578" w:rsidRDefault="00165578" w:rsidP="00165578">
      <w:pPr>
        <w:keepNext/>
      </w:pPr>
      <w:r>
        <w:rPr>
          <w:noProof/>
          <w:lang w:val="de-DE" w:eastAsia="de-DE"/>
        </w:rPr>
        <w:drawing>
          <wp:anchor distT="0" distB="0" distL="114300" distR="114300" simplePos="0" relativeHeight="251732992" behindDoc="0" locked="0" layoutInCell="1" allowOverlap="1">
            <wp:simplePos x="914400" y="5876925"/>
            <wp:positionH relativeFrom="page">
              <wp:align>center</wp:align>
            </wp:positionH>
            <wp:positionV relativeFrom="paragraph">
              <wp:posOffset>17780</wp:posOffset>
            </wp:positionV>
            <wp:extent cx="3240000" cy="1987200"/>
            <wp:effectExtent l="19050" t="19050" r="17780" b="13335"/>
            <wp:wrapTopAndBottom/>
            <wp:docPr id="73" name="Grafik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p-IR vs Bc.png"/>
                    <pic:cNvPicPr/>
                  </pic:nvPicPr>
                  <pic:blipFill>
                    <a:blip r:embed="rId121">
                      <a:extLst>
                        <a:ext uri="{28A0092B-C50C-407E-A947-70E740481C1C}">
                          <a14:useLocalDpi xmlns:a14="http://schemas.microsoft.com/office/drawing/2010/main" val="0"/>
                        </a:ext>
                      </a:extLst>
                    </a:blip>
                    <a:stretch>
                      <a:fillRect/>
                    </a:stretch>
                  </pic:blipFill>
                  <pic:spPr>
                    <a:xfrm>
                      <a:off x="0" y="0"/>
                      <a:ext cx="3240000" cy="1987200"/>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p>
    <w:p w:rsidR="002674E2" w:rsidRPr="00C40615" w:rsidRDefault="00165578" w:rsidP="000B3BC2">
      <w:pPr>
        <w:pStyle w:val="Beschriftung"/>
        <w:spacing w:after="0" w:line="360" w:lineRule="auto"/>
        <w:jc w:val="both"/>
        <w:rPr>
          <w:color w:val="auto"/>
        </w:rPr>
      </w:pPr>
      <w:bookmarkStart w:id="139" w:name="_Toc435621179"/>
      <w:proofErr w:type="gramStart"/>
      <w:r w:rsidRPr="00C40615">
        <w:rPr>
          <w:color w:val="auto"/>
        </w:rPr>
        <w:t xml:space="preserve">Supplemental figure </w:t>
      </w:r>
      <w:r w:rsidRPr="00C40615">
        <w:rPr>
          <w:color w:val="auto"/>
        </w:rPr>
        <w:fldChar w:fldCharType="begin"/>
      </w:r>
      <w:r w:rsidRPr="00C40615">
        <w:rPr>
          <w:color w:val="auto"/>
        </w:rPr>
        <w:instrText xml:space="preserve"> SEQ Supplemental_figure \* ARABIC </w:instrText>
      </w:r>
      <w:r w:rsidRPr="00C40615">
        <w:rPr>
          <w:color w:val="auto"/>
        </w:rPr>
        <w:fldChar w:fldCharType="separate"/>
      </w:r>
      <w:r w:rsidR="00CB17FE">
        <w:rPr>
          <w:noProof/>
          <w:color w:val="auto"/>
        </w:rPr>
        <w:t>14</w:t>
      </w:r>
      <w:r w:rsidRPr="00C40615">
        <w:rPr>
          <w:color w:val="auto"/>
        </w:rPr>
        <w:fldChar w:fldCharType="end"/>
      </w:r>
      <w:r w:rsidR="000B319C">
        <w:rPr>
          <w:color w:val="auto"/>
        </w:rPr>
        <w:t>.</w:t>
      </w:r>
      <w:proofErr w:type="gramEnd"/>
      <w:r w:rsidRPr="00C40615">
        <w:rPr>
          <w:color w:val="auto"/>
        </w:rPr>
        <w:t xml:space="preserve"> Exogenous </w:t>
      </w:r>
      <w:r w:rsidR="00CE18A4">
        <w:rPr>
          <w:color w:val="auto"/>
        </w:rPr>
        <w:t>Pip</w:t>
      </w:r>
      <w:r w:rsidRPr="00C40615">
        <w:rPr>
          <w:color w:val="auto"/>
        </w:rPr>
        <w:t xml:space="preserve"> induces resistance against </w:t>
      </w:r>
      <w:r w:rsidRPr="00C40615">
        <w:rPr>
          <w:i/>
          <w:color w:val="auto"/>
        </w:rPr>
        <w:t>B.</w:t>
      </w:r>
      <w:r w:rsidR="00CE18A4">
        <w:rPr>
          <w:i/>
          <w:color w:val="auto"/>
        </w:rPr>
        <w:t xml:space="preserve"> </w:t>
      </w:r>
      <w:r w:rsidRPr="00C40615">
        <w:rPr>
          <w:i/>
          <w:color w:val="auto"/>
        </w:rPr>
        <w:t>cinerea</w:t>
      </w:r>
      <w:r w:rsidRPr="00C40615">
        <w:rPr>
          <w:color w:val="auto"/>
        </w:rPr>
        <w:t>.</w:t>
      </w:r>
      <w:bookmarkEnd w:id="139"/>
      <w:r w:rsidR="000A0576" w:rsidRPr="00C40615">
        <w:rPr>
          <w:color w:val="auto"/>
        </w:rPr>
        <w:t xml:space="preserve"> </w:t>
      </w:r>
    </w:p>
    <w:p w:rsidR="005E0953" w:rsidRPr="00C40615" w:rsidRDefault="000A0576" w:rsidP="002674E2">
      <w:pPr>
        <w:pStyle w:val="Beschriftung"/>
        <w:spacing w:after="0"/>
        <w:jc w:val="both"/>
        <w:rPr>
          <w:b w:val="0"/>
          <w:color w:val="auto"/>
        </w:rPr>
      </w:pPr>
      <w:r w:rsidRPr="00C40615">
        <w:rPr>
          <w:b w:val="0"/>
          <w:color w:val="auto"/>
        </w:rPr>
        <w:t xml:space="preserve">Plants were treated and samples analysed as described in figure 37. </w:t>
      </w:r>
      <w:r w:rsidR="002674E2" w:rsidRPr="00C40615">
        <w:rPr>
          <w:b w:val="0"/>
          <w:color w:val="auto"/>
          <w:lang w:val="en-US"/>
        </w:rPr>
        <w:t>A</w:t>
      </w:r>
      <w:r w:rsidRPr="00C40615">
        <w:rPr>
          <w:b w:val="0"/>
          <w:color w:val="auto"/>
          <w:lang w:val="en-US"/>
        </w:rPr>
        <w:t xml:space="preserve">sterisks above the bars show significant statistical differences between non-infected and infected plants (two-tailed </w:t>
      </w:r>
      <w:r w:rsidRPr="00C40615">
        <w:rPr>
          <w:b w:val="0"/>
          <w:i/>
          <w:color w:val="auto"/>
          <w:lang w:val="en-US"/>
        </w:rPr>
        <w:t>t</w:t>
      </w:r>
      <w:r w:rsidRPr="00C40615">
        <w:rPr>
          <w:b w:val="0"/>
          <w:color w:val="auto"/>
          <w:lang w:val="en-US"/>
        </w:rPr>
        <w:t xml:space="preserve"> test; *, P&lt; 0.05; **, P&lt; 0.01; ***, P&lt; 0.001).  </w:t>
      </w:r>
    </w:p>
    <w:p w:rsidR="00CF1491" w:rsidRDefault="00D314F3" w:rsidP="00CF1491">
      <w:pPr>
        <w:keepNext/>
      </w:pPr>
      <w:r>
        <w:rPr>
          <w:noProof/>
          <w:lang w:val="de-DE" w:eastAsia="de-DE"/>
        </w:rPr>
        <w:lastRenderedPageBreak/>
        <w:drawing>
          <wp:anchor distT="0" distB="0" distL="114300" distR="114300" simplePos="0" relativeHeight="251734016" behindDoc="0" locked="0" layoutInCell="1" allowOverlap="1">
            <wp:simplePos x="914400" y="914400"/>
            <wp:positionH relativeFrom="page">
              <wp:align>center</wp:align>
            </wp:positionH>
            <wp:positionV relativeFrom="paragraph">
              <wp:posOffset>14605</wp:posOffset>
            </wp:positionV>
            <wp:extent cx="5580000" cy="7544955"/>
            <wp:effectExtent l="19050" t="19050" r="20955" b="18415"/>
            <wp:wrapTopAndBottom/>
            <wp:docPr id="74" name="Grafik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pa inf in mutants.png"/>
                    <pic:cNvPicPr/>
                  </pic:nvPicPr>
                  <pic:blipFill>
                    <a:blip r:embed="rId122" cstate="print">
                      <a:extLst>
                        <a:ext uri="{28A0092B-C50C-407E-A947-70E740481C1C}">
                          <a14:useLocalDpi xmlns:a14="http://schemas.microsoft.com/office/drawing/2010/main" val="0"/>
                        </a:ext>
                      </a:extLst>
                    </a:blip>
                    <a:stretch>
                      <a:fillRect/>
                    </a:stretch>
                  </pic:blipFill>
                  <pic:spPr>
                    <a:xfrm>
                      <a:off x="0" y="0"/>
                      <a:ext cx="5580000" cy="7544955"/>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p>
    <w:p w:rsidR="002B03E0" w:rsidRPr="00C40615" w:rsidRDefault="00CF1491" w:rsidP="000B3BC2">
      <w:pPr>
        <w:pStyle w:val="Beschriftung"/>
        <w:spacing w:after="0" w:line="360" w:lineRule="auto"/>
        <w:jc w:val="both"/>
        <w:rPr>
          <w:color w:val="auto"/>
        </w:rPr>
      </w:pPr>
      <w:bookmarkStart w:id="140" w:name="_Toc435621180"/>
      <w:proofErr w:type="gramStart"/>
      <w:r w:rsidRPr="00C40615">
        <w:rPr>
          <w:color w:val="auto"/>
        </w:rPr>
        <w:t xml:space="preserve">Supplemental figure </w:t>
      </w:r>
      <w:r w:rsidRPr="00C40615">
        <w:rPr>
          <w:color w:val="auto"/>
        </w:rPr>
        <w:fldChar w:fldCharType="begin"/>
      </w:r>
      <w:r w:rsidRPr="00C40615">
        <w:rPr>
          <w:color w:val="auto"/>
        </w:rPr>
        <w:instrText xml:space="preserve"> SEQ Supplemental_figure \* ARABIC </w:instrText>
      </w:r>
      <w:r w:rsidRPr="00C40615">
        <w:rPr>
          <w:color w:val="auto"/>
        </w:rPr>
        <w:fldChar w:fldCharType="separate"/>
      </w:r>
      <w:r w:rsidR="00CB17FE">
        <w:rPr>
          <w:noProof/>
          <w:color w:val="auto"/>
        </w:rPr>
        <w:t>15</w:t>
      </w:r>
      <w:r w:rsidRPr="00C40615">
        <w:rPr>
          <w:color w:val="auto"/>
        </w:rPr>
        <w:fldChar w:fldCharType="end"/>
      </w:r>
      <w:r w:rsidR="000B319C">
        <w:rPr>
          <w:color w:val="auto"/>
        </w:rPr>
        <w:t>.</w:t>
      </w:r>
      <w:proofErr w:type="gramEnd"/>
      <w:r w:rsidRPr="00C40615">
        <w:rPr>
          <w:color w:val="auto"/>
        </w:rPr>
        <w:t xml:space="preserve"> Metabolite profiling of </w:t>
      </w:r>
      <w:r w:rsidRPr="00C40615">
        <w:rPr>
          <w:i/>
          <w:color w:val="auto"/>
        </w:rPr>
        <w:t>Arabidopsis</w:t>
      </w:r>
      <w:r w:rsidRPr="00C40615">
        <w:rPr>
          <w:color w:val="auto"/>
        </w:rPr>
        <w:t xml:space="preserve"> plants infected with the virulent </w:t>
      </w:r>
      <w:r w:rsidR="00CE18A4">
        <w:rPr>
          <w:i/>
          <w:color w:val="auto"/>
        </w:rPr>
        <w:t>Hpa</w:t>
      </w:r>
      <w:r w:rsidRPr="00C40615">
        <w:rPr>
          <w:color w:val="auto"/>
        </w:rPr>
        <w:t xml:space="preserve"> Noco2.</w:t>
      </w:r>
      <w:bookmarkEnd w:id="140"/>
      <w:r w:rsidR="00865E83" w:rsidRPr="00C40615">
        <w:rPr>
          <w:color w:val="auto"/>
        </w:rPr>
        <w:t xml:space="preserve"> </w:t>
      </w:r>
    </w:p>
    <w:p w:rsidR="001C6F8A" w:rsidRDefault="00865E83" w:rsidP="000B3BC2">
      <w:pPr>
        <w:pStyle w:val="Beschriftung"/>
        <w:spacing w:after="0"/>
        <w:jc w:val="both"/>
        <w:rPr>
          <w:b w:val="0"/>
          <w:color w:val="auto"/>
          <w:lang w:val="en-US"/>
        </w:rPr>
      </w:pPr>
      <w:r w:rsidRPr="00C40615">
        <w:rPr>
          <w:b w:val="0"/>
          <w:color w:val="auto"/>
        </w:rPr>
        <w:t xml:space="preserve">Treatment and metabolite analyses as detailed in figure 38, but in this experiment only the virulent </w:t>
      </w:r>
      <w:r w:rsidR="00CE18A4">
        <w:rPr>
          <w:b w:val="0"/>
          <w:i/>
          <w:color w:val="auto"/>
        </w:rPr>
        <w:t>Hpa</w:t>
      </w:r>
      <w:r w:rsidR="002B03E0" w:rsidRPr="00C40615">
        <w:rPr>
          <w:b w:val="0"/>
          <w:color w:val="auto"/>
        </w:rPr>
        <w:t xml:space="preserve"> isolate Noco2 was used. Accumulation of free </w:t>
      </w:r>
      <w:r w:rsidR="00CE18A4">
        <w:rPr>
          <w:b w:val="0"/>
          <w:color w:val="auto"/>
        </w:rPr>
        <w:t>SA</w:t>
      </w:r>
      <w:r w:rsidR="002B03E0" w:rsidRPr="00C40615">
        <w:rPr>
          <w:b w:val="0"/>
          <w:color w:val="auto"/>
        </w:rPr>
        <w:t xml:space="preserve"> (A), camalexin (B), </w:t>
      </w:r>
      <w:r w:rsidR="00CE18A4">
        <w:rPr>
          <w:b w:val="0"/>
          <w:color w:val="auto"/>
        </w:rPr>
        <w:t>ICA</w:t>
      </w:r>
      <w:r w:rsidR="002B03E0" w:rsidRPr="00C40615">
        <w:rPr>
          <w:b w:val="0"/>
          <w:color w:val="auto"/>
        </w:rPr>
        <w:t xml:space="preserve"> (C), </w:t>
      </w:r>
      <w:r w:rsidR="00CE18A4">
        <w:rPr>
          <w:b w:val="0"/>
          <w:color w:val="auto"/>
        </w:rPr>
        <w:t>“</w:t>
      </w:r>
      <w:r w:rsidR="002B03E0" w:rsidRPr="00C40615">
        <w:rPr>
          <w:b w:val="0"/>
          <w:color w:val="auto"/>
        </w:rPr>
        <w:t>unknown 28</w:t>
      </w:r>
      <w:r w:rsidR="00CE18A4">
        <w:rPr>
          <w:b w:val="0"/>
          <w:color w:val="auto"/>
        </w:rPr>
        <w:t>”</w:t>
      </w:r>
      <w:r w:rsidR="002B03E0" w:rsidRPr="00C40615">
        <w:rPr>
          <w:b w:val="0"/>
          <w:color w:val="auto"/>
        </w:rPr>
        <w:t xml:space="preserve"> (D), </w:t>
      </w:r>
      <w:r w:rsidR="00CE18A4">
        <w:rPr>
          <w:b w:val="0"/>
          <w:color w:val="auto"/>
        </w:rPr>
        <w:t>Pip</w:t>
      </w:r>
      <w:r w:rsidR="002B03E0" w:rsidRPr="00C40615">
        <w:rPr>
          <w:b w:val="0"/>
          <w:color w:val="auto"/>
        </w:rPr>
        <w:t xml:space="preserve"> (E), </w:t>
      </w:r>
      <w:r w:rsidR="00CE18A4">
        <w:rPr>
          <w:b w:val="0"/>
          <w:color w:val="auto"/>
        </w:rPr>
        <w:t>Pro</w:t>
      </w:r>
      <w:r w:rsidR="002B03E0" w:rsidRPr="00C40615">
        <w:rPr>
          <w:b w:val="0"/>
          <w:color w:val="auto"/>
        </w:rPr>
        <w:t xml:space="preserve"> (F), </w:t>
      </w:r>
      <w:r w:rsidR="00CE18A4" w:rsidRPr="00CE18A4">
        <w:rPr>
          <w:rFonts w:cstheme="minorHAnsi"/>
          <w:b w:val="0"/>
          <w:color w:val="auto"/>
        </w:rPr>
        <w:t>GABA</w:t>
      </w:r>
      <w:r w:rsidR="002B03E0" w:rsidRPr="00CE18A4">
        <w:rPr>
          <w:b w:val="0"/>
          <w:color w:val="auto"/>
        </w:rPr>
        <w:t xml:space="preserve"> </w:t>
      </w:r>
      <w:r w:rsidR="002B03E0" w:rsidRPr="00C40615">
        <w:rPr>
          <w:b w:val="0"/>
          <w:color w:val="auto"/>
        </w:rPr>
        <w:t xml:space="preserve">(G), and </w:t>
      </w:r>
      <w:r w:rsidR="00CE18A4">
        <w:rPr>
          <w:b w:val="0"/>
          <w:color w:val="auto"/>
        </w:rPr>
        <w:t>Orn</w:t>
      </w:r>
      <w:r w:rsidR="002B03E0" w:rsidRPr="00C40615">
        <w:rPr>
          <w:b w:val="0"/>
          <w:color w:val="auto"/>
        </w:rPr>
        <w:t xml:space="preserve"> (H). </w:t>
      </w:r>
      <w:r w:rsidR="002B03E0" w:rsidRPr="00C40615">
        <w:rPr>
          <w:b w:val="0"/>
          <w:color w:val="auto"/>
          <w:lang w:val="en-US"/>
        </w:rPr>
        <w:t xml:space="preserve">Asterisks above the bars show significant statistical differences between non-infected and infected plants (two-tailed </w:t>
      </w:r>
      <w:r w:rsidR="002B03E0" w:rsidRPr="00C40615">
        <w:rPr>
          <w:b w:val="0"/>
          <w:i/>
          <w:color w:val="auto"/>
          <w:lang w:val="en-US"/>
        </w:rPr>
        <w:t>t</w:t>
      </w:r>
      <w:r w:rsidR="002B03E0" w:rsidRPr="00C40615">
        <w:rPr>
          <w:b w:val="0"/>
          <w:color w:val="auto"/>
          <w:lang w:val="en-US"/>
        </w:rPr>
        <w:t xml:space="preserve"> test; *, P&lt; 0.</w:t>
      </w:r>
      <w:r w:rsidR="000B3BC2">
        <w:rPr>
          <w:b w:val="0"/>
          <w:color w:val="auto"/>
          <w:lang w:val="en-US"/>
        </w:rPr>
        <w:t xml:space="preserve">05; **, P&lt; 0.01; ***, P&lt; 0.001).                </w:t>
      </w:r>
    </w:p>
    <w:p w:rsidR="000B3BC2" w:rsidRPr="000B3BC2" w:rsidRDefault="000B3BC2" w:rsidP="000B3BC2">
      <w:pPr>
        <w:rPr>
          <w:lang w:val="en-US"/>
        </w:rPr>
        <w:sectPr w:rsidR="000B3BC2" w:rsidRPr="000B3BC2" w:rsidSect="00E46EA9">
          <w:headerReference w:type="default" r:id="rId123"/>
          <w:headerReference w:type="first" r:id="rId124"/>
          <w:type w:val="continuous"/>
          <w:pgSz w:w="11906" w:h="16838"/>
          <w:pgMar w:top="1417" w:right="1417" w:bottom="1134" w:left="1417" w:header="708" w:footer="708" w:gutter="0"/>
          <w:cols w:space="708"/>
          <w:titlePg/>
          <w:docGrid w:linePitch="360"/>
        </w:sectPr>
      </w:pPr>
    </w:p>
    <w:p w:rsidR="008E1146" w:rsidRDefault="008D3D1E" w:rsidP="000B3BC2">
      <w:pPr>
        <w:pStyle w:val="Beschriftung"/>
        <w:keepNext/>
        <w:spacing w:after="0" w:line="360" w:lineRule="auto"/>
        <w:jc w:val="both"/>
        <w:rPr>
          <w:color w:val="auto"/>
        </w:rPr>
      </w:pPr>
      <w:bookmarkStart w:id="141" w:name="_Toc419386450"/>
      <w:proofErr w:type="gramStart"/>
      <w:r w:rsidRPr="008E1146">
        <w:rPr>
          <w:color w:val="auto"/>
        </w:rPr>
        <w:lastRenderedPageBreak/>
        <w:t xml:space="preserve">Table </w:t>
      </w:r>
      <w:r w:rsidRPr="008E1146">
        <w:rPr>
          <w:color w:val="auto"/>
        </w:rPr>
        <w:fldChar w:fldCharType="begin"/>
      </w:r>
      <w:r w:rsidRPr="008E1146">
        <w:rPr>
          <w:color w:val="auto"/>
        </w:rPr>
        <w:instrText xml:space="preserve"> SEQ Table \* ARABIC </w:instrText>
      </w:r>
      <w:r w:rsidRPr="008E1146">
        <w:rPr>
          <w:color w:val="auto"/>
        </w:rPr>
        <w:fldChar w:fldCharType="separate"/>
      </w:r>
      <w:r w:rsidR="00CB17FE">
        <w:rPr>
          <w:noProof/>
          <w:color w:val="auto"/>
        </w:rPr>
        <w:t>6</w:t>
      </w:r>
      <w:r w:rsidRPr="008E1146">
        <w:rPr>
          <w:color w:val="auto"/>
        </w:rPr>
        <w:fldChar w:fldCharType="end"/>
      </w:r>
      <w:r w:rsidR="000B319C">
        <w:rPr>
          <w:color w:val="auto"/>
        </w:rPr>
        <w:t>.</w:t>
      </w:r>
      <w:proofErr w:type="gramEnd"/>
      <w:r w:rsidR="0037712D" w:rsidRPr="008E1146">
        <w:rPr>
          <w:color w:val="auto"/>
        </w:rPr>
        <w:t xml:space="preserve"> Analysis of amino acid accumulation in </w:t>
      </w:r>
      <w:r w:rsidR="0037712D" w:rsidRPr="008E1146">
        <w:rPr>
          <w:i/>
          <w:color w:val="auto"/>
        </w:rPr>
        <w:t>A</w:t>
      </w:r>
      <w:r w:rsidR="00CE18A4">
        <w:rPr>
          <w:i/>
          <w:color w:val="auto"/>
        </w:rPr>
        <w:t>.</w:t>
      </w:r>
      <w:r w:rsidR="0037712D" w:rsidRPr="008E1146">
        <w:rPr>
          <w:i/>
          <w:color w:val="auto"/>
        </w:rPr>
        <w:t xml:space="preserve"> thaliana</w:t>
      </w:r>
      <w:r w:rsidR="0037712D" w:rsidRPr="008E1146">
        <w:rPr>
          <w:color w:val="auto"/>
        </w:rPr>
        <w:t xml:space="preserve"> Col-0 plants infected with the virulent </w:t>
      </w:r>
      <w:r w:rsidR="00CE18A4">
        <w:rPr>
          <w:i/>
          <w:color w:val="auto"/>
        </w:rPr>
        <w:t>Hpa</w:t>
      </w:r>
      <w:r w:rsidR="0037712D" w:rsidRPr="008E1146">
        <w:rPr>
          <w:color w:val="auto"/>
        </w:rPr>
        <w:t xml:space="preserve"> isolate Noco2 and the avirulent isolate Cala2.</w:t>
      </w:r>
      <w:bookmarkEnd w:id="141"/>
      <w:r w:rsidR="008E1146" w:rsidRPr="008E1146">
        <w:rPr>
          <w:color w:val="auto"/>
        </w:rPr>
        <w:t xml:space="preserve"> </w:t>
      </w:r>
    </w:p>
    <w:p w:rsidR="008D3D1E" w:rsidRPr="002F653F" w:rsidRDefault="008E1146" w:rsidP="008E1146">
      <w:pPr>
        <w:pStyle w:val="Beschriftung"/>
        <w:keepNext/>
        <w:jc w:val="both"/>
        <w:rPr>
          <w:b w:val="0"/>
          <w:color w:val="auto"/>
        </w:rPr>
      </w:pPr>
      <w:r w:rsidRPr="002F653F">
        <w:rPr>
          <w:b w:val="0"/>
          <w:color w:val="auto"/>
        </w:rPr>
        <w:t>Amino acid content in water- and pathogen-treated plants</w:t>
      </w:r>
      <w:r w:rsidRPr="002F653F">
        <w:rPr>
          <w:b w:val="0"/>
          <w:color w:val="auto"/>
          <w:sz w:val="16"/>
          <w:szCs w:val="16"/>
        </w:rPr>
        <w:t xml:space="preserve"> </w:t>
      </w:r>
      <w:r w:rsidRPr="002F653F">
        <w:rPr>
          <w:b w:val="0"/>
          <w:color w:val="auto"/>
        </w:rPr>
        <w:t xml:space="preserve">was analysed and fold-change ratio for each amino acid determined. Significant statistical differences between non-infected and infected plants are marked by asterisks (two-tailed </w:t>
      </w:r>
      <w:r w:rsidRPr="00D23D9F">
        <w:rPr>
          <w:b w:val="0"/>
          <w:i/>
          <w:color w:val="auto"/>
        </w:rPr>
        <w:t>t</w:t>
      </w:r>
      <w:r w:rsidRPr="002F653F">
        <w:rPr>
          <w:b w:val="0"/>
          <w:color w:val="auto"/>
        </w:rPr>
        <w:t xml:space="preserve"> test; *, P&lt; 0.05; **, P&lt; 0.01; ***, P&lt; 0.001). </w:t>
      </w:r>
      <w:proofErr w:type="gramStart"/>
      <w:r w:rsidRPr="002F653F">
        <w:rPr>
          <w:b w:val="0"/>
          <w:color w:val="auto"/>
        </w:rPr>
        <w:t>FW, fresh weight.</w:t>
      </w:r>
      <w:proofErr w:type="gramEnd"/>
    </w:p>
    <w:tbl>
      <w:tblPr>
        <w:tblW w:w="9140" w:type="dxa"/>
        <w:jc w:val="center"/>
        <w:tblCellMar>
          <w:left w:w="70" w:type="dxa"/>
          <w:right w:w="70" w:type="dxa"/>
        </w:tblCellMar>
        <w:tblLook w:val="04A0" w:firstRow="1" w:lastRow="0" w:firstColumn="1" w:lastColumn="0" w:noHBand="0" w:noVBand="1"/>
      </w:tblPr>
      <w:tblGrid>
        <w:gridCol w:w="2120"/>
        <w:gridCol w:w="1485"/>
        <w:gridCol w:w="1484"/>
        <w:gridCol w:w="1466"/>
        <w:gridCol w:w="1362"/>
        <w:gridCol w:w="1223"/>
      </w:tblGrid>
      <w:tr w:rsidR="00D350F7" w:rsidRPr="00D350F7" w:rsidTr="00D350F7">
        <w:trPr>
          <w:trHeight w:val="300"/>
          <w:jc w:val="center"/>
        </w:trPr>
        <w:tc>
          <w:tcPr>
            <w:tcW w:w="212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D350F7" w:rsidRPr="00D350F7" w:rsidRDefault="00D350F7" w:rsidP="00D350F7">
            <w:pPr>
              <w:spacing w:after="0" w:line="240" w:lineRule="auto"/>
              <w:jc w:val="center"/>
              <w:rPr>
                <w:rFonts w:ascii="Calibri" w:eastAsia="Times New Roman" w:hAnsi="Calibri" w:cs="Times New Roman"/>
                <w:b/>
                <w:bCs/>
                <w:color w:val="000000"/>
                <w:lang w:val="de-DE" w:eastAsia="de-DE"/>
              </w:rPr>
            </w:pPr>
            <w:r w:rsidRPr="00D350F7">
              <w:rPr>
                <w:rFonts w:ascii="Calibri" w:eastAsia="Times New Roman" w:hAnsi="Calibri" w:cs="Times New Roman"/>
                <w:b/>
                <w:bCs/>
                <w:color w:val="000000"/>
                <w:lang w:val="de-DE" w:eastAsia="de-DE"/>
              </w:rPr>
              <w:t>Amino acid</w:t>
            </w:r>
          </w:p>
        </w:tc>
        <w:tc>
          <w:tcPr>
            <w:tcW w:w="7020" w:type="dxa"/>
            <w:gridSpan w:val="5"/>
            <w:tcBorders>
              <w:top w:val="single" w:sz="4" w:space="0" w:color="auto"/>
              <w:left w:val="nil"/>
              <w:bottom w:val="single" w:sz="4" w:space="0" w:color="auto"/>
              <w:right w:val="single" w:sz="4" w:space="0" w:color="auto"/>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b/>
                <w:bCs/>
                <w:color w:val="000000"/>
                <w:lang w:val="en-US" w:eastAsia="de-DE"/>
              </w:rPr>
            </w:pPr>
            <w:r w:rsidRPr="00D350F7">
              <w:rPr>
                <w:rFonts w:ascii="Calibri" w:eastAsia="Times New Roman" w:hAnsi="Calibri" w:cs="Times New Roman"/>
                <w:b/>
                <w:bCs/>
                <w:i/>
                <w:iCs/>
                <w:color w:val="000000"/>
                <w:lang w:val="en-US" w:eastAsia="de-DE"/>
              </w:rPr>
              <w:t>H.</w:t>
            </w:r>
            <w:r w:rsidR="00CE18A4">
              <w:rPr>
                <w:rFonts w:ascii="Calibri" w:eastAsia="Times New Roman" w:hAnsi="Calibri" w:cs="Times New Roman"/>
                <w:b/>
                <w:bCs/>
                <w:i/>
                <w:iCs/>
                <w:color w:val="000000"/>
                <w:lang w:val="en-US" w:eastAsia="de-DE"/>
              </w:rPr>
              <w:t xml:space="preserve"> </w:t>
            </w:r>
            <w:r w:rsidRPr="00D350F7">
              <w:rPr>
                <w:rFonts w:ascii="Calibri" w:eastAsia="Times New Roman" w:hAnsi="Calibri" w:cs="Times New Roman"/>
                <w:b/>
                <w:bCs/>
                <w:i/>
                <w:iCs/>
                <w:color w:val="000000"/>
                <w:lang w:val="en-US" w:eastAsia="de-DE"/>
              </w:rPr>
              <w:t>arabidopsidis</w:t>
            </w:r>
            <w:r w:rsidR="00324F02">
              <w:rPr>
                <w:rFonts w:ascii="Calibri" w:eastAsia="Times New Roman" w:hAnsi="Calibri" w:cs="Times New Roman"/>
                <w:b/>
                <w:bCs/>
                <w:color w:val="000000"/>
                <w:lang w:val="en-US" w:eastAsia="de-DE"/>
              </w:rPr>
              <w:t>-</w:t>
            </w:r>
            <w:r w:rsidRPr="00D350F7">
              <w:rPr>
                <w:rFonts w:ascii="Calibri" w:eastAsia="Times New Roman" w:hAnsi="Calibri" w:cs="Times New Roman"/>
                <w:b/>
                <w:bCs/>
                <w:color w:val="000000"/>
                <w:lang w:val="en-US" w:eastAsia="de-DE"/>
              </w:rPr>
              <w:t>sprayed leaves (7dpi)</w:t>
            </w:r>
          </w:p>
        </w:tc>
      </w:tr>
      <w:tr w:rsidR="00D350F7" w:rsidRPr="00D350F7" w:rsidTr="00D350F7">
        <w:trPr>
          <w:trHeight w:val="345"/>
          <w:jc w:val="center"/>
        </w:trPr>
        <w:tc>
          <w:tcPr>
            <w:tcW w:w="2120" w:type="dxa"/>
            <w:vMerge/>
            <w:tcBorders>
              <w:top w:val="single" w:sz="4" w:space="0" w:color="auto"/>
              <w:left w:val="single" w:sz="4" w:space="0" w:color="auto"/>
              <w:bottom w:val="single" w:sz="4" w:space="0" w:color="000000"/>
              <w:right w:val="single" w:sz="4" w:space="0" w:color="auto"/>
            </w:tcBorders>
            <w:vAlign w:val="center"/>
            <w:hideMark/>
          </w:tcPr>
          <w:p w:rsidR="00D350F7" w:rsidRPr="00D350F7" w:rsidRDefault="00D350F7" w:rsidP="00D350F7">
            <w:pPr>
              <w:spacing w:after="0" w:line="240" w:lineRule="auto"/>
              <w:rPr>
                <w:rFonts w:ascii="Calibri" w:eastAsia="Times New Roman" w:hAnsi="Calibri" w:cs="Times New Roman"/>
                <w:b/>
                <w:bCs/>
                <w:color w:val="000000"/>
                <w:lang w:val="en-US" w:eastAsia="de-DE"/>
              </w:rPr>
            </w:pPr>
          </w:p>
        </w:tc>
        <w:tc>
          <w:tcPr>
            <w:tcW w:w="4435" w:type="dxa"/>
            <w:gridSpan w:val="3"/>
            <w:tcBorders>
              <w:top w:val="single" w:sz="4" w:space="0" w:color="auto"/>
              <w:left w:val="nil"/>
              <w:bottom w:val="nil"/>
              <w:right w:val="single" w:sz="4" w:space="0" w:color="000000"/>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b/>
                <w:bCs/>
                <w:color w:val="000000"/>
                <w:lang w:val="de-DE" w:eastAsia="de-DE"/>
              </w:rPr>
            </w:pPr>
            <w:r w:rsidRPr="00D350F7">
              <w:rPr>
                <w:rFonts w:ascii="Calibri" w:eastAsia="Times New Roman" w:hAnsi="Calibri" w:cs="Times New Roman"/>
                <w:b/>
                <w:bCs/>
                <w:color w:val="000000"/>
                <w:lang w:val="de-DE" w:eastAsia="de-DE"/>
              </w:rPr>
              <w:t>µg g</w:t>
            </w:r>
            <w:r w:rsidRPr="00D350F7">
              <w:rPr>
                <w:rFonts w:ascii="Calibri" w:eastAsia="Times New Roman" w:hAnsi="Calibri" w:cs="Times New Roman"/>
                <w:b/>
                <w:bCs/>
                <w:color w:val="000000"/>
                <w:vertAlign w:val="superscript"/>
                <w:lang w:val="de-DE" w:eastAsia="de-DE"/>
              </w:rPr>
              <w:t xml:space="preserve">-1 </w:t>
            </w:r>
            <w:r w:rsidRPr="00D350F7">
              <w:rPr>
                <w:rFonts w:ascii="Calibri" w:eastAsia="Times New Roman" w:hAnsi="Calibri" w:cs="Times New Roman"/>
                <w:b/>
                <w:bCs/>
                <w:color w:val="000000"/>
                <w:lang w:val="de-DE" w:eastAsia="de-DE"/>
              </w:rPr>
              <w:t>FW</w:t>
            </w:r>
          </w:p>
        </w:tc>
        <w:tc>
          <w:tcPr>
            <w:tcW w:w="1362" w:type="dxa"/>
            <w:vMerge w:val="restart"/>
            <w:tcBorders>
              <w:top w:val="nil"/>
              <w:left w:val="single" w:sz="4" w:space="0" w:color="auto"/>
              <w:bottom w:val="single" w:sz="4" w:space="0" w:color="000000"/>
              <w:right w:val="single" w:sz="4" w:space="0" w:color="auto"/>
            </w:tcBorders>
            <w:shd w:val="clear" w:color="auto" w:fill="auto"/>
            <w:vAlign w:val="center"/>
            <w:hideMark/>
          </w:tcPr>
          <w:p w:rsidR="00D350F7" w:rsidRPr="00D350F7" w:rsidRDefault="00D350F7" w:rsidP="00D350F7">
            <w:pPr>
              <w:spacing w:after="0" w:line="240" w:lineRule="auto"/>
              <w:jc w:val="center"/>
              <w:rPr>
                <w:rFonts w:ascii="Calibri" w:eastAsia="Times New Roman" w:hAnsi="Calibri" w:cs="Times New Roman"/>
                <w:b/>
                <w:bCs/>
                <w:color w:val="000000"/>
                <w:lang w:val="de-DE" w:eastAsia="de-DE"/>
              </w:rPr>
            </w:pPr>
            <w:r w:rsidRPr="00D350F7">
              <w:rPr>
                <w:rFonts w:ascii="Calibri" w:eastAsia="Times New Roman" w:hAnsi="Calibri" w:cs="Times New Roman"/>
                <w:b/>
                <w:bCs/>
                <w:color w:val="000000"/>
                <w:lang w:val="de-DE" w:eastAsia="de-DE"/>
              </w:rPr>
              <w:t xml:space="preserve">ratio P/M </w:t>
            </w:r>
            <w:r w:rsidRPr="00D350F7">
              <w:rPr>
                <w:rFonts w:ascii="Calibri" w:eastAsia="Times New Roman" w:hAnsi="Calibri" w:cs="Times New Roman"/>
                <w:b/>
                <w:bCs/>
                <w:i/>
                <w:iCs/>
                <w:color w:val="000000"/>
                <w:lang w:val="de-DE" w:eastAsia="de-DE"/>
              </w:rPr>
              <w:t>Hpa</w:t>
            </w:r>
            <w:r w:rsidRPr="00D350F7">
              <w:rPr>
                <w:rFonts w:ascii="Calibri" w:eastAsia="Times New Roman" w:hAnsi="Calibri" w:cs="Times New Roman"/>
                <w:b/>
                <w:bCs/>
                <w:color w:val="000000"/>
                <w:lang w:val="de-DE" w:eastAsia="de-DE"/>
              </w:rPr>
              <w:t xml:space="preserve"> Noco2</w:t>
            </w:r>
          </w:p>
        </w:tc>
        <w:tc>
          <w:tcPr>
            <w:tcW w:w="1223" w:type="dxa"/>
            <w:vMerge w:val="restart"/>
            <w:tcBorders>
              <w:top w:val="nil"/>
              <w:left w:val="single" w:sz="4" w:space="0" w:color="auto"/>
              <w:bottom w:val="single" w:sz="4" w:space="0" w:color="000000"/>
              <w:right w:val="single" w:sz="4" w:space="0" w:color="auto"/>
            </w:tcBorders>
            <w:shd w:val="clear" w:color="auto" w:fill="auto"/>
            <w:vAlign w:val="center"/>
            <w:hideMark/>
          </w:tcPr>
          <w:p w:rsidR="00D350F7" w:rsidRPr="00D350F7" w:rsidRDefault="00D350F7" w:rsidP="00D350F7">
            <w:pPr>
              <w:spacing w:after="0" w:line="240" w:lineRule="auto"/>
              <w:jc w:val="center"/>
              <w:rPr>
                <w:rFonts w:ascii="Calibri" w:eastAsia="Times New Roman" w:hAnsi="Calibri" w:cs="Times New Roman"/>
                <w:b/>
                <w:bCs/>
                <w:color w:val="000000"/>
                <w:lang w:val="en-US" w:eastAsia="de-DE"/>
              </w:rPr>
            </w:pPr>
            <w:r w:rsidRPr="00D350F7">
              <w:rPr>
                <w:rFonts w:ascii="Calibri" w:eastAsia="Times New Roman" w:hAnsi="Calibri" w:cs="Times New Roman"/>
                <w:b/>
                <w:bCs/>
                <w:color w:val="000000"/>
                <w:lang w:val="en-US" w:eastAsia="de-DE"/>
              </w:rPr>
              <w:t xml:space="preserve">ratio P/M </w:t>
            </w:r>
            <w:r w:rsidRPr="00D350F7">
              <w:rPr>
                <w:rFonts w:ascii="Calibri" w:eastAsia="Times New Roman" w:hAnsi="Calibri" w:cs="Times New Roman"/>
                <w:b/>
                <w:bCs/>
                <w:i/>
                <w:iCs/>
                <w:color w:val="000000"/>
                <w:lang w:val="en-US" w:eastAsia="de-DE"/>
              </w:rPr>
              <w:t xml:space="preserve">Hpa </w:t>
            </w:r>
            <w:r w:rsidRPr="00D350F7">
              <w:rPr>
                <w:rFonts w:ascii="Calibri" w:eastAsia="Times New Roman" w:hAnsi="Calibri" w:cs="Times New Roman"/>
                <w:b/>
                <w:bCs/>
                <w:color w:val="000000"/>
                <w:lang w:val="en-US" w:eastAsia="de-DE"/>
              </w:rPr>
              <w:t>Cala2</w:t>
            </w:r>
          </w:p>
        </w:tc>
      </w:tr>
      <w:tr w:rsidR="00D350F7" w:rsidRPr="00D350F7" w:rsidTr="00D350F7">
        <w:trPr>
          <w:trHeight w:val="300"/>
          <w:jc w:val="center"/>
        </w:trPr>
        <w:tc>
          <w:tcPr>
            <w:tcW w:w="2120" w:type="dxa"/>
            <w:vMerge/>
            <w:tcBorders>
              <w:top w:val="single" w:sz="4" w:space="0" w:color="auto"/>
              <w:left w:val="single" w:sz="4" w:space="0" w:color="auto"/>
              <w:bottom w:val="single" w:sz="4" w:space="0" w:color="000000"/>
              <w:right w:val="single" w:sz="4" w:space="0" w:color="auto"/>
            </w:tcBorders>
            <w:vAlign w:val="center"/>
            <w:hideMark/>
          </w:tcPr>
          <w:p w:rsidR="00D350F7" w:rsidRPr="00D350F7" w:rsidRDefault="00D350F7" w:rsidP="00D350F7">
            <w:pPr>
              <w:spacing w:after="0" w:line="240" w:lineRule="auto"/>
              <w:rPr>
                <w:rFonts w:ascii="Calibri" w:eastAsia="Times New Roman" w:hAnsi="Calibri" w:cs="Times New Roman"/>
                <w:b/>
                <w:bCs/>
                <w:color w:val="000000"/>
                <w:lang w:val="en-US" w:eastAsia="de-DE"/>
              </w:rPr>
            </w:pPr>
          </w:p>
        </w:tc>
        <w:tc>
          <w:tcPr>
            <w:tcW w:w="1485" w:type="dxa"/>
            <w:tcBorders>
              <w:top w:val="nil"/>
              <w:left w:val="nil"/>
              <w:bottom w:val="single" w:sz="4" w:space="0" w:color="auto"/>
              <w:right w:val="nil"/>
            </w:tcBorders>
            <w:shd w:val="clear" w:color="auto" w:fill="auto"/>
            <w:noWrap/>
            <w:vAlign w:val="center"/>
            <w:hideMark/>
          </w:tcPr>
          <w:p w:rsidR="00D350F7" w:rsidRPr="00D350F7" w:rsidRDefault="00D350F7" w:rsidP="00D350F7">
            <w:pPr>
              <w:spacing w:after="0" w:line="240" w:lineRule="auto"/>
              <w:jc w:val="center"/>
              <w:rPr>
                <w:rFonts w:ascii="Calibri" w:eastAsia="Times New Roman" w:hAnsi="Calibri" w:cs="Times New Roman"/>
                <w:b/>
                <w:bCs/>
                <w:color w:val="000000"/>
                <w:lang w:val="de-DE" w:eastAsia="de-DE"/>
              </w:rPr>
            </w:pPr>
            <w:r w:rsidRPr="00D350F7">
              <w:rPr>
                <w:rFonts w:ascii="Calibri" w:eastAsia="Times New Roman" w:hAnsi="Calibri" w:cs="Times New Roman"/>
                <w:b/>
                <w:bCs/>
                <w:color w:val="000000"/>
                <w:lang w:val="de-DE" w:eastAsia="de-DE"/>
              </w:rPr>
              <w:t>water</w:t>
            </w:r>
          </w:p>
        </w:tc>
        <w:tc>
          <w:tcPr>
            <w:tcW w:w="1484" w:type="dxa"/>
            <w:tcBorders>
              <w:top w:val="nil"/>
              <w:left w:val="nil"/>
              <w:bottom w:val="single" w:sz="4" w:space="0" w:color="auto"/>
              <w:right w:val="nil"/>
            </w:tcBorders>
            <w:shd w:val="clear" w:color="auto" w:fill="auto"/>
            <w:noWrap/>
            <w:vAlign w:val="center"/>
            <w:hideMark/>
          </w:tcPr>
          <w:p w:rsidR="00D350F7" w:rsidRPr="00D350F7" w:rsidRDefault="00D350F7" w:rsidP="00D350F7">
            <w:pPr>
              <w:spacing w:after="0" w:line="240" w:lineRule="auto"/>
              <w:jc w:val="center"/>
              <w:rPr>
                <w:rFonts w:ascii="Calibri" w:eastAsia="Times New Roman" w:hAnsi="Calibri" w:cs="Times New Roman"/>
                <w:b/>
                <w:bCs/>
                <w:color w:val="000000"/>
                <w:lang w:val="de-DE" w:eastAsia="de-DE"/>
              </w:rPr>
            </w:pPr>
            <w:r w:rsidRPr="00D350F7">
              <w:rPr>
                <w:rFonts w:ascii="Calibri" w:eastAsia="Times New Roman" w:hAnsi="Calibri" w:cs="Times New Roman"/>
                <w:b/>
                <w:bCs/>
                <w:i/>
                <w:iCs/>
                <w:color w:val="000000"/>
                <w:lang w:val="de-DE" w:eastAsia="de-DE"/>
              </w:rPr>
              <w:t>Hpa</w:t>
            </w:r>
            <w:r w:rsidRPr="00D350F7">
              <w:rPr>
                <w:rFonts w:ascii="Calibri" w:eastAsia="Times New Roman" w:hAnsi="Calibri" w:cs="Times New Roman"/>
                <w:b/>
                <w:bCs/>
                <w:color w:val="000000"/>
                <w:lang w:val="de-DE" w:eastAsia="de-DE"/>
              </w:rPr>
              <w:t xml:space="preserve"> Noco2</w:t>
            </w:r>
          </w:p>
        </w:tc>
        <w:tc>
          <w:tcPr>
            <w:tcW w:w="1466" w:type="dxa"/>
            <w:tcBorders>
              <w:top w:val="nil"/>
              <w:left w:val="nil"/>
              <w:bottom w:val="single" w:sz="4" w:space="0" w:color="auto"/>
              <w:right w:val="single" w:sz="4" w:space="0" w:color="auto"/>
            </w:tcBorders>
            <w:shd w:val="clear" w:color="auto" w:fill="auto"/>
            <w:noWrap/>
            <w:vAlign w:val="center"/>
            <w:hideMark/>
          </w:tcPr>
          <w:p w:rsidR="00D350F7" w:rsidRPr="00D350F7" w:rsidRDefault="00D350F7" w:rsidP="00D350F7">
            <w:pPr>
              <w:spacing w:after="0" w:line="240" w:lineRule="auto"/>
              <w:jc w:val="center"/>
              <w:rPr>
                <w:rFonts w:ascii="Calibri" w:eastAsia="Times New Roman" w:hAnsi="Calibri" w:cs="Times New Roman"/>
                <w:b/>
                <w:bCs/>
                <w:color w:val="000000"/>
                <w:lang w:val="de-DE" w:eastAsia="de-DE"/>
              </w:rPr>
            </w:pPr>
            <w:r w:rsidRPr="00D350F7">
              <w:rPr>
                <w:rFonts w:ascii="Calibri" w:eastAsia="Times New Roman" w:hAnsi="Calibri" w:cs="Times New Roman"/>
                <w:b/>
                <w:bCs/>
                <w:i/>
                <w:iCs/>
                <w:color w:val="000000"/>
                <w:lang w:val="de-DE" w:eastAsia="de-DE"/>
              </w:rPr>
              <w:t>Hpa</w:t>
            </w:r>
            <w:r w:rsidRPr="00D350F7">
              <w:rPr>
                <w:rFonts w:ascii="Calibri" w:eastAsia="Times New Roman" w:hAnsi="Calibri" w:cs="Times New Roman"/>
                <w:b/>
                <w:bCs/>
                <w:color w:val="000000"/>
                <w:lang w:val="de-DE" w:eastAsia="de-DE"/>
              </w:rPr>
              <w:t xml:space="preserve"> Cala2</w:t>
            </w:r>
          </w:p>
        </w:tc>
        <w:tc>
          <w:tcPr>
            <w:tcW w:w="1362" w:type="dxa"/>
            <w:vMerge/>
            <w:tcBorders>
              <w:top w:val="nil"/>
              <w:left w:val="single" w:sz="4" w:space="0" w:color="auto"/>
              <w:bottom w:val="single" w:sz="4" w:space="0" w:color="000000"/>
              <w:right w:val="single" w:sz="4" w:space="0" w:color="auto"/>
            </w:tcBorders>
            <w:vAlign w:val="center"/>
            <w:hideMark/>
          </w:tcPr>
          <w:p w:rsidR="00D350F7" w:rsidRPr="00D350F7" w:rsidRDefault="00D350F7" w:rsidP="00D350F7">
            <w:pPr>
              <w:spacing w:after="0" w:line="240" w:lineRule="auto"/>
              <w:rPr>
                <w:rFonts w:ascii="Calibri" w:eastAsia="Times New Roman" w:hAnsi="Calibri" w:cs="Times New Roman"/>
                <w:b/>
                <w:bCs/>
                <w:color w:val="000000"/>
                <w:lang w:val="de-DE" w:eastAsia="de-DE"/>
              </w:rPr>
            </w:pPr>
          </w:p>
        </w:tc>
        <w:tc>
          <w:tcPr>
            <w:tcW w:w="1223" w:type="dxa"/>
            <w:vMerge/>
            <w:tcBorders>
              <w:top w:val="nil"/>
              <w:left w:val="single" w:sz="4" w:space="0" w:color="auto"/>
              <w:bottom w:val="single" w:sz="4" w:space="0" w:color="000000"/>
              <w:right w:val="single" w:sz="4" w:space="0" w:color="auto"/>
            </w:tcBorders>
            <w:vAlign w:val="center"/>
            <w:hideMark/>
          </w:tcPr>
          <w:p w:rsidR="00D350F7" w:rsidRPr="00D350F7" w:rsidRDefault="00D350F7" w:rsidP="00D350F7">
            <w:pPr>
              <w:spacing w:after="0" w:line="240" w:lineRule="auto"/>
              <w:rPr>
                <w:rFonts w:ascii="Calibri" w:eastAsia="Times New Roman" w:hAnsi="Calibri" w:cs="Times New Roman"/>
                <w:b/>
                <w:bCs/>
                <w:color w:val="000000"/>
                <w:lang w:val="de-DE" w:eastAsia="de-DE"/>
              </w:rPr>
            </w:pPr>
          </w:p>
        </w:tc>
      </w:tr>
      <w:tr w:rsidR="00D350F7" w:rsidRPr="00D350F7" w:rsidTr="00D350F7">
        <w:trPr>
          <w:trHeight w:val="300"/>
          <w:jc w:val="center"/>
        </w:trPr>
        <w:tc>
          <w:tcPr>
            <w:tcW w:w="2120" w:type="dxa"/>
            <w:tcBorders>
              <w:top w:val="nil"/>
              <w:left w:val="single" w:sz="4" w:space="0" w:color="auto"/>
              <w:bottom w:val="nil"/>
              <w:right w:val="single" w:sz="4" w:space="0" w:color="auto"/>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 xml:space="preserve">Alanine </w:t>
            </w:r>
          </w:p>
        </w:tc>
        <w:tc>
          <w:tcPr>
            <w:tcW w:w="1485"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 xml:space="preserve">31.0 </w:t>
            </w:r>
            <w:r w:rsidRPr="00D350F7">
              <w:rPr>
                <w:rFonts w:ascii="Calibri" w:eastAsia="Times New Roman" w:hAnsi="Calibri" w:cs="Times New Roman"/>
                <w:color w:val="000000"/>
                <w:sz w:val="16"/>
                <w:szCs w:val="16"/>
                <w:lang w:val="de-DE" w:eastAsia="de-DE"/>
              </w:rPr>
              <w:t>± 2.54</w:t>
            </w:r>
          </w:p>
        </w:tc>
        <w:tc>
          <w:tcPr>
            <w:tcW w:w="1484"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64.5</w:t>
            </w:r>
            <w:r w:rsidRPr="00D350F7">
              <w:rPr>
                <w:rFonts w:ascii="Calibri" w:eastAsia="Times New Roman" w:hAnsi="Calibri" w:cs="Times New Roman"/>
                <w:color w:val="000000"/>
                <w:sz w:val="16"/>
                <w:szCs w:val="16"/>
                <w:lang w:val="de-DE" w:eastAsia="de-DE"/>
              </w:rPr>
              <w:t xml:space="preserve"> ± 3.16</w:t>
            </w:r>
          </w:p>
        </w:tc>
        <w:tc>
          <w:tcPr>
            <w:tcW w:w="1466" w:type="dxa"/>
            <w:tcBorders>
              <w:top w:val="nil"/>
              <w:left w:val="nil"/>
              <w:bottom w:val="nil"/>
              <w:right w:val="single" w:sz="4" w:space="0" w:color="auto"/>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38.4</w:t>
            </w:r>
            <w:r w:rsidRPr="00D350F7">
              <w:rPr>
                <w:rFonts w:ascii="Calibri" w:eastAsia="Times New Roman" w:hAnsi="Calibri" w:cs="Times New Roman"/>
                <w:color w:val="000000"/>
                <w:sz w:val="16"/>
                <w:szCs w:val="16"/>
                <w:lang w:val="de-DE" w:eastAsia="de-DE"/>
              </w:rPr>
              <w:t xml:space="preserve"> ± 5.92</w:t>
            </w:r>
          </w:p>
        </w:tc>
        <w:tc>
          <w:tcPr>
            <w:tcW w:w="1362" w:type="dxa"/>
            <w:tcBorders>
              <w:top w:val="nil"/>
              <w:left w:val="nil"/>
              <w:bottom w:val="nil"/>
              <w:right w:val="single" w:sz="4" w:space="0" w:color="auto"/>
            </w:tcBorders>
            <w:shd w:val="clear" w:color="000000" w:fill="F2DCDB"/>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 xml:space="preserve">2.1 </w:t>
            </w:r>
            <w:r w:rsidRPr="00D350F7">
              <w:rPr>
                <w:rFonts w:ascii="Calibri" w:eastAsia="Times New Roman" w:hAnsi="Calibri" w:cs="Times New Roman"/>
                <w:color w:val="000000"/>
                <w:sz w:val="16"/>
                <w:szCs w:val="16"/>
                <w:lang w:val="de-DE" w:eastAsia="de-DE"/>
              </w:rPr>
              <w:t>*</w:t>
            </w:r>
          </w:p>
        </w:tc>
        <w:tc>
          <w:tcPr>
            <w:tcW w:w="1223" w:type="dxa"/>
            <w:tcBorders>
              <w:top w:val="nil"/>
              <w:left w:val="nil"/>
              <w:bottom w:val="nil"/>
              <w:right w:val="single" w:sz="4" w:space="0" w:color="auto"/>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1.2</w:t>
            </w:r>
          </w:p>
        </w:tc>
      </w:tr>
      <w:tr w:rsidR="00D350F7" w:rsidRPr="00D350F7" w:rsidTr="00D350F7">
        <w:trPr>
          <w:trHeight w:val="300"/>
          <w:jc w:val="center"/>
        </w:trPr>
        <w:tc>
          <w:tcPr>
            <w:tcW w:w="2120" w:type="dxa"/>
            <w:tcBorders>
              <w:top w:val="nil"/>
              <w:left w:val="single" w:sz="4" w:space="0" w:color="auto"/>
              <w:bottom w:val="nil"/>
              <w:right w:val="single" w:sz="4" w:space="0" w:color="auto"/>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 xml:space="preserve">Asparagine </w:t>
            </w:r>
          </w:p>
        </w:tc>
        <w:tc>
          <w:tcPr>
            <w:tcW w:w="1485"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17.0</w:t>
            </w:r>
            <w:r w:rsidRPr="00D350F7">
              <w:rPr>
                <w:rFonts w:ascii="Calibri" w:eastAsia="Times New Roman" w:hAnsi="Calibri" w:cs="Times New Roman"/>
                <w:color w:val="000000"/>
                <w:sz w:val="16"/>
                <w:szCs w:val="16"/>
                <w:lang w:val="de-DE" w:eastAsia="de-DE"/>
              </w:rPr>
              <w:t xml:space="preserve"> ± 0.61</w:t>
            </w:r>
          </w:p>
        </w:tc>
        <w:tc>
          <w:tcPr>
            <w:tcW w:w="1484"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55.9</w:t>
            </w:r>
            <w:r w:rsidRPr="00D350F7">
              <w:rPr>
                <w:rFonts w:ascii="Calibri" w:eastAsia="Times New Roman" w:hAnsi="Calibri" w:cs="Times New Roman"/>
                <w:color w:val="000000"/>
                <w:sz w:val="16"/>
                <w:szCs w:val="16"/>
                <w:lang w:val="de-DE" w:eastAsia="de-DE"/>
              </w:rPr>
              <w:t xml:space="preserve"> ± 6.68</w:t>
            </w:r>
          </w:p>
        </w:tc>
        <w:tc>
          <w:tcPr>
            <w:tcW w:w="1466" w:type="dxa"/>
            <w:tcBorders>
              <w:top w:val="nil"/>
              <w:left w:val="nil"/>
              <w:bottom w:val="nil"/>
              <w:right w:val="single" w:sz="4" w:space="0" w:color="auto"/>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34.4</w:t>
            </w:r>
            <w:r w:rsidRPr="00D350F7">
              <w:rPr>
                <w:rFonts w:ascii="Calibri" w:eastAsia="Times New Roman" w:hAnsi="Calibri" w:cs="Times New Roman"/>
                <w:color w:val="000000"/>
                <w:sz w:val="16"/>
                <w:szCs w:val="16"/>
                <w:lang w:val="de-DE" w:eastAsia="de-DE"/>
              </w:rPr>
              <w:t xml:space="preserve"> ± 4.07</w:t>
            </w:r>
          </w:p>
        </w:tc>
        <w:tc>
          <w:tcPr>
            <w:tcW w:w="1362" w:type="dxa"/>
            <w:tcBorders>
              <w:top w:val="nil"/>
              <w:left w:val="nil"/>
              <w:bottom w:val="nil"/>
              <w:right w:val="single" w:sz="4" w:space="0" w:color="auto"/>
            </w:tcBorders>
            <w:shd w:val="clear" w:color="000000" w:fill="E6B8B7"/>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 xml:space="preserve">3.3 </w:t>
            </w:r>
            <w:r w:rsidRPr="00D350F7">
              <w:rPr>
                <w:rFonts w:ascii="Calibri" w:eastAsia="Times New Roman" w:hAnsi="Calibri" w:cs="Times New Roman"/>
                <w:color w:val="000000"/>
                <w:sz w:val="16"/>
                <w:szCs w:val="16"/>
                <w:lang w:val="de-DE" w:eastAsia="de-DE"/>
              </w:rPr>
              <w:t>*</w:t>
            </w:r>
          </w:p>
        </w:tc>
        <w:tc>
          <w:tcPr>
            <w:tcW w:w="1223" w:type="dxa"/>
            <w:tcBorders>
              <w:top w:val="nil"/>
              <w:left w:val="nil"/>
              <w:bottom w:val="nil"/>
              <w:right w:val="single" w:sz="4" w:space="0" w:color="auto"/>
            </w:tcBorders>
            <w:shd w:val="clear" w:color="000000" w:fill="F2DCDB"/>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 xml:space="preserve">2.0 </w:t>
            </w:r>
            <w:r w:rsidRPr="00D350F7">
              <w:rPr>
                <w:rFonts w:ascii="Calibri" w:eastAsia="Times New Roman" w:hAnsi="Calibri" w:cs="Times New Roman"/>
                <w:color w:val="000000"/>
                <w:sz w:val="16"/>
                <w:szCs w:val="16"/>
                <w:lang w:val="de-DE" w:eastAsia="de-DE"/>
              </w:rPr>
              <w:t>*</w:t>
            </w:r>
          </w:p>
        </w:tc>
      </w:tr>
      <w:tr w:rsidR="00D350F7" w:rsidRPr="00D350F7" w:rsidTr="00D350F7">
        <w:trPr>
          <w:trHeight w:val="300"/>
          <w:jc w:val="center"/>
        </w:trPr>
        <w:tc>
          <w:tcPr>
            <w:tcW w:w="2120" w:type="dxa"/>
            <w:tcBorders>
              <w:top w:val="nil"/>
              <w:left w:val="single" w:sz="4" w:space="0" w:color="auto"/>
              <w:bottom w:val="nil"/>
              <w:right w:val="single" w:sz="4" w:space="0" w:color="auto"/>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 xml:space="preserve">Aspartic acid </w:t>
            </w:r>
          </w:p>
        </w:tc>
        <w:tc>
          <w:tcPr>
            <w:tcW w:w="1485"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311.4</w:t>
            </w:r>
            <w:r w:rsidRPr="00D350F7">
              <w:rPr>
                <w:rFonts w:ascii="Calibri" w:eastAsia="Times New Roman" w:hAnsi="Calibri" w:cs="Times New Roman"/>
                <w:color w:val="000000"/>
                <w:sz w:val="16"/>
                <w:szCs w:val="16"/>
                <w:lang w:val="de-DE" w:eastAsia="de-DE"/>
              </w:rPr>
              <w:t xml:space="preserve"> ± 16.75</w:t>
            </w:r>
          </w:p>
        </w:tc>
        <w:tc>
          <w:tcPr>
            <w:tcW w:w="1484"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345.2</w:t>
            </w:r>
            <w:r w:rsidRPr="00D350F7">
              <w:rPr>
                <w:rFonts w:ascii="Calibri" w:eastAsia="Times New Roman" w:hAnsi="Calibri" w:cs="Times New Roman"/>
                <w:color w:val="000000"/>
                <w:sz w:val="16"/>
                <w:szCs w:val="16"/>
                <w:lang w:val="de-DE" w:eastAsia="de-DE"/>
              </w:rPr>
              <w:t xml:space="preserve"> ± 11.05</w:t>
            </w:r>
          </w:p>
        </w:tc>
        <w:tc>
          <w:tcPr>
            <w:tcW w:w="1466" w:type="dxa"/>
            <w:tcBorders>
              <w:top w:val="nil"/>
              <w:left w:val="nil"/>
              <w:bottom w:val="nil"/>
              <w:right w:val="single" w:sz="4" w:space="0" w:color="auto"/>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255.1</w:t>
            </w:r>
            <w:r w:rsidRPr="00D350F7">
              <w:rPr>
                <w:rFonts w:ascii="Calibri" w:eastAsia="Times New Roman" w:hAnsi="Calibri" w:cs="Times New Roman"/>
                <w:color w:val="000000"/>
                <w:sz w:val="16"/>
                <w:szCs w:val="16"/>
                <w:lang w:val="de-DE" w:eastAsia="de-DE"/>
              </w:rPr>
              <w:t xml:space="preserve"> ± 34.76</w:t>
            </w:r>
          </w:p>
        </w:tc>
        <w:tc>
          <w:tcPr>
            <w:tcW w:w="1362" w:type="dxa"/>
            <w:tcBorders>
              <w:top w:val="nil"/>
              <w:left w:val="nil"/>
              <w:bottom w:val="nil"/>
              <w:right w:val="single" w:sz="4" w:space="0" w:color="auto"/>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1.1</w:t>
            </w:r>
          </w:p>
        </w:tc>
        <w:tc>
          <w:tcPr>
            <w:tcW w:w="1223" w:type="dxa"/>
            <w:tcBorders>
              <w:top w:val="nil"/>
              <w:left w:val="nil"/>
              <w:bottom w:val="nil"/>
              <w:right w:val="single" w:sz="4" w:space="0" w:color="auto"/>
            </w:tcBorders>
            <w:shd w:val="clear" w:color="000000" w:fill="D8E4BC"/>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0.8</w:t>
            </w:r>
          </w:p>
        </w:tc>
      </w:tr>
      <w:tr w:rsidR="00D350F7" w:rsidRPr="00D350F7" w:rsidTr="00D350F7">
        <w:trPr>
          <w:trHeight w:val="300"/>
          <w:jc w:val="center"/>
        </w:trPr>
        <w:tc>
          <w:tcPr>
            <w:tcW w:w="2120" w:type="dxa"/>
            <w:tcBorders>
              <w:top w:val="nil"/>
              <w:left w:val="single" w:sz="4" w:space="0" w:color="auto"/>
              <w:bottom w:val="nil"/>
              <w:right w:val="single" w:sz="4" w:space="0" w:color="auto"/>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 xml:space="preserve">Cysteine </w:t>
            </w:r>
          </w:p>
        </w:tc>
        <w:tc>
          <w:tcPr>
            <w:tcW w:w="1485"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0.2</w:t>
            </w:r>
            <w:r w:rsidRPr="00D350F7">
              <w:rPr>
                <w:rFonts w:ascii="Calibri" w:eastAsia="Times New Roman" w:hAnsi="Calibri" w:cs="Times New Roman"/>
                <w:color w:val="000000"/>
                <w:sz w:val="16"/>
                <w:szCs w:val="16"/>
                <w:lang w:val="de-DE" w:eastAsia="de-DE"/>
              </w:rPr>
              <w:t xml:space="preserve"> ± 0.0008</w:t>
            </w:r>
          </w:p>
        </w:tc>
        <w:tc>
          <w:tcPr>
            <w:tcW w:w="1484"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 xml:space="preserve">0.6 </w:t>
            </w:r>
            <w:r w:rsidRPr="00D350F7">
              <w:rPr>
                <w:rFonts w:ascii="Calibri" w:eastAsia="Times New Roman" w:hAnsi="Calibri" w:cs="Times New Roman"/>
                <w:color w:val="000000"/>
                <w:sz w:val="16"/>
                <w:szCs w:val="16"/>
                <w:lang w:val="de-DE" w:eastAsia="de-DE"/>
              </w:rPr>
              <w:t>± 0.03</w:t>
            </w:r>
          </w:p>
        </w:tc>
        <w:tc>
          <w:tcPr>
            <w:tcW w:w="1466" w:type="dxa"/>
            <w:tcBorders>
              <w:top w:val="nil"/>
              <w:left w:val="nil"/>
              <w:bottom w:val="nil"/>
              <w:right w:val="single" w:sz="4" w:space="0" w:color="auto"/>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 xml:space="preserve">0.3 </w:t>
            </w:r>
            <w:r w:rsidRPr="00D350F7">
              <w:rPr>
                <w:rFonts w:ascii="Calibri" w:eastAsia="Times New Roman" w:hAnsi="Calibri" w:cs="Times New Roman"/>
                <w:color w:val="000000"/>
                <w:sz w:val="16"/>
                <w:szCs w:val="16"/>
                <w:lang w:val="de-DE" w:eastAsia="de-DE"/>
              </w:rPr>
              <w:t>± 0.05</w:t>
            </w:r>
          </w:p>
        </w:tc>
        <w:tc>
          <w:tcPr>
            <w:tcW w:w="1362" w:type="dxa"/>
            <w:tcBorders>
              <w:top w:val="nil"/>
              <w:left w:val="nil"/>
              <w:bottom w:val="nil"/>
              <w:right w:val="single" w:sz="4" w:space="0" w:color="auto"/>
            </w:tcBorders>
            <w:shd w:val="clear" w:color="000000" w:fill="E6B8B7"/>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 xml:space="preserve">3.0 </w:t>
            </w:r>
            <w:r w:rsidRPr="00D350F7">
              <w:rPr>
                <w:rFonts w:ascii="Calibri" w:eastAsia="Times New Roman" w:hAnsi="Calibri" w:cs="Times New Roman"/>
                <w:color w:val="000000"/>
                <w:sz w:val="16"/>
                <w:szCs w:val="16"/>
                <w:lang w:val="de-DE" w:eastAsia="de-DE"/>
              </w:rPr>
              <w:t>**</w:t>
            </w:r>
          </w:p>
        </w:tc>
        <w:tc>
          <w:tcPr>
            <w:tcW w:w="1223" w:type="dxa"/>
            <w:tcBorders>
              <w:top w:val="nil"/>
              <w:left w:val="nil"/>
              <w:bottom w:val="nil"/>
              <w:right w:val="single" w:sz="4" w:space="0" w:color="auto"/>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1.5</w:t>
            </w:r>
          </w:p>
        </w:tc>
      </w:tr>
      <w:tr w:rsidR="00D350F7" w:rsidRPr="00D350F7" w:rsidTr="00D350F7">
        <w:trPr>
          <w:trHeight w:val="300"/>
          <w:jc w:val="center"/>
        </w:trPr>
        <w:tc>
          <w:tcPr>
            <w:tcW w:w="2120" w:type="dxa"/>
            <w:tcBorders>
              <w:top w:val="nil"/>
              <w:left w:val="single" w:sz="4" w:space="0" w:color="auto"/>
              <w:bottom w:val="nil"/>
              <w:right w:val="single" w:sz="4" w:space="0" w:color="auto"/>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 xml:space="preserve">Glutamic acid </w:t>
            </w:r>
          </w:p>
        </w:tc>
        <w:tc>
          <w:tcPr>
            <w:tcW w:w="1485"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 xml:space="preserve">245.4 </w:t>
            </w:r>
            <w:r w:rsidRPr="00D350F7">
              <w:rPr>
                <w:rFonts w:ascii="Calibri" w:eastAsia="Times New Roman" w:hAnsi="Calibri" w:cs="Times New Roman"/>
                <w:color w:val="000000"/>
                <w:sz w:val="16"/>
                <w:szCs w:val="16"/>
                <w:lang w:val="de-DE" w:eastAsia="de-DE"/>
              </w:rPr>
              <w:t>± 14.11</w:t>
            </w:r>
          </w:p>
        </w:tc>
        <w:tc>
          <w:tcPr>
            <w:tcW w:w="1484"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 xml:space="preserve">288.2 </w:t>
            </w:r>
            <w:r w:rsidRPr="00D350F7">
              <w:rPr>
                <w:rFonts w:ascii="Calibri" w:eastAsia="Times New Roman" w:hAnsi="Calibri" w:cs="Times New Roman"/>
                <w:color w:val="000000"/>
                <w:sz w:val="16"/>
                <w:szCs w:val="16"/>
                <w:lang w:val="de-DE" w:eastAsia="de-DE"/>
              </w:rPr>
              <w:t>± 19.44</w:t>
            </w:r>
          </w:p>
        </w:tc>
        <w:tc>
          <w:tcPr>
            <w:tcW w:w="1466" w:type="dxa"/>
            <w:tcBorders>
              <w:top w:val="nil"/>
              <w:left w:val="nil"/>
              <w:bottom w:val="nil"/>
              <w:right w:val="single" w:sz="4" w:space="0" w:color="auto"/>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205.3</w:t>
            </w:r>
            <w:r w:rsidRPr="00D350F7">
              <w:rPr>
                <w:rFonts w:ascii="Calibri" w:eastAsia="Times New Roman" w:hAnsi="Calibri" w:cs="Times New Roman"/>
                <w:color w:val="000000"/>
                <w:sz w:val="16"/>
                <w:szCs w:val="16"/>
                <w:lang w:val="de-DE" w:eastAsia="de-DE"/>
              </w:rPr>
              <w:t xml:space="preserve"> ± 24.60</w:t>
            </w:r>
          </w:p>
        </w:tc>
        <w:tc>
          <w:tcPr>
            <w:tcW w:w="1362" w:type="dxa"/>
            <w:tcBorders>
              <w:top w:val="nil"/>
              <w:left w:val="nil"/>
              <w:bottom w:val="nil"/>
              <w:right w:val="single" w:sz="4" w:space="0" w:color="auto"/>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1.2</w:t>
            </w:r>
          </w:p>
        </w:tc>
        <w:tc>
          <w:tcPr>
            <w:tcW w:w="1223" w:type="dxa"/>
            <w:tcBorders>
              <w:top w:val="nil"/>
              <w:left w:val="nil"/>
              <w:bottom w:val="nil"/>
              <w:right w:val="single" w:sz="4" w:space="0" w:color="auto"/>
            </w:tcBorders>
            <w:shd w:val="clear" w:color="000000" w:fill="D8E4BC"/>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0.8</w:t>
            </w:r>
          </w:p>
        </w:tc>
      </w:tr>
      <w:tr w:rsidR="00D350F7" w:rsidRPr="00D350F7" w:rsidTr="00D350F7">
        <w:trPr>
          <w:trHeight w:val="300"/>
          <w:jc w:val="center"/>
        </w:trPr>
        <w:tc>
          <w:tcPr>
            <w:tcW w:w="2120" w:type="dxa"/>
            <w:tcBorders>
              <w:top w:val="nil"/>
              <w:left w:val="single" w:sz="4" w:space="0" w:color="auto"/>
              <w:bottom w:val="nil"/>
              <w:right w:val="single" w:sz="4" w:space="0" w:color="auto"/>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Glutamine</w:t>
            </w:r>
          </w:p>
        </w:tc>
        <w:tc>
          <w:tcPr>
            <w:tcW w:w="1485"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 xml:space="preserve">42.3 </w:t>
            </w:r>
            <w:r w:rsidRPr="00D350F7">
              <w:rPr>
                <w:rFonts w:ascii="Calibri" w:eastAsia="Times New Roman" w:hAnsi="Calibri" w:cs="Times New Roman"/>
                <w:color w:val="000000"/>
                <w:sz w:val="16"/>
                <w:szCs w:val="16"/>
                <w:lang w:val="de-DE" w:eastAsia="de-DE"/>
              </w:rPr>
              <w:t>± 5.84</w:t>
            </w:r>
          </w:p>
        </w:tc>
        <w:tc>
          <w:tcPr>
            <w:tcW w:w="1484"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 xml:space="preserve">276.5 </w:t>
            </w:r>
            <w:r w:rsidRPr="00D350F7">
              <w:rPr>
                <w:rFonts w:ascii="Calibri" w:eastAsia="Times New Roman" w:hAnsi="Calibri" w:cs="Times New Roman"/>
                <w:color w:val="000000"/>
                <w:sz w:val="16"/>
                <w:szCs w:val="16"/>
                <w:lang w:val="de-DE" w:eastAsia="de-DE"/>
              </w:rPr>
              <w:t>± 19.13</w:t>
            </w:r>
          </w:p>
        </w:tc>
        <w:tc>
          <w:tcPr>
            <w:tcW w:w="1466" w:type="dxa"/>
            <w:tcBorders>
              <w:top w:val="nil"/>
              <w:left w:val="nil"/>
              <w:bottom w:val="nil"/>
              <w:right w:val="single" w:sz="4" w:space="0" w:color="auto"/>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 xml:space="preserve">98.7 </w:t>
            </w:r>
            <w:r w:rsidRPr="00D350F7">
              <w:rPr>
                <w:rFonts w:ascii="Calibri" w:eastAsia="Times New Roman" w:hAnsi="Calibri" w:cs="Times New Roman"/>
                <w:color w:val="000000"/>
                <w:sz w:val="16"/>
                <w:szCs w:val="16"/>
                <w:lang w:val="de-DE" w:eastAsia="de-DE"/>
              </w:rPr>
              <w:t>± 12.10</w:t>
            </w:r>
          </w:p>
        </w:tc>
        <w:tc>
          <w:tcPr>
            <w:tcW w:w="1362" w:type="dxa"/>
            <w:tcBorders>
              <w:top w:val="nil"/>
              <w:left w:val="nil"/>
              <w:bottom w:val="nil"/>
              <w:right w:val="single" w:sz="4" w:space="0" w:color="auto"/>
            </w:tcBorders>
            <w:shd w:val="clear" w:color="000000" w:fill="DA9694"/>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 xml:space="preserve">6.5 </w:t>
            </w:r>
            <w:r w:rsidRPr="00D350F7">
              <w:rPr>
                <w:rFonts w:ascii="Calibri" w:eastAsia="Times New Roman" w:hAnsi="Calibri" w:cs="Times New Roman"/>
                <w:color w:val="000000"/>
                <w:sz w:val="16"/>
                <w:szCs w:val="16"/>
                <w:lang w:val="de-DE" w:eastAsia="de-DE"/>
              </w:rPr>
              <w:t>**</w:t>
            </w:r>
          </w:p>
        </w:tc>
        <w:tc>
          <w:tcPr>
            <w:tcW w:w="1223" w:type="dxa"/>
            <w:tcBorders>
              <w:top w:val="nil"/>
              <w:left w:val="nil"/>
              <w:bottom w:val="nil"/>
              <w:right w:val="single" w:sz="4" w:space="0" w:color="auto"/>
            </w:tcBorders>
            <w:shd w:val="clear" w:color="000000" w:fill="F2DCDB"/>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 xml:space="preserve">2.3 </w:t>
            </w:r>
            <w:r w:rsidRPr="00D350F7">
              <w:rPr>
                <w:rFonts w:ascii="Calibri" w:eastAsia="Times New Roman" w:hAnsi="Calibri" w:cs="Times New Roman"/>
                <w:color w:val="000000"/>
                <w:sz w:val="16"/>
                <w:szCs w:val="16"/>
                <w:lang w:val="de-DE" w:eastAsia="de-DE"/>
              </w:rPr>
              <w:t>*</w:t>
            </w:r>
          </w:p>
        </w:tc>
      </w:tr>
      <w:tr w:rsidR="00D350F7" w:rsidRPr="00D350F7" w:rsidTr="00D350F7">
        <w:trPr>
          <w:trHeight w:val="300"/>
          <w:jc w:val="center"/>
        </w:trPr>
        <w:tc>
          <w:tcPr>
            <w:tcW w:w="2120" w:type="dxa"/>
            <w:tcBorders>
              <w:top w:val="nil"/>
              <w:left w:val="single" w:sz="4" w:space="0" w:color="auto"/>
              <w:bottom w:val="nil"/>
              <w:right w:val="single" w:sz="4" w:space="0" w:color="auto"/>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 xml:space="preserve">Glycine </w:t>
            </w:r>
          </w:p>
        </w:tc>
        <w:tc>
          <w:tcPr>
            <w:tcW w:w="1485"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 xml:space="preserve">22.4 </w:t>
            </w:r>
            <w:r w:rsidRPr="00D350F7">
              <w:rPr>
                <w:rFonts w:ascii="Calibri" w:eastAsia="Times New Roman" w:hAnsi="Calibri" w:cs="Times New Roman"/>
                <w:color w:val="000000"/>
                <w:sz w:val="16"/>
                <w:szCs w:val="16"/>
                <w:lang w:val="de-DE" w:eastAsia="de-DE"/>
              </w:rPr>
              <w:t>± 2.16</w:t>
            </w:r>
          </w:p>
        </w:tc>
        <w:tc>
          <w:tcPr>
            <w:tcW w:w="1484"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 xml:space="preserve">12.4 </w:t>
            </w:r>
            <w:r w:rsidRPr="00D350F7">
              <w:rPr>
                <w:rFonts w:ascii="Calibri" w:eastAsia="Times New Roman" w:hAnsi="Calibri" w:cs="Times New Roman"/>
                <w:color w:val="000000"/>
                <w:sz w:val="16"/>
                <w:szCs w:val="16"/>
                <w:lang w:val="de-DE" w:eastAsia="de-DE"/>
              </w:rPr>
              <w:t>± 0.91</w:t>
            </w:r>
          </w:p>
        </w:tc>
        <w:tc>
          <w:tcPr>
            <w:tcW w:w="1466" w:type="dxa"/>
            <w:tcBorders>
              <w:top w:val="nil"/>
              <w:left w:val="nil"/>
              <w:bottom w:val="nil"/>
              <w:right w:val="single" w:sz="4" w:space="0" w:color="auto"/>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 xml:space="preserve">4.4 </w:t>
            </w:r>
            <w:r w:rsidRPr="00D350F7">
              <w:rPr>
                <w:rFonts w:ascii="Calibri" w:eastAsia="Times New Roman" w:hAnsi="Calibri" w:cs="Times New Roman"/>
                <w:color w:val="000000"/>
                <w:sz w:val="16"/>
                <w:szCs w:val="16"/>
                <w:lang w:val="de-DE" w:eastAsia="de-DE"/>
              </w:rPr>
              <w:t>± 0.62</w:t>
            </w:r>
          </w:p>
        </w:tc>
        <w:tc>
          <w:tcPr>
            <w:tcW w:w="1362" w:type="dxa"/>
            <w:tcBorders>
              <w:top w:val="nil"/>
              <w:left w:val="nil"/>
              <w:bottom w:val="nil"/>
              <w:right w:val="single" w:sz="4" w:space="0" w:color="auto"/>
            </w:tcBorders>
            <w:shd w:val="clear" w:color="000000" w:fill="D8E4BC"/>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0.6</w:t>
            </w:r>
          </w:p>
        </w:tc>
        <w:tc>
          <w:tcPr>
            <w:tcW w:w="1223" w:type="dxa"/>
            <w:tcBorders>
              <w:top w:val="nil"/>
              <w:left w:val="nil"/>
              <w:bottom w:val="nil"/>
              <w:right w:val="single" w:sz="4" w:space="0" w:color="auto"/>
            </w:tcBorders>
            <w:shd w:val="clear" w:color="000000" w:fill="76933C"/>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 xml:space="preserve">0.2 </w:t>
            </w:r>
            <w:r w:rsidRPr="00D350F7">
              <w:rPr>
                <w:rFonts w:ascii="Calibri" w:eastAsia="Times New Roman" w:hAnsi="Calibri" w:cs="Times New Roman"/>
                <w:color w:val="000000"/>
                <w:sz w:val="16"/>
                <w:szCs w:val="16"/>
                <w:lang w:val="de-DE" w:eastAsia="de-DE"/>
              </w:rPr>
              <w:t>**</w:t>
            </w:r>
          </w:p>
        </w:tc>
      </w:tr>
      <w:tr w:rsidR="00D350F7" w:rsidRPr="00D350F7" w:rsidTr="00D350F7">
        <w:trPr>
          <w:trHeight w:val="300"/>
          <w:jc w:val="center"/>
        </w:trPr>
        <w:tc>
          <w:tcPr>
            <w:tcW w:w="2120" w:type="dxa"/>
            <w:tcBorders>
              <w:top w:val="nil"/>
              <w:left w:val="single" w:sz="4" w:space="0" w:color="auto"/>
              <w:bottom w:val="nil"/>
              <w:right w:val="single" w:sz="4" w:space="0" w:color="auto"/>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 xml:space="preserve">Isoleucine </w:t>
            </w:r>
          </w:p>
        </w:tc>
        <w:tc>
          <w:tcPr>
            <w:tcW w:w="1485"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 xml:space="preserve">3.9 </w:t>
            </w:r>
            <w:r w:rsidRPr="00D350F7">
              <w:rPr>
                <w:rFonts w:ascii="Calibri" w:eastAsia="Times New Roman" w:hAnsi="Calibri" w:cs="Times New Roman"/>
                <w:color w:val="000000"/>
                <w:sz w:val="16"/>
                <w:szCs w:val="16"/>
                <w:lang w:val="de-DE" w:eastAsia="de-DE"/>
              </w:rPr>
              <w:t>± 0.24</w:t>
            </w:r>
          </w:p>
        </w:tc>
        <w:tc>
          <w:tcPr>
            <w:tcW w:w="1484"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14.3</w:t>
            </w:r>
            <w:r w:rsidRPr="00D350F7">
              <w:rPr>
                <w:rFonts w:ascii="Calibri" w:eastAsia="Times New Roman" w:hAnsi="Calibri" w:cs="Times New Roman"/>
                <w:color w:val="000000"/>
                <w:sz w:val="16"/>
                <w:szCs w:val="16"/>
                <w:lang w:val="de-DE" w:eastAsia="de-DE"/>
              </w:rPr>
              <w:t xml:space="preserve"> ± 1.23</w:t>
            </w:r>
          </w:p>
        </w:tc>
        <w:tc>
          <w:tcPr>
            <w:tcW w:w="1466" w:type="dxa"/>
            <w:tcBorders>
              <w:top w:val="nil"/>
              <w:left w:val="nil"/>
              <w:bottom w:val="nil"/>
              <w:right w:val="single" w:sz="4" w:space="0" w:color="auto"/>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 xml:space="preserve">8.5 </w:t>
            </w:r>
            <w:r w:rsidRPr="00D350F7">
              <w:rPr>
                <w:rFonts w:ascii="Calibri" w:eastAsia="Times New Roman" w:hAnsi="Calibri" w:cs="Times New Roman"/>
                <w:color w:val="000000"/>
                <w:sz w:val="16"/>
                <w:szCs w:val="16"/>
                <w:lang w:val="de-DE" w:eastAsia="de-DE"/>
              </w:rPr>
              <w:t>± 1.41</w:t>
            </w:r>
          </w:p>
        </w:tc>
        <w:tc>
          <w:tcPr>
            <w:tcW w:w="1362" w:type="dxa"/>
            <w:tcBorders>
              <w:top w:val="nil"/>
              <w:left w:val="nil"/>
              <w:bottom w:val="nil"/>
              <w:right w:val="single" w:sz="4" w:space="0" w:color="auto"/>
            </w:tcBorders>
            <w:shd w:val="clear" w:color="000000" w:fill="E6B8B7"/>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3.7</w:t>
            </w:r>
            <w:r w:rsidRPr="00D350F7">
              <w:rPr>
                <w:rFonts w:ascii="Calibri" w:eastAsia="Times New Roman" w:hAnsi="Calibri" w:cs="Times New Roman"/>
                <w:color w:val="000000"/>
                <w:sz w:val="16"/>
                <w:szCs w:val="16"/>
                <w:lang w:val="de-DE" w:eastAsia="de-DE"/>
              </w:rPr>
              <w:t xml:space="preserve"> *</w:t>
            </w:r>
          </w:p>
        </w:tc>
        <w:tc>
          <w:tcPr>
            <w:tcW w:w="1223" w:type="dxa"/>
            <w:tcBorders>
              <w:top w:val="nil"/>
              <w:left w:val="nil"/>
              <w:bottom w:val="nil"/>
              <w:right w:val="single" w:sz="4" w:space="0" w:color="auto"/>
            </w:tcBorders>
            <w:shd w:val="clear" w:color="000000" w:fill="F2DCDB"/>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 xml:space="preserve">2.2 </w:t>
            </w:r>
            <w:r w:rsidRPr="00D350F7">
              <w:rPr>
                <w:rFonts w:ascii="Calibri" w:eastAsia="Times New Roman" w:hAnsi="Calibri" w:cs="Times New Roman"/>
                <w:color w:val="000000"/>
                <w:sz w:val="16"/>
                <w:szCs w:val="16"/>
                <w:lang w:val="de-DE" w:eastAsia="de-DE"/>
              </w:rPr>
              <w:t>*</w:t>
            </w:r>
          </w:p>
        </w:tc>
      </w:tr>
      <w:tr w:rsidR="00D350F7" w:rsidRPr="00D350F7" w:rsidTr="00D350F7">
        <w:trPr>
          <w:trHeight w:val="300"/>
          <w:jc w:val="center"/>
        </w:trPr>
        <w:tc>
          <w:tcPr>
            <w:tcW w:w="2120" w:type="dxa"/>
            <w:tcBorders>
              <w:top w:val="nil"/>
              <w:left w:val="single" w:sz="4" w:space="0" w:color="auto"/>
              <w:bottom w:val="nil"/>
              <w:right w:val="single" w:sz="4" w:space="0" w:color="auto"/>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 xml:space="preserve">Leucine </w:t>
            </w:r>
          </w:p>
        </w:tc>
        <w:tc>
          <w:tcPr>
            <w:tcW w:w="1485"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 xml:space="preserve">4.4 </w:t>
            </w:r>
            <w:r w:rsidRPr="00D350F7">
              <w:rPr>
                <w:rFonts w:ascii="Calibri" w:eastAsia="Times New Roman" w:hAnsi="Calibri" w:cs="Times New Roman"/>
                <w:color w:val="000000"/>
                <w:sz w:val="16"/>
                <w:szCs w:val="16"/>
                <w:lang w:val="de-DE" w:eastAsia="de-DE"/>
              </w:rPr>
              <w:t>± 0.3</w:t>
            </w:r>
          </w:p>
        </w:tc>
        <w:tc>
          <w:tcPr>
            <w:tcW w:w="1484"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 xml:space="preserve">18.3 </w:t>
            </w:r>
            <w:r w:rsidRPr="00D350F7">
              <w:rPr>
                <w:rFonts w:ascii="Calibri" w:eastAsia="Times New Roman" w:hAnsi="Calibri" w:cs="Times New Roman"/>
                <w:color w:val="000000"/>
                <w:sz w:val="16"/>
                <w:szCs w:val="16"/>
                <w:lang w:val="de-DE" w:eastAsia="de-DE"/>
              </w:rPr>
              <w:t>± 0.64</w:t>
            </w:r>
          </w:p>
        </w:tc>
        <w:tc>
          <w:tcPr>
            <w:tcW w:w="1466" w:type="dxa"/>
            <w:tcBorders>
              <w:top w:val="nil"/>
              <w:left w:val="nil"/>
              <w:bottom w:val="nil"/>
              <w:right w:val="single" w:sz="4" w:space="0" w:color="auto"/>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9.1</w:t>
            </w:r>
            <w:r w:rsidRPr="00D350F7">
              <w:rPr>
                <w:rFonts w:ascii="Calibri" w:eastAsia="Times New Roman" w:hAnsi="Calibri" w:cs="Times New Roman"/>
                <w:color w:val="000000"/>
                <w:sz w:val="16"/>
                <w:szCs w:val="16"/>
                <w:lang w:val="de-DE" w:eastAsia="de-DE"/>
              </w:rPr>
              <w:t xml:space="preserve"> ± 1.68</w:t>
            </w:r>
          </w:p>
        </w:tc>
        <w:tc>
          <w:tcPr>
            <w:tcW w:w="1362" w:type="dxa"/>
            <w:tcBorders>
              <w:top w:val="nil"/>
              <w:left w:val="nil"/>
              <w:bottom w:val="nil"/>
              <w:right w:val="single" w:sz="4" w:space="0" w:color="auto"/>
            </w:tcBorders>
            <w:shd w:val="clear" w:color="000000" w:fill="E6B8B7"/>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 xml:space="preserve">4.2 </w:t>
            </w:r>
            <w:r w:rsidRPr="00D350F7">
              <w:rPr>
                <w:rFonts w:ascii="Calibri" w:eastAsia="Times New Roman" w:hAnsi="Calibri" w:cs="Times New Roman"/>
                <w:color w:val="000000"/>
                <w:sz w:val="16"/>
                <w:szCs w:val="16"/>
                <w:lang w:val="de-DE" w:eastAsia="de-DE"/>
              </w:rPr>
              <w:t>**</w:t>
            </w:r>
          </w:p>
        </w:tc>
        <w:tc>
          <w:tcPr>
            <w:tcW w:w="1223" w:type="dxa"/>
            <w:tcBorders>
              <w:top w:val="nil"/>
              <w:left w:val="nil"/>
              <w:bottom w:val="nil"/>
              <w:right w:val="single" w:sz="4" w:space="0" w:color="auto"/>
            </w:tcBorders>
            <w:shd w:val="clear" w:color="000000" w:fill="F2DCDB"/>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2.1</w:t>
            </w:r>
          </w:p>
        </w:tc>
      </w:tr>
      <w:tr w:rsidR="00D350F7" w:rsidRPr="00D350F7" w:rsidTr="00D350F7">
        <w:trPr>
          <w:trHeight w:val="300"/>
          <w:jc w:val="center"/>
        </w:trPr>
        <w:tc>
          <w:tcPr>
            <w:tcW w:w="2120" w:type="dxa"/>
            <w:tcBorders>
              <w:top w:val="nil"/>
              <w:left w:val="single" w:sz="4" w:space="0" w:color="auto"/>
              <w:bottom w:val="nil"/>
              <w:right w:val="single" w:sz="4" w:space="0" w:color="auto"/>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 xml:space="preserve">Lysine </w:t>
            </w:r>
          </w:p>
        </w:tc>
        <w:tc>
          <w:tcPr>
            <w:tcW w:w="1485"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 xml:space="preserve">4.5 </w:t>
            </w:r>
            <w:r w:rsidRPr="00D350F7">
              <w:rPr>
                <w:rFonts w:ascii="Calibri" w:eastAsia="Times New Roman" w:hAnsi="Calibri" w:cs="Times New Roman"/>
                <w:color w:val="000000"/>
                <w:sz w:val="16"/>
                <w:szCs w:val="16"/>
                <w:lang w:val="de-DE" w:eastAsia="de-DE"/>
              </w:rPr>
              <w:t>± 0.47</w:t>
            </w:r>
          </w:p>
        </w:tc>
        <w:tc>
          <w:tcPr>
            <w:tcW w:w="1484"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 xml:space="preserve">22.0 </w:t>
            </w:r>
            <w:r w:rsidRPr="00D350F7">
              <w:rPr>
                <w:rFonts w:ascii="Calibri" w:eastAsia="Times New Roman" w:hAnsi="Calibri" w:cs="Times New Roman"/>
                <w:color w:val="000000"/>
                <w:sz w:val="16"/>
                <w:szCs w:val="16"/>
                <w:lang w:val="de-DE" w:eastAsia="de-DE"/>
              </w:rPr>
              <w:t>± 0.57</w:t>
            </w:r>
          </w:p>
        </w:tc>
        <w:tc>
          <w:tcPr>
            <w:tcW w:w="1466" w:type="dxa"/>
            <w:tcBorders>
              <w:top w:val="nil"/>
              <w:left w:val="nil"/>
              <w:bottom w:val="nil"/>
              <w:right w:val="single" w:sz="4" w:space="0" w:color="auto"/>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 xml:space="preserve">12.6 </w:t>
            </w:r>
            <w:r w:rsidRPr="00D350F7">
              <w:rPr>
                <w:rFonts w:ascii="Calibri" w:eastAsia="Times New Roman" w:hAnsi="Calibri" w:cs="Times New Roman"/>
                <w:color w:val="000000"/>
                <w:sz w:val="16"/>
                <w:szCs w:val="16"/>
                <w:lang w:val="de-DE" w:eastAsia="de-DE"/>
              </w:rPr>
              <w:t>± 2.34</w:t>
            </w:r>
          </w:p>
        </w:tc>
        <w:tc>
          <w:tcPr>
            <w:tcW w:w="1362" w:type="dxa"/>
            <w:tcBorders>
              <w:top w:val="nil"/>
              <w:left w:val="nil"/>
              <w:bottom w:val="nil"/>
              <w:right w:val="single" w:sz="4" w:space="0" w:color="auto"/>
            </w:tcBorders>
            <w:shd w:val="clear" w:color="000000" w:fill="E6B8B7"/>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 xml:space="preserve">4.9 </w:t>
            </w:r>
            <w:r w:rsidRPr="00D350F7">
              <w:rPr>
                <w:rFonts w:ascii="Calibri" w:eastAsia="Times New Roman" w:hAnsi="Calibri" w:cs="Times New Roman"/>
                <w:color w:val="000000"/>
                <w:sz w:val="16"/>
                <w:szCs w:val="16"/>
                <w:lang w:val="de-DE" w:eastAsia="de-DE"/>
              </w:rPr>
              <w:t>**</w:t>
            </w:r>
          </w:p>
        </w:tc>
        <w:tc>
          <w:tcPr>
            <w:tcW w:w="1223" w:type="dxa"/>
            <w:tcBorders>
              <w:top w:val="nil"/>
              <w:left w:val="nil"/>
              <w:bottom w:val="nil"/>
              <w:right w:val="single" w:sz="4" w:space="0" w:color="auto"/>
            </w:tcBorders>
            <w:shd w:val="clear" w:color="000000" w:fill="F2DCDB"/>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 xml:space="preserve">2.8 </w:t>
            </w:r>
            <w:r w:rsidRPr="00D350F7">
              <w:rPr>
                <w:rFonts w:ascii="Calibri" w:eastAsia="Times New Roman" w:hAnsi="Calibri" w:cs="Times New Roman"/>
                <w:color w:val="000000"/>
                <w:sz w:val="16"/>
                <w:szCs w:val="16"/>
                <w:lang w:val="de-DE" w:eastAsia="de-DE"/>
              </w:rPr>
              <w:t>*</w:t>
            </w:r>
          </w:p>
        </w:tc>
      </w:tr>
      <w:tr w:rsidR="00D350F7" w:rsidRPr="00D350F7" w:rsidTr="00D350F7">
        <w:trPr>
          <w:trHeight w:val="300"/>
          <w:jc w:val="center"/>
        </w:trPr>
        <w:tc>
          <w:tcPr>
            <w:tcW w:w="2120" w:type="dxa"/>
            <w:tcBorders>
              <w:top w:val="nil"/>
              <w:left w:val="single" w:sz="4" w:space="0" w:color="auto"/>
              <w:bottom w:val="nil"/>
              <w:right w:val="single" w:sz="4" w:space="0" w:color="auto"/>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 xml:space="preserve">Ornithine </w:t>
            </w:r>
          </w:p>
        </w:tc>
        <w:tc>
          <w:tcPr>
            <w:tcW w:w="1485"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 xml:space="preserve">0.2 </w:t>
            </w:r>
            <w:r w:rsidRPr="00D350F7">
              <w:rPr>
                <w:rFonts w:ascii="Calibri" w:eastAsia="Times New Roman" w:hAnsi="Calibri" w:cs="Times New Roman"/>
                <w:color w:val="000000"/>
                <w:sz w:val="16"/>
                <w:szCs w:val="16"/>
                <w:lang w:val="de-DE" w:eastAsia="de-DE"/>
              </w:rPr>
              <w:t>± 0.02</w:t>
            </w:r>
          </w:p>
        </w:tc>
        <w:tc>
          <w:tcPr>
            <w:tcW w:w="1484"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2.1</w:t>
            </w:r>
            <w:r w:rsidRPr="00D350F7">
              <w:rPr>
                <w:rFonts w:ascii="Calibri" w:eastAsia="Times New Roman" w:hAnsi="Calibri" w:cs="Times New Roman"/>
                <w:color w:val="000000"/>
                <w:sz w:val="16"/>
                <w:szCs w:val="16"/>
                <w:lang w:val="de-DE" w:eastAsia="de-DE"/>
              </w:rPr>
              <w:t xml:space="preserve"> ± 0.01</w:t>
            </w:r>
          </w:p>
        </w:tc>
        <w:tc>
          <w:tcPr>
            <w:tcW w:w="1466" w:type="dxa"/>
            <w:tcBorders>
              <w:top w:val="nil"/>
              <w:left w:val="nil"/>
              <w:bottom w:val="nil"/>
              <w:right w:val="single" w:sz="4" w:space="0" w:color="auto"/>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 xml:space="preserve">0.41 </w:t>
            </w:r>
            <w:r w:rsidRPr="00D350F7">
              <w:rPr>
                <w:rFonts w:ascii="Calibri" w:eastAsia="Times New Roman" w:hAnsi="Calibri" w:cs="Times New Roman"/>
                <w:color w:val="000000"/>
                <w:sz w:val="16"/>
                <w:szCs w:val="16"/>
                <w:lang w:val="de-DE" w:eastAsia="de-DE"/>
              </w:rPr>
              <w:t>± 0.07</w:t>
            </w:r>
          </w:p>
        </w:tc>
        <w:tc>
          <w:tcPr>
            <w:tcW w:w="1362" w:type="dxa"/>
            <w:tcBorders>
              <w:top w:val="nil"/>
              <w:left w:val="nil"/>
              <w:bottom w:val="nil"/>
              <w:right w:val="single" w:sz="4" w:space="0" w:color="auto"/>
            </w:tcBorders>
            <w:shd w:val="clear" w:color="000000" w:fill="DA9694"/>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 xml:space="preserve">10.5 </w:t>
            </w:r>
            <w:r w:rsidRPr="00D350F7">
              <w:rPr>
                <w:rFonts w:ascii="Calibri" w:eastAsia="Times New Roman" w:hAnsi="Calibri" w:cs="Times New Roman"/>
                <w:color w:val="000000"/>
                <w:sz w:val="16"/>
                <w:szCs w:val="16"/>
                <w:lang w:val="de-DE" w:eastAsia="de-DE"/>
              </w:rPr>
              <w:t>***</w:t>
            </w:r>
          </w:p>
        </w:tc>
        <w:tc>
          <w:tcPr>
            <w:tcW w:w="1223" w:type="dxa"/>
            <w:tcBorders>
              <w:top w:val="nil"/>
              <w:left w:val="nil"/>
              <w:bottom w:val="nil"/>
              <w:right w:val="single" w:sz="4" w:space="0" w:color="auto"/>
            </w:tcBorders>
            <w:shd w:val="clear" w:color="000000" w:fill="F2DCDB"/>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 xml:space="preserve">2.1 </w:t>
            </w:r>
            <w:r w:rsidRPr="00D350F7">
              <w:rPr>
                <w:rFonts w:ascii="Calibri" w:eastAsia="Times New Roman" w:hAnsi="Calibri" w:cs="Times New Roman"/>
                <w:color w:val="000000"/>
                <w:sz w:val="16"/>
                <w:szCs w:val="16"/>
                <w:lang w:val="de-DE" w:eastAsia="de-DE"/>
              </w:rPr>
              <w:t>*</w:t>
            </w:r>
          </w:p>
        </w:tc>
      </w:tr>
      <w:tr w:rsidR="00D350F7" w:rsidRPr="00D350F7" w:rsidTr="00D350F7">
        <w:trPr>
          <w:trHeight w:val="300"/>
          <w:jc w:val="center"/>
        </w:trPr>
        <w:tc>
          <w:tcPr>
            <w:tcW w:w="2120" w:type="dxa"/>
            <w:tcBorders>
              <w:top w:val="nil"/>
              <w:left w:val="single" w:sz="4" w:space="0" w:color="auto"/>
              <w:bottom w:val="nil"/>
              <w:right w:val="single" w:sz="4" w:space="0" w:color="auto"/>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 xml:space="preserve">Phenylalanine </w:t>
            </w:r>
          </w:p>
        </w:tc>
        <w:tc>
          <w:tcPr>
            <w:tcW w:w="1485"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2.8</w:t>
            </w:r>
            <w:r w:rsidRPr="00D350F7">
              <w:rPr>
                <w:rFonts w:ascii="Calibri" w:eastAsia="Times New Roman" w:hAnsi="Calibri" w:cs="Times New Roman"/>
                <w:color w:val="000000"/>
                <w:sz w:val="16"/>
                <w:szCs w:val="16"/>
                <w:lang w:val="de-DE" w:eastAsia="de-DE"/>
              </w:rPr>
              <w:t xml:space="preserve"> ± 0.29</w:t>
            </w:r>
          </w:p>
        </w:tc>
        <w:tc>
          <w:tcPr>
            <w:tcW w:w="1484"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 xml:space="preserve">10.9 </w:t>
            </w:r>
            <w:r w:rsidRPr="00D350F7">
              <w:rPr>
                <w:rFonts w:ascii="Calibri" w:eastAsia="Times New Roman" w:hAnsi="Calibri" w:cs="Times New Roman"/>
                <w:color w:val="000000"/>
                <w:sz w:val="16"/>
                <w:szCs w:val="16"/>
                <w:lang w:val="de-DE" w:eastAsia="de-DE"/>
              </w:rPr>
              <w:t>± 0.49</w:t>
            </w:r>
          </w:p>
        </w:tc>
        <w:tc>
          <w:tcPr>
            <w:tcW w:w="1466" w:type="dxa"/>
            <w:tcBorders>
              <w:top w:val="nil"/>
              <w:left w:val="nil"/>
              <w:bottom w:val="nil"/>
              <w:right w:val="single" w:sz="4" w:space="0" w:color="auto"/>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 xml:space="preserve">7.7 </w:t>
            </w:r>
            <w:r w:rsidRPr="00D350F7">
              <w:rPr>
                <w:rFonts w:ascii="Calibri" w:eastAsia="Times New Roman" w:hAnsi="Calibri" w:cs="Times New Roman"/>
                <w:color w:val="000000"/>
                <w:sz w:val="16"/>
                <w:szCs w:val="16"/>
                <w:lang w:val="de-DE" w:eastAsia="de-DE"/>
              </w:rPr>
              <w:t>± 1.38</w:t>
            </w:r>
          </w:p>
        </w:tc>
        <w:tc>
          <w:tcPr>
            <w:tcW w:w="1362" w:type="dxa"/>
            <w:tcBorders>
              <w:top w:val="nil"/>
              <w:left w:val="nil"/>
              <w:bottom w:val="nil"/>
              <w:right w:val="single" w:sz="4" w:space="0" w:color="auto"/>
            </w:tcBorders>
            <w:shd w:val="clear" w:color="000000" w:fill="E6B8B7"/>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 xml:space="preserve">3.9 </w:t>
            </w:r>
            <w:r w:rsidRPr="00D350F7">
              <w:rPr>
                <w:rFonts w:ascii="Calibri" w:eastAsia="Times New Roman" w:hAnsi="Calibri" w:cs="Times New Roman"/>
                <w:color w:val="000000"/>
                <w:sz w:val="16"/>
                <w:szCs w:val="16"/>
                <w:lang w:val="de-DE" w:eastAsia="de-DE"/>
              </w:rPr>
              <w:t>**</w:t>
            </w:r>
          </w:p>
        </w:tc>
        <w:tc>
          <w:tcPr>
            <w:tcW w:w="1223" w:type="dxa"/>
            <w:tcBorders>
              <w:top w:val="nil"/>
              <w:left w:val="nil"/>
              <w:bottom w:val="nil"/>
              <w:right w:val="single" w:sz="4" w:space="0" w:color="auto"/>
            </w:tcBorders>
            <w:shd w:val="clear" w:color="000000" w:fill="F2DCDB"/>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 xml:space="preserve">2.8 </w:t>
            </w:r>
            <w:r w:rsidRPr="00D350F7">
              <w:rPr>
                <w:rFonts w:ascii="Calibri" w:eastAsia="Times New Roman" w:hAnsi="Calibri" w:cs="Times New Roman"/>
                <w:color w:val="000000"/>
                <w:sz w:val="16"/>
                <w:szCs w:val="16"/>
                <w:lang w:val="de-DE" w:eastAsia="de-DE"/>
              </w:rPr>
              <w:t>*</w:t>
            </w:r>
          </w:p>
        </w:tc>
      </w:tr>
      <w:tr w:rsidR="00D350F7" w:rsidRPr="00D350F7" w:rsidTr="00D350F7">
        <w:trPr>
          <w:trHeight w:val="300"/>
          <w:jc w:val="center"/>
        </w:trPr>
        <w:tc>
          <w:tcPr>
            <w:tcW w:w="2120" w:type="dxa"/>
            <w:tcBorders>
              <w:top w:val="nil"/>
              <w:left w:val="single" w:sz="4" w:space="0" w:color="auto"/>
              <w:bottom w:val="nil"/>
              <w:right w:val="single" w:sz="4" w:space="0" w:color="auto"/>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 xml:space="preserve">Pipecolic acid </w:t>
            </w:r>
          </w:p>
        </w:tc>
        <w:tc>
          <w:tcPr>
            <w:tcW w:w="1485"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1.5</w:t>
            </w:r>
            <w:r w:rsidRPr="00D350F7">
              <w:rPr>
                <w:rFonts w:ascii="Calibri" w:eastAsia="Times New Roman" w:hAnsi="Calibri" w:cs="Times New Roman"/>
                <w:color w:val="000000"/>
                <w:sz w:val="16"/>
                <w:szCs w:val="16"/>
                <w:lang w:val="de-DE" w:eastAsia="de-DE"/>
              </w:rPr>
              <w:t xml:space="preserve"> ± 0.12</w:t>
            </w:r>
          </w:p>
        </w:tc>
        <w:tc>
          <w:tcPr>
            <w:tcW w:w="1484"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 xml:space="preserve">8.0 </w:t>
            </w:r>
            <w:r w:rsidRPr="00D350F7">
              <w:rPr>
                <w:rFonts w:ascii="Calibri" w:eastAsia="Times New Roman" w:hAnsi="Calibri" w:cs="Times New Roman"/>
                <w:color w:val="000000"/>
                <w:sz w:val="16"/>
                <w:szCs w:val="16"/>
                <w:lang w:val="de-DE" w:eastAsia="de-DE"/>
              </w:rPr>
              <w:t>± 0.46</w:t>
            </w:r>
          </w:p>
        </w:tc>
        <w:tc>
          <w:tcPr>
            <w:tcW w:w="1466" w:type="dxa"/>
            <w:tcBorders>
              <w:top w:val="nil"/>
              <w:left w:val="nil"/>
              <w:bottom w:val="nil"/>
              <w:right w:val="single" w:sz="4" w:space="0" w:color="auto"/>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 xml:space="preserve">5.0 </w:t>
            </w:r>
            <w:r w:rsidRPr="00D350F7">
              <w:rPr>
                <w:rFonts w:ascii="Calibri" w:eastAsia="Times New Roman" w:hAnsi="Calibri" w:cs="Times New Roman"/>
                <w:color w:val="000000"/>
                <w:sz w:val="16"/>
                <w:szCs w:val="16"/>
                <w:lang w:val="de-DE" w:eastAsia="de-DE"/>
              </w:rPr>
              <w:t>± 0.88</w:t>
            </w:r>
          </w:p>
        </w:tc>
        <w:tc>
          <w:tcPr>
            <w:tcW w:w="1362" w:type="dxa"/>
            <w:tcBorders>
              <w:top w:val="nil"/>
              <w:left w:val="nil"/>
              <w:bottom w:val="nil"/>
              <w:right w:val="single" w:sz="4" w:space="0" w:color="auto"/>
            </w:tcBorders>
            <w:shd w:val="clear" w:color="000000" w:fill="DA9694"/>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5.3</w:t>
            </w:r>
            <w:r w:rsidRPr="00D350F7">
              <w:rPr>
                <w:rFonts w:ascii="Calibri" w:eastAsia="Times New Roman" w:hAnsi="Calibri" w:cs="Times New Roman"/>
                <w:color w:val="000000"/>
                <w:sz w:val="16"/>
                <w:szCs w:val="16"/>
                <w:lang w:val="de-DE" w:eastAsia="de-DE"/>
              </w:rPr>
              <w:t xml:space="preserve"> **</w:t>
            </w:r>
          </w:p>
        </w:tc>
        <w:tc>
          <w:tcPr>
            <w:tcW w:w="1223" w:type="dxa"/>
            <w:tcBorders>
              <w:top w:val="nil"/>
              <w:left w:val="nil"/>
              <w:bottom w:val="nil"/>
              <w:right w:val="single" w:sz="4" w:space="0" w:color="auto"/>
            </w:tcBorders>
            <w:shd w:val="clear" w:color="000000" w:fill="E6B8B7"/>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3.3</w:t>
            </w:r>
            <w:r w:rsidRPr="00D350F7">
              <w:rPr>
                <w:rFonts w:ascii="Calibri" w:eastAsia="Times New Roman" w:hAnsi="Calibri" w:cs="Times New Roman"/>
                <w:color w:val="000000"/>
                <w:sz w:val="16"/>
                <w:szCs w:val="16"/>
                <w:lang w:val="de-DE" w:eastAsia="de-DE"/>
              </w:rPr>
              <w:t xml:space="preserve"> *</w:t>
            </w:r>
          </w:p>
        </w:tc>
      </w:tr>
      <w:tr w:rsidR="00D350F7" w:rsidRPr="00D350F7" w:rsidTr="00D350F7">
        <w:trPr>
          <w:trHeight w:val="300"/>
          <w:jc w:val="center"/>
        </w:trPr>
        <w:tc>
          <w:tcPr>
            <w:tcW w:w="2120" w:type="dxa"/>
            <w:tcBorders>
              <w:top w:val="nil"/>
              <w:left w:val="single" w:sz="4" w:space="0" w:color="auto"/>
              <w:bottom w:val="nil"/>
              <w:right w:val="single" w:sz="4" w:space="0" w:color="auto"/>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 xml:space="preserve">Proline </w:t>
            </w:r>
          </w:p>
        </w:tc>
        <w:tc>
          <w:tcPr>
            <w:tcW w:w="1485"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 xml:space="preserve">15.3 </w:t>
            </w:r>
            <w:r w:rsidRPr="00D350F7">
              <w:rPr>
                <w:rFonts w:ascii="Calibri" w:eastAsia="Times New Roman" w:hAnsi="Calibri" w:cs="Times New Roman"/>
                <w:color w:val="000000"/>
                <w:sz w:val="16"/>
                <w:szCs w:val="16"/>
                <w:lang w:val="de-DE" w:eastAsia="de-DE"/>
              </w:rPr>
              <w:t>± 1.10</w:t>
            </w:r>
          </w:p>
        </w:tc>
        <w:tc>
          <w:tcPr>
            <w:tcW w:w="1484"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 xml:space="preserve">66.1 </w:t>
            </w:r>
            <w:r w:rsidRPr="00D350F7">
              <w:rPr>
                <w:rFonts w:ascii="Calibri" w:eastAsia="Times New Roman" w:hAnsi="Calibri" w:cs="Times New Roman"/>
                <w:color w:val="000000"/>
                <w:sz w:val="16"/>
                <w:szCs w:val="16"/>
                <w:lang w:val="de-DE" w:eastAsia="de-DE"/>
              </w:rPr>
              <w:t>± 5.29</w:t>
            </w:r>
          </w:p>
        </w:tc>
        <w:tc>
          <w:tcPr>
            <w:tcW w:w="1466" w:type="dxa"/>
            <w:tcBorders>
              <w:top w:val="nil"/>
              <w:left w:val="nil"/>
              <w:bottom w:val="nil"/>
              <w:right w:val="single" w:sz="4" w:space="0" w:color="auto"/>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 xml:space="preserve">11.5 </w:t>
            </w:r>
            <w:r w:rsidRPr="00D350F7">
              <w:rPr>
                <w:rFonts w:ascii="Calibri" w:eastAsia="Times New Roman" w:hAnsi="Calibri" w:cs="Times New Roman"/>
                <w:color w:val="000000"/>
                <w:sz w:val="16"/>
                <w:szCs w:val="16"/>
                <w:lang w:val="de-DE" w:eastAsia="de-DE"/>
              </w:rPr>
              <w:t>± 1.68</w:t>
            </w:r>
          </w:p>
        </w:tc>
        <w:tc>
          <w:tcPr>
            <w:tcW w:w="1362" w:type="dxa"/>
            <w:tcBorders>
              <w:top w:val="nil"/>
              <w:left w:val="nil"/>
              <w:bottom w:val="nil"/>
              <w:right w:val="single" w:sz="4" w:space="0" w:color="auto"/>
            </w:tcBorders>
            <w:shd w:val="clear" w:color="000000" w:fill="E6B8B7"/>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 xml:space="preserve">4.3 </w:t>
            </w:r>
            <w:r w:rsidRPr="00D350F7">
              <w:rPr>
                <w:rFonts w:ascii="Calibri" w:eastAsia="Times New Roman" w:hAnsi="Calibri" w:cs="Times New Roman"/>
                <w:color w:val="000000"/>
                <w:sz w:val="16"/>
                <w:szCs w:val="16"/>
                <w:lang w:val="de-DE" w:eastAsia="de-DE"/>
              </w:rPr>
              <w:t>*</w:t>
            </w:r>
          </w:p>
        </w:tc>
        <w:tc>
          <w:tcPr>
            <w:tcW w:w="1223" w:type="dxa"/>
            <w:tcBorders>
              <w:top w:val="nil"/>
              <w:left w:val="nil"/>
              <w:bottom w:val="nil"/>
              <w:right w:val="single" w:sz="4" w:space="0" w:color="auto"/>
            </w:tcBorders>
            <w:shd w:val="clear" w:color="000000" w:fill="D8E4BC"/>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0.8</w:t>
            </w:r>
          </w:p>
        </w:tc>
      </w:tr>
      <w:tr w:rsidR="00D350F7" w:rsidRPr="00D350F7" w:rsidTr="00D350F7">
        <w:trPr>
          <w:trHeight w:val="300"/>
          <w:jc w:val="center"/>
        </w:trPr>
        <w:tc>
          <w:tcPr>
            <w:tcW w:w="2120" w:type="dxa"/>
            <w:tcBorders>
              <w:top w:val="nil"/>
              <w:left w:val="single" w:sz="4" w:space="0" w:color="auto"/>
              <w:bottom w:val="nil"/>
              <w:right w:val="single" w:sz="4" w:space="0" w:color="auto"/>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 xml:space="preserve">Serine </w:t>
            </w:r>
          </w:p>
        </w:tc>
        <w:tc>
          <w:tcPr>
            <w:tcW w:w="1485"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 xml:space="preserve">38.7 </w:t>
            </w:r>
            <w:r w:rsidRPr="00D350F7">
              <w:rPr>
                <w:rFonts w:ascii="Calibri" w:eastAsia="Times New Roman" w:hAnsi="Calibri" w:cs="Times New Roman"/>
                <w:color w:val="000000"/>
                <w:sz w:val="16"/>
                <w:szCs w:val="16"/>
                <w:lang w:val="de-DE" w:eastAsia="de-DE"/>
              </w:rPr>
              <w:t>± 6.44</w:t>
            </w:r>
          </w:p>
        </w:tc>
        <w:tc>
          <w:tcPr>
            <w:tcW w:w="1484"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73.2</w:t>
            </w:r>
            <w:r w:rsidRPr="00D350F7">
              <w:rPr>
                <w:rFonts w:ascii="Calibri" w:eastAsia="Times New Roman" w:hAnsi="Calibri" w:cs="Times New Roman"/>
                <w:color w:val="000000"/>
                <w:sz w:val="16"/>
                <w:szCs w:val="16"/>
                <w:lang w:val="de-DE" w:eastAsia="de-DE"/>
              </w:rPr>
              <w:t xml:space="preserve"> ± 0.77</w:t>
            </w:r>
          </w:p>
        </w:tc>
        <w:tc>
          <w:tcPr>
            <w:tcW w:w="1466" w:type="dxa"/>
            <w:tcBorders>
              <w:top w:val="nil"/>
              <w:left w:val="nil"/>
              <w:bottom w:val="nil"/>
              <w:right w:val="single" w:sz="4" w:space="0" w:color="auto"/>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57.6</w:t>
            </w:r>
            <w:r w:rsidRPr="00D350F7">
              <w:rPr>
                <w:rFonts w:ascii="Calibri" w:eastAsia="Times New Roman" w:hAnsi="Calibri" w:cs="Times New Roman"/>
                <w:color w:val="000000"/>
                <w:sz w:val="16"/>
                <w:szCs w:val="16"/>
                <w:lang w:val="de-DE" w:eastAsia="de-DE"/>
              </w:rPr>
              <w:t xml:space="preserve"> ± 7.22</w:t>
            </w:r>
          </w:p>
        </w:tc>
        <w:tc>
          <w:tcPr>
            <w:tcW w:w="1362" w:type="dxa"/>
            <w:tcBorders>
              <w:top w:val="nil"/>
              <w:left w:val="nil"/>
              <w:bottom w:val="nil"/>
              <w:right w:val="single" w:sz="4" w:space="0" w:color="auto"/>
            </w:tcBorders>
            <w:shd w:val="clear" w:color="000000" w:fill="F2DCDB"/>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 xml:space="preserve">1.9 </w:t>
            </w:r>
            <w:r w:rsidRPr="00D350F7">
              <w:rPr>
                <w:rFonts w:ascii="Calibri" w:eastAsia="Times New Roman" w:hAnsi="Calibri" w:cs="Times New Roman"/>
                <w:color w:val="000000"/>
                <w:sz w:val="16"/>
                <w:szCs w:val="16"/>
                <w:lang w:val="de-DE" w:eastAsia="de-DE"/>
              </w:rPr>
              <w:t>*</w:t>
            </w:r>
          </w:p>
        </w:tc>
        <w:tc>
          <w:tcPr>
            <w:tcW w:w="1223" w:type="dxa"/>
            <w:tcBorders>
              <w:top w:val="nil"/>
              <w:left w:val="nil"/>
              <w:bottom w:val="nil"/>
              <w:right w:val="single" w:sz="4" w:space="0" w:color="auto"/>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1.5</w:t>
            </w:r>
          </w:p>
        </w:tc>
      </w:tr>
      <w:tr w:rsidR="00D350F7" w:rsidRPr="00D350F7" w:rsidTr="00D350F7">
        <w:trPr>
          <w:trHeight w:val="300"/>
          <w:jc w:val="center"/>
        </w:trPr>
        <w:tc>
          <w:tcPr>
            <w:tcW w:w="2120" w:type="dxa"/>
            <w:tcBorders>
              <w:top w:val="nil"/>
              <w:left w:val="single" w:sz="4" w:space="0" w:color="auto"/>
              <w:bottom w:val="nil"/>
              <w:right w:val="single" w:sz="4" w:space="0" w:color="auto"/>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 xml:space="preserve">Threonine </w:t>
            </w:r>
          </w:p>
        </w:tc>
        <w:tc>
          <w:tcPr>
            <w:tcW w:w="1485"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 xml:space="preserve">34.1 </w:t>
            </w:r>
            <w:r w:rsidRPr="00D350F7">
              <w:rPr>
                <w:rFonts w:ascii="Calibri" w:eastAsia="Times New Roman" w:hAnsi="Calibri" w:cs="Times New Roman"/>
                <w:color w:val="000000"/>
                <w:sz w:val="16"/>
                <w:szCs w:val="16"/>
                <w:lang w:val="de-DE" w:eastAsia="de-DE"/>
              </w:rPr>
              <w:t>± 4.76</w:t>
            </w:r>
          </w:p>
        </w:tc>
        <w:tc>
          <w:tcPr>
            <w:tcW w:w="1484"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 xml:space="preserve">47.2 </w:t>
            </w:r>
            <w:r w:rsidRPr="00D350F7">
              <w:rPr>
                <w:rFonts w:ascii="Calibri" w:eastAsia="Times New Roman" w:hAnsi="Calibri" w:cs="Times New Roman"/>
                <w:color w:val="000000"/>
                <w:sz w:val="16"/>
                <w:szCs w:val="16"/>
                <w:lang w:val="de-DE" w:eastAsia="de-DE"/>
              </w:rPr>
              <w:t>± 1.00</w:t>
            </w:r>
          </w:p>
        </w:tc>
        <w:tc>
          <w:tcPr>
            <w:tcW w:w="1466" w:type="dxa"/>
            <w:tcBorders>
              <w:top w:val="nil"/>
              <w:left w:val="nil"/>
              <w:bottom w:val="nil"/>
              <w:right w:val="single" w:sz="4" w:space="0" w:color="auto"/>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 xml:space="preserve">41.3 </w:t>
            </w:r>
            <w:r w:rsidRPr="00D350F7">
              <w:rPr>
                <w:rFonts w:ascii="Calibri" w:eastAsia="Times New Roman" w:hAnsi="Calibri" w:cs="Times New Roman"/>
                <w:color w:val="000000"/>
                <w:sz w:val="16"/>
                <w:szCs w:val="16"/>
                <w:lang w:val="de-DE" w:eastAsia="de-DE"/>
              </w:rPr>
              <w:t>± 5.70</w:t>
            </w:r>
          </w:p>
        </w:tc>
        <w:tc>
          <w:tcPr>
            <w:tcW w:w="1362" w:type="dxa"/>
            <w:tcBorders>
              <w:top w:val="nil"/>
              <w:left w:val="nil"/>
              <w:bottom w:val="nil"/>
              <w:right w:val="single" w:sz="4" w:space="0" w:color="auto"/>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1.4</w:t>
            </w:r>
          </w:p>
        </w:tc>
        <w:tc>
          <w:tcPr>
            <w:tcW w:w="1223" w:type="dxa"/>
            <w:tcBorders>
              <w:top w:val="nil"/>
              <w:left w:val="nil"/>
              <w:bottom w:val="nil"/>
              <w:right w:val="single" w:sz="4" w:space="0" w:color="auto"/>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1.2</w:t>
            </w:r>
          </w:p>
        </w:tc>
      </w:tr>
      <w:tr w:rsidR="00D350F7" w:rsidRPr="00D350F7" w:rsidTr="00D350F7">
        <w:trPr>
          <w:trHeight w:val="300"/>
          <w:jc w:val="center"/>
        </w:trPr>
        <w:tc>
          <w:tcPr>
            <w:tcW w:w="2120" w:type="dxa"/>
            <w:tcBorders>
              <w:top w:val="nil"/>
              <w:left w:val="single" w:sz="4" w:space="0" w:color="auto"/>
              <w:bottom w:val="nil"/>
              <w:right w:val="single" w:sz="4" w:space="0" w:color="auto"/>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 xml:space="preserve">Tryptophane </w:t>
            </w:r>
          </w:p>
        </w:tc>
        <w:tc>
          <w:tcPr>
            <w:tcW w:w="1485"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0.3 ±</w:t>
            </w:r>
            <w:r w:rsidRPr="00D350F7">
              <w:rPr>
                <w:rFonts w:ascii="Calibri" w:eastAsia="Times New Roman" w:hAnsi="Calibri" w:cs="Times New Roman"/>
                <w:color w:val="000000"/>
                <w:sz w:val="16"/>
                <w:szCs w:val="16"/>
                <w:lang w:val="de-DE" w:eastAsia="de-DE"/>
              </w:rPr>
              <w:t xml:space="preserve"> 0.13</w:t>
            </w:r>
          </w:p>
        </w:tc>
        <w:tc>
          <w:tcPr>
            <w:tcW w:w="1484"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 xml:space="preserve">5.0 </w:t>
            </w:r>
            <w:r w:rsidRPr="00D350F7">
              <w:rPr>
                <w:rFonts w:ascii="Calibri" w:eastAsia="Times New Roman" w:hAnsi="Calibri" w:cs="Times New Roman"/>
                <w:color w:val="000000"/>
                <w:sz w:val="16"/>
                <w:szCs w:val="16"/>
                <w:lang w:val="de-DE" w:eastAsia="de-DE"/>
              </w:rPr>
              <w:t>± 0.26</w:t>
            </w:r>
          </w:p>
        </w:tc>
        <w:tc>
          <w:tcPr>
            <w:tcW w:w="1466" w:type="dxa"/>
            <w:tcBorders>
              <w:top w:val="nil"/>
              <w:left w:val="nil"/>
              <w:bottom w:val="nil"/>
              <w:right w:val="single" w:sz="4" w:space="0" w:color="auto"/>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 xml:space="preserve">1.2 </w:t>
            </w:r>
            <w:r w:rsidRPr="00D350F7">
              <w:rPr>
                <w:rFonts w:ascii="Calibri" w:eastAsia="Times New Roman" w:hAnsi="Calibri" w:cs="Times New Roman"/>
                <w:color w:val="000000"/>
                <w:sz w:val="16"/>
                <w:szCs w:val="16"/>
                <w:lang w:val="de-DE" w:eastAsia="de-DE"/>
              </w:rPr>
              <w:t>± 0.22</w:t>
            </w:r>
          </w:p>
        </w:tc>
        <w:tc>
          <w:tcPr>
            <w:tcW w:w="1362" w:type="dxa"/>
            <w:tcBorders>
              <w:top w:val="nil"/>
              <w:left w:val="nil"/>
              <w:bottom w:val="nil"/>
              <w:right w:val="single" w:sz="4" w:space="0" w:color="auto"/>
            </w:tcBorders>
            <w:shd w:val="clear" w:color="000000" w:fill="DA9694"/>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16.7</w:t>
            </w:r>
            <w:r w:rsidRPr="00D350F7">
              <w:rPr>
                <w:rFonts w:ascii="Calibri" w:eastAsia="Times New Roman" w:hAnsi="Calibri" w:cs="Times New Roman"/>
                <w:color w:val="000000"/>
                <w:sz w:val="16"/>
                <w:szCs w:val="16"/>
                <w:lang w:val="de-DE" w:eastAsia="de-DE"/>
              </w:rPr>
              <w:t xml:space="preserve"> **</w:t>
            </w:r>
          </w:p>
        </w:tc>
        <w:tc>
          <w:tcPr>
            <w:tcW w:w="1223" w:type="dxa"/>
            <w:tcBorders>
              <w:top w:val="nil"/>
              <w:left w:val="nil"/>
              <w:bottom w:val="nil"/>
              <w:right w:val="single" w:sz="4" w:space="0" w:color="auto"/>
            </w:tcBorders>
            <w:shd w:val="clear" w:color="000000" w:fill="E6B8B7"/>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 xml:space="preserve">4.0 </w:t>
            </w:r>
            <w:r w:rsidRPr="00D350F7">
              <w:rPr>
                <w:rFonts w:ascii="Calibri" w:eastAsia="Times New Roman" w:hAnsi="Calibri" w:cs="Times New Roman"/>
                <w:color w:val="000000"/>
                <w:sz w:val="16"/>
                <w:szCs w:val="16"/>
                <w:lang w:val="de-DE" w:eastAsia="de-DE"/>
              </w:rPr>
              <w:t>*</w:t>
            </w:r>
          </w:p>
        </w:tc>
      </w:tr>
      <w:tr w:rsidR="00D350F7" w:rsidRPr="00D350F7" w:rsidTr="00D350F7">
        <w:trPr>
          <w:trHeight w:val="300"/>
          <w:jc w:val="center"/>
        </w:trPr>
        <w:tc>
          <w:tcPr>
            <w:tcW w:w="2120" w:type="dxa"/>
            <w:tcBorders>
              <w:top w:val="nil"/>
              <w:left w:val="single" w:sz="4" w:space="0" w:color="auto"/>
              <w:bottom w:val="nil"/>
              <w:right w:val="single" w:sz="4" w:space="0" w:color="auto"/>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Tyrosine</w:t>
            </w:r>
          </w:p>
        </w:tc>
        <w:tc>
          <w:tcPr>
            <w:tcW w:w="1485"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 xml:space="preserve">1.4 </w:t>
            </w:r>
            <w:r w:rsidRPr="00D350F7">
              <w:rPr>
                <w:rFonts w:ascii="Calibri" w:eastAsia="Times New Roman" w:hAnsi="Calibri" w:cs="Times New Roman"/>
                <w:color w:val="000000"/>
                <w:sz w:val="16"/>
                <w:szCs w:val="16"/>
                <w:lang w:val="de-DE" w:eastAsia="de-DE"/>
              </w:rPr>
              <w:t>± 0.19</w:t>
            </w:r>
          </w:p>
        </w:tc>
        <w:tc>
          <w:tcPr>
            <w:tcW w:w="1484"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 xml:space="preserve">11.9 </w:t>
            </w:r>
            <w:r w:rsidRPr="00D350F7">
              <w:rPr>
                <w:rFonts w:ascii="Calibri" w:eastAsia="Times New Roman" w:hAnsi="Calibri" w:cs="Times New Roman"/>
                <w:color w:val="000000"/>
                <w:sz w:val="16"/>
                <w:szCs w:val="16"/>
                <w:lang w:val="de-DE" w:eastAsia="de-DE"/>
              </w:rPr>
              <w:t>± 0.48</w:t>
            </w:r>
          </w:p>
        </w:tc>
        <w:tc>
          <w:tcPr>
            <w:tcW w:w="1466" w:type="dxa"/>
            <w:tcBorders>
              <w:top w:val="nil"/>
              <w:left w:val="nil"/>
              <w:bottom w:val="nil"/>
              <w:right w:val="single" w:sz="4" w:space="0" w:color="auto"/>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 xml:space="preserve">3.6 </w:t>
            </w:r>
            <w:r w:rsidRPr="00D350F7">
              <w:rPr>
                <w:rFonts w:ascii="Calibri" w:eastAsia="Times New Roman" w:hAnsi="Calibri" w:cs="Times New Roman"/>
                <w:color w:val="000000"/>
                <w:sz w:val="16"/>
                <w:szCs w:val="16"/>
                <w:lang w:val="de-DE" w:eastAsia="de-DE"/>
              </w:rPr>
              <w:t>± 0.67</w:t>
            </w:r>
          </w:p>
        </w:tc>
        <w:tc>
          <w:tcPr>
            <w:tcW w:w="1362" w:type="dxa"/>
            <w:tcBorders>
              <w:top w:val="nil"/>
              <w:left w:val="nil"/>
              <w:bottom w:val="nil"/>
              <w:right w:val="single" w:sz="4" w:space="0" w:color="auto"/>
            </w:tcBorders>
            <w:shd w:val="clear" w:color="000000" w:fill="DA9694"/>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 xml:space="preserve">8.5 </w:t>
            </w:r>
            <w:r w:rsidRPr="00D350F7">
              <w:rPr>
                <w:rFonts w:ascii="Calibri" w:eastAsia="Times New Roman" w:hAnsi="Calibri" w:cs="Times New Roman"/>
                <w:color w:val="000000"/>
                <w:sz w:val="16"/>
                <w:szCs w:val="16"/>
                <w:lang w:val="de-DE" w:eastAsia="de-DE"/>
              </w:rPr>
              <w:t>**</w:t>
            </w:r>
          </w:p>
        </w:tc>
        <w:tc>
          <w:tcPr>
            <w:tcW w:w="1223" w:type="dxa"/>
            <w:tcBorders>
              <w:top w:val="nil"/>
              <w:left w:val="nil"/>
              <w:bottom w:val="nil"/>
              <w:right w:val="single" w:sz="4" w:space="0" w:color="auto"/>
            </w:tcBorders>
            <w:shd w:val="clear" w:color="000000" w:fill="F2DCDB"/>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2.6</w:t>
            </w:r>
            <w:r w:rsidRPr="00D350F7">
              <w:rPr>
                <w:rFonts w:ascii="Calibri" w:eastAsia="Times New Roman" w:hAnsi="Calibri" w:cs="Times New Roman"/>
                <w:color w:val="000000"/>
                <w:sz w:val="16"/>
                <w:szCs w:val="16"/>
                <w:lang w:val="de-DE" w:eastAsia="de-DE"/>
              </w:rPr>
              <w:t xml:space="preserve"> *</w:t>
            </w:r>
          </w:p>
        </w:tc>
      </w:tr>
      <w:tr w:rsidR="00D350F7" w:rsidRPr="00D350F7" w:rsidTr="00D350F7">
        <w:trPr>
          <w:trHeight w:val="300"/>
          <w:jc w:val="center"/>
        </w:trPr>
        <w:tc>
          <w:tcPr>
            <w:tcW w:w="2120" w:type="dxa"/>
            <w:tcBorders>
              <w:top w:val="nil"/>
              <w:left w:val="single" w:sz="4" w:space="0" w:color="auto"/>
              <w:bottom w:val="nil"/>
              <w:right w:val="single" w:sz="4" w:space="0" w:color="auto"/>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 xml:space="preserve">Valine </w:t>
            </w:r>
          </w:p>
        </w:tc>
        <w:tc>
          <w:tcPr>
            <w:tcW w:w="1485"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 xml:space="preserve">7.6 </w:t>
            </w:r>
            <w:r w:rsidRPr="00D350F7">
              <w:rPr>
                <w:rFonts w:ascii="Calibri" w:eastAsia="Times New Roman" w:hAnsi="Calibri" w:cs="Times New Roman"/>
                <w:color w:val="000000"/>
                <w:sz w:val="16"/>
                <w:szCs w:val="16"/>
                <w:lang w:val="de-DE" w:eastAsia="de-DE"/>
              </w:rPr>
              <w:t>± 0.73</w:t>
            </w:r>
          </w:p>
        </w:tc>
        <w:tc>
          <w:tcPr>
            <w:tcW w:w="1484"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 xml:space="preserve">32.5 </w:t>
            </w:r>
            <w:r w:rsidRPr="00D350F7">
              <w:rPr>
                <w:rFonts w:ascii="Calibri" w:eastAsia="Times New Roman" w:hAnsi="Calibri" w:cs="Times New Roman"/>
                <w:color w:val="000000"/>
                <w:sz w:val="16"/>
                <w:szCs w:val="16"/>
                <w:lang w:val="de-DE" w:eastAsia="de-DE"/>
              </w:rPr>
              <w:t>± 2.34</w:t>
            </w:r>
          </w:p>
        </w:tc>
        <w:tc>
          <w:tcPr>
            <w:tcW w:w="1466" w:type="dxa"/>
            <w:tcBorders>
              <w:top w:val="nil"/>
              <w:left w:val="nil"/>
              <w:bottom w:val="nil"/>
              <w:right w:val="single" w:sz="4" w:space="0" w:color="auto"/>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16.4</w:t>
            </w:r>
            <w:r w:rsidRPr="00D350F7">
              <w:rPr>
                <w:rFonts w:ascii="Calibri" w:eastAsia="Times New Roman" w:hAnsi="Calibri" w:cs="Times New Roman"/>
                <w:color w:val="000000"/>
                <w:sz w:val="16"/>
                <w:szCs w:val="16"/>
                <w:lang w:val="de-DE" w:eastAsia="de-DE"/>
              </w:rPr>
              <w:t xml:space="preserve"> ± 0.9</w:t>
            </w:r>
          </w:p>
        </w:tc>
        <w:tc>
          <w:tcPr>
            <w:tcW w:w="1362" w:type="dxa"/>
            <w:tcBorders>
              <w:top w:val="nil"/>
              <w:left w:val="nil"/>
              <w:bottom w:val="nil"/>
              <w:right w:val="single" w:sz="4" w:space="0" w:color="auto"/>
            </w:tcBorders>
            <w:shd w:val="clear" w:color="000000" w:fill="E6B8B7"/>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4.3</w:t>
            </w:r>
            <w:r w:rsidRPr="00D350F7">
              <w:rPr>
                <w:rFonts w:ascii="Calibri" w:eastAsia="Times New Roman" w:hAnsi="Calibri" w:cs="Times New Roman"/>
                <w:color w:val="000000"/>
                <w:sz w:val="16"/>
                <w:szCs w:val="16"/>
                <w:lang w:val="de-DE" w:eastAsia="de-DE"/>
              </w:rPr>
              <w:t xml:space="preserve"> **</w:t>
            </w:r>
          </w:p>
        </w:tc>
        <w:tc>
          <w:tcPr>
            <w:tcW w:w="1223" w:type="dxa"/>
            <w:tcBorders>
              <w:top w:val="nil"/>
              <w:left w:val="nil"/>
              <w:bottom w:val="nil"/>
              <w:right w:val="single" w:sz="4" w:space="0" w:color="auto"/>
            </w:tcBorders>
            <w:shd w:val="clear" w:color="000000" w:fill="F2DCDB"/>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 xml:space="preserve">2.2 </w:t>
            </w:r>
            <w:r w:rsidRPr="00D350F7">
              <w:rPr>
                <w:rFonts w:ascii="Calibri" w:eastAsia="Times New Roman" w:hAnsi="Calibri" w:cs="Times New Roman"/>
                <w:color w:val="000000"/>
                <w:sz w:val="16"/>
                <w:szCs w:val="16"/>
                <w:lang w:val="de-DE" w:eastAsia="de-DE"/>
              </w:rPr>
              <w:t>**</w:t>
            </w:r>
          </w:p>
        </w:tc>
      </w:tr>
      <w:tr w:rsidR="00D350F7" w:rsidRPr="00D350F7" w:rsidTr="00D350F7">
        <w:trPr>
          <w:trHeight w:val="300"/>
          <w:jc w:val="center"/>
        </w:trPr>
        <w:tc>
          <w:tcPr>
            <w:tcW w:w="2120" w:type="dxa"/>
            <w:tcBorders>
              <w:top w:val="nil"/>
              <w:left w:val="single" w:sz="4" w:space="0" w:color="auto"/>
              <w:bottom w:val="nil"/>
              <w:right w:val="single" w:sz="4" w:space="0" w:color="auto"/>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lang w:val="de-DE" w:eastAsia="de-DE"/>
              </w:rPr>
            </w:pPr>
            <w:r w:rsidRPr="00D350F7">
              <w:rPr>
                <w:rFonts w:ascii="Calibri" w:eastAsia="Times New Roman" w:hAnsi="Calibri" w:cs="Times New Roman"/>
                <w:i/>
                <w:iCs/>
                <w:color w:val="000000"/>
                <w:lang w:val="de-DE" w:eastAsia="de-DE"/>
              </w:rPr>
              <w:t>α</w:t>
            </w:r>
            <w:r w:rsidRPr="00D350F7">
              <w:rPr>
                <w:rFonts w:ascii="Calibri" w:eastAsia="Times New Roman" w:hAnsi="Calibri" w:cs="Times New Roman"/>
                <w:color w:val="000000"/>
                <w:sz w:val="15"/>
                <w:szCs w:val="15"/>
                <w:lang w:val="de-DE" w:eastAsia="de-DE"/>
              </w:rPr>
              <w:t>-</w:t>
            </w:r>
            <w:r w:rsidRPr="00D350F7">
              <w:rPr>
                <w:rFonts w:ascii="Calibri" w:eastAsia="Times New Roman" w:hAnsi="Calibri" w:cs="Times New Roman"/>
                <w:color w:val="000000"/>
                <w:lang w:val="de-DE" w:eastAsia="de-DE"/>
              </w:rPr>
              <w:t xml:space="preserve">aminoadipic acid </w:t>
            </w:r>
          </w:p>
        </w:tc>
        <w:tc>
          <w:tcPr>
            <w:tcW w:w="1485"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 xml:space="preserve">0.2 </w:t>
            </w:r>
            <w:r w:rsidRPr="00D350F7">
              <w:rPr>
                <w:rFonts w:ascii="Calibri" w:eastAsia="Times New Roman" w:hAnsi="Calibri" w:cs="Times New Roman"/>
                <w:color w:val="000000"/>
                <w:sz w:val="16"/>
                <w:szCs w:val="16"/>
                <w:lang w:val="de-DE" w:eastAsia="de-DE"/>
              </w:rPr>
              <w:t>± 0.02</w:t>
            </w:r>
          </w:p>
        </w:tc>
        <w:tc>
          <w:tcPr>
            <w:tcW w:w="1484"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5.2</w:t>
            </w:r>
            <w:r w:rsidRPr="00D350F7">
              <w:rPr>
                <w:rFonts w:ascii="Calibri" w:eastAsia="Times New Roman" w:hAnsi="Calibri" w:cs="Times New Roman"/>
                <w:color w:val="000000"/>
                <w:sz w:val="16"/>
                <w:szCs w:val="16"/>
                <w:lang w:val="de-DE" w:eastAsia="de-DE"/>
              </w:rPr>
              <w:t xml:space="preserve"> ± 0.35</w:t>
            </w:r>
          </w:p>
        </w:tc>
        <w:tc>
          <w:tcPr>
            <w:tcW w:w="1466" w:type="dxa"/>
            <w:tcBorders>
              <w:top w:val="nil"/>
              <w:left w:val="nil"/>
              <w:bottom w:val="nil"/>
              <w:right w:val="single" w:sz="4" w:space="0" w:color="auto"/>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 xml:space="preserve">1.1 </w:t>
            </w:r>
            <w:r w:rsidRPr="00D350F7">
              <w:rPr>
                <w:rFonts w:ascii="Calibri" w:eastAsia="Times New Roman" w:hAnsi="Calibri" w:cs="Times New Roman"/>
                <w:color w:val="000000"/>
                <w:sz w:val="16"/>
                <w:szCs w:val="16"/>
                <w:lang w:val="de-DE" w:eastAsia="de-DE"/>
              </w:rPr>
              <w:t>± 0.13</w:t>
            </w:r>
          </w:p>
        </w:tc>
        <w:tc>
          <w:tcPr>
            <w:tcW w:w="1362" w:type="dxa"/>
            <w:tcBorders>
              <w:top w:val="nil"/>
              <w:left w:val="nil"/>
              <w:bottom w:val="nil"/>
              <w:right w:val="single" w:sz="4" w:space="0" w:color="auto"/>
            </w:tcBorders>
            <w:shd w:val="clear" w:color="000000" w:fill="963634"/>
            <w:noWrap/>
            <w:vAlign w:val="bottom"/>
            <w:hideMark/>
          </w:tcPr>
          <w:p w:rsidR="00D350F7" w:rsidRPr="00D350F7" w:rsidRDefault="00D350F7" w:rsidP="00D350F7">
            <w:pPr>
              <w:spacing w:after="0" w:line="240" w:lineRule="auto"/>
              <w:jc w:val="center"/>
              <w:rPr>
                <w:rFonts w:ascii="Calibri" w:eastAsia="Times New Roman" w:hAnsi="Calibri" w:cs="Times New Roman"/>
                <w:color w:val="FFFFFF"/>
                <w:lang w:val="de-DE" w:eastAsia="de-DE"/>
              </w:rPr>
            </w:pPr>
            <w:r w:rsidRPr="00D350F7">
              <w:rPr>
                <w:rFonts w:ascii="Calibri" w:eastAsia="Times New Roman" w:hAnsi="Calibri" w:cs="Times New Roman"/>
                <w:color w:val="FFFFFF"/>
                <w:lang w:val="de-DE" w:eastAsia="de-DE"/>
              </w:rPr>
              <w:t xml:space="preserve">26.0 </w:t>
            </w:r>
            <w:r w:rsidRPr="00D350F7">
              <w:rPr>
                <w:rFonts w:ascii="Calibri" w:eastAsia="Times New Roman" w:hAnsi="Calibri" w:cs="Times New Roman"/>
                <w:color w:val="FFFFFF"/>
                <w:sz w:val="16"/>
                <w:szCs w:val="16"/>
                <w:lang w:val="de-DE" w:eastAsia="de-DE"/>
              </w:rPr>
              <w:t>**</w:t>
            </w:r>
          </w:p>
        </w:tc>
        <w:tc>
          <w:tcPr>
            <w:tcW w:w="1223" w:type="dxa"/>
            <w:tcBorders>
              <w:top w:val="nil"/>
              <w:left w:val="nil"/>
              <w:bottom w:val="nil"/>
              <w:right w:val="single" w:sz="4" w:space="0" w:color="auto"/>
            </w:tcBorders>
            <w:shd w:val="clear" w:color="000000" w:fill="DA9694"/>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5.5</w:t>
            </w:r>
            <w:r w:rsidRPr="00D350F7">
              <w:rPr>
                <w:rFonts w:ascii="Calibri" w:eastAsia="Times New Roman" w:hAnsi="Calibri" w:cs="Times New Roman"/>
                <w:color w:val="000000"/>
                <w:sz w:val="16"/>
                <w:szCs w:val="16"/>
                <w:lang w:val="de-DE" w:eastAsia="de-DE"/>
              </w:rPr>
              <w:t xml:space="preserve"> **</w:t>
            </w:r>
          </w:p>
        </w:tc>
      </w:tr>
      <w:tr w:rsidR="00D350F7" w:rsidRPr="00D350F7" w:rsidTr="00D350F7">
        <w:trPr>
          <w:trHeight w:val="300"/>
          <w:jc w:val="center"/>
        </w:trPr>
        <w:tc>
          <w:tcPr>
            <w:tcW w:w="2120" w:type="dxa"/>
            <w:tcBorders>
              <w:top w:val="nil"/>
              <w:left w:val="single" w:sz="4" w:space="0" w:color="auto"/>
              <w:bottom w:val="single" w:sz="4" w:space="0" w:color="auto"/>
              <w:right w:val="single" w:sz="4" w:space="0" w:color="auto"/>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lang w:val="de-DE" w:eastAsia="de-DE"/>
              </w:rPr>
            </w:pPr>
            <w:r w:rsidRPr="00D350F7">
              <w:rPr>
                <w:rFonts w:ascii="Calibri" w:eastAsia="Times New Roman" w:hAnsi="Calibri" w:cs="Times New Roman"/>
                <w:i/>
                <w:iCs/>
                <w:color w:val="000000"/>
                <w:lang w:val="de-DE" w:eastAsia="de-DE"/>
              </w:rPr>
              <w:t>γ</w:t>
            </w:r>
            <w:r w:rsidRPr="00D350F7">
              <w:rPr>
                <w:rFonts w:ascii="Calibri" w:eastAsia="Times New Roman" w:hAnsi="Calibri" w:cs="Times New Roman"/>
                <w:i/>
                <w:iCs/>
                <w:color w:val="000000"/>
                <w:sz w:val="15"/>
                <w:szCs w:val="15"/>
                <w:lang w:val="de-DE" w:eastAsia="de-DE"/>
              </w:rPr>
              <w:t>-</w:t>
            </w:r>
            <w:r w:rsidRPr="00D350F7">
              <w:rPr>
                <w:rFonts w:ascii="Calibri" w:eastAsia="Times New Roman" w:hAnsi="Calibri" w:cs="Times New Roman"/>
                <w:color w:val="000000"/>
                <w:lang w:val="de-DE" w:eastAsia="de-DE"/>
              </w:rPr>
              <w:t xml:space="preserve">Aminobutyric acid </w:t>
            </w:r>
          </w:p>
        </w:tc>
        <w:tc>
          <w:tcPr>
            <w:tcW w:w="1485" w:type="dxa"/>
            <w:tcBorders>
              <w:top w:val="nil"/>
              <w:left w:val="nil"/>
              <w:bottom w:val="single" w:sz="4" w:space="0" w:color="auto"/>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2.4</w:t>
            </w:r>
            <w:r w:rsidRPr="00D350F7">
              <w:rPr>
                <w:rFonts w:ascii="Calibri" w:eastAsia="Times New Roman" w:hAnsi="Calibri" w:cs="Times New Roman"/>
                <w:color w:val="000000"/>
                <w:sz w:val="16"/>
                <w:szCs w:val="16"/>
                <w:lang w:val="de-DE" w:eastAsia="de-DE"/>
              </w:rPr>
              <w:t xml:space="preserve"> ± 0.12</w:t>
            </w:r>
          </w:p>
        </w:tc>
        <w:tc>
          <w:tcPr>
            <w:tcW w:w="1484" w:type="dxa"/>
            <w:tcBorders>
              <w:top w:val="nil"/>
              <w:left w:val="nil"/>
              <w:bottom w:val="single" w:sz="4" w:space="0" w:color="auto"/>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 xml:space="preserve">9.9 </w:t>
            </w:r>
            <w:r w:rsidRPr="00D350F7">
              <w:rPr>
                <w:rFonts w:ascii="Calibri" w:eastAsia="Times New Roman" w:hAnsi="Calibri" w:cs="Times New Roman"/>
                <w:color w:val="000000"/>
                <w:sz w:val="16"/>
                <w:szCs w:val="16"/>
                <w:lang w:val="de-DE" w:eastAsia="de-DE"/>
              </w:rPr>
              <w:t>± 0.44</w:t>
            </w:r>
          </w:p>
        </w:tc>
        <w:tc>
          <w:tcPr>
            <w:tcW w:w="1466" w:type="dxa"/>
            <w:tcBorders>
              <w:top w:val="nil"/>
              <w:left w:val="nil"/>
              <w:bottom w:val="single" w:sz="4" w:space="0" w:color="auto"/>
              <w:right w:val="single" w:sz="4" w:space="0" w:color="auto"/>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 xml:space="preserve">3.2 </w:t>
            </w:r>
            <w:r w:rsidRPr="00D350F7">
              <w:rPr>
                <w:rFonts w:ascii="Calibri" w:eastAsia="Times New Roman" w:hAnsi="Calibri" w:cs="Times New Roman"/>
                <w:color w:val="000000"/>
                <w:sz w:val="16"/>
                <w:szCs w:val="16"/>
                <w:lang w:val="de-DE" w:eastAsia="de-DE"/>
              </w:rPr>
              <w:t>± 0.44</w:t>
            </w:r>
          </w:p>
        </w:tc>
        <w:tc>
          <w:tcPr>
            <w:tcW w:w="1362" w:type="dxa"/>
            <w:tcBorders>
              <w:top w:val="nil"/>
              <w:left w:val="nil"/>
              <w:bottom w:val="single" w:sz="4" w:space="0" w:color="auto"/>
              <w:right w:val="single" w:sz="4" w:space="0" w:color="auto"/>
            </w:tcBorders>
            <w:shd w:val="clear" w:color="000000" w:fill="E6B8B7"/>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 xml:space="preserve">4.1 </w:t>
            </w:r>
            <w:r w:rsidRPr="00D350F7">
              <w:rPr>
                <w:rFonts w:ascii="Calibri" w:eastAsia="Times New Roman" w:hAnsi="Calibri" w:cs="Times New Roman"/>
                <w:color w:val="000000"/>
                <w:sz w:val="16"/>
                <w:szCs w:val="16"/>
                <w:lang w:val="de-DE" w:eastAsia="de-DE"/>
              </w:rPr>
              <w:t>**</w:t>
            </w:r>
          </w:p>
        </w:tc>
        <w:tc>
          <w:tcPr>
            <w:tcW w:w="1223" w:type="dxa"/>
            <w:tcBorders>
              <w:top w:val="nil"/>
              <w:left w:val="nil"/>
              <w:bottom w:val="single" w:sz="4" w:space="0" w:color="auto"/>
              <w:right w:val="single" w:sz="4" w:space="0" w:color="auto"/>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1.3</w:t>
            </w:r>
          </w:p>
        </w:tc>
      </w:tr>
    </w:tbl>
    <w:p w:rsidR="004D29A0" w:rsidRDefault="004D29A0" w:rsidP="004D29A0"/>
    <w:tbl>
      <w:tblPr>
        <w:tblW w:w="8400" w:type="dxa"/>
        <w:jc w:val="center"/>
        <w:tblCellMar>
          <w:left w:w="70" w:type="dxa"/>
          <w:right w:w="70" w:type="dxa"/>
        </w:tblCellMar>
        <w:tblLook w:val="04A0" w:firstRow="1" w:lastRow="0" w:firstColumn="1" w:lastColumn="0" w:noHBand="0" w:noVBand="1"/>
      </w:tblPr>
      <w:tblGrid>
        <w:gridCol w:w="1200"/>
        <w:gridCol w:w="1200"/>
        <w:gridCol w:w="1200"/>
        <w:gridCol w:w="1200"/>
        <w:gridCol w:w="1200"/>
        <w:gridCol w:w="1200"/>
        <w:gridCol w:w="1200"/>
      </w:tblGrid>
      <w:tr w:rsidR="00E46FF7" w:rsidRPr="00E46FF7" w:rsidTr="00E46FF7">
        <w:trPr>
          <w:trHeight w:val="315"/>
          <w:jc w:val="center"/>
        </w:trPr>
        <w:tc>
          <w:tcPr>
            <w:tcW w:w="1200" w:type="dxa"/>
            <w:tcBorders>
              <w:top w:val="single" w:sz="8" w:space="0" w:color="auto"/>
              <w:left w:val="single" w:sz="8" w:space="0" w:color="auto"/>
              <w:bottom w:val="single" w:sz="8" w:space="0" w:color="auto"/>
              <w:right w:val="single" w:sz="8" w:space="0" w:color="auto"/>
            </w:tcBorders>
            <w:shd w:val="clear" w:color="000000" w:fill="632423"/>
            <w:vAlign w:val="center"/>
            <w:hideMark/>
          </w:tcPr>
          <w:p w:rsidR="00E46FF7" w:rsidRPr="00E46FF7" w:rsidRDefault="00E46FF7" w:rsidP="00E46FF7">
            <w:pPr>
              <w:spacing w:after="0" w:line="240" w:lineRule="auto"/>
              <w:jc w:val="center"/>
              <w:rPr>
                <w:rFonts w:ascii="Calibri" w:eastAsia="Times New Roman" w:hAnsi="Calibri" w:cs="Times New Roman"/>
                <w:color w:val="FFFFFF"/>
                <w:lang w:val="de-DE" w:eastAsia="de-DE"/>
              </w:rPr>
            </w:pPr>
            <w:r w:rsidRPr="00E46FF7">
              <w:rPr>
                <w:rFonts w:ascii="Calibri" w:eastAsia="Times New Roman" w:hAnsi="Calibri" w:cs="Times New Roman"/>
                <w:color w:val="FFFFFF"/>
                <w:lang w:val="de-DE" w:eastAsia="de-DE"/>
              </w:rPr>
              <w:t>&gt; 100</w:t>
            </w:r>
          </w:p>
        </w:tc>
        <w:tc>
          <w:tcPr>
            <w:tcW w:w="1200" w:type="dxa"/>
            <w:tcBorders>
              <w:top w:val="single" w:sz="8" w:space="0" w:color="auto"/>
              <w:left w:val="nil"/>
              <w:bottom w:val="single" w:sz="8" w:space="0" w:color="auto"/>
              <w:right w:val="single" w:sz="8" w:space="0" w:color="auto"/>
            </w:tcBorders>
            <w:shd w:val="clear" w:color="000000" w:fill="943634"/>
            <w:noWrap/>
            <w:vAlign w:val="center"/>
            <w:hideMark/>
          </w:tcPr>
          <w:p w:rsidR="00E46FF7" w:rsidRPr="00E46FF7" w:rsidRDefault="00E46FF7" w:rsidP="00E46FF7">
            <w:pPr>
              <w:spacing w:after="0" w:line="240" w:lineRule="auto"/>
              <w:jc w:val="center"/>
              <w:rPr>
                <w:rFonts w:ascii="Calibri" w:eastAsia="Times New Roman" w:hAnsi="Calibri" w:cs="Times New Roman"/>
                <w:color w:val="FFFFFF"/>
                <w:lang w:val="de-DE" w:eastAsia="de-DE"/>
              </w:rPr>
            </w:pPr>
            <w:r w:rsidRPr="00E46FF7">
              <w:rPr>
                <w:rFonts w:ascii="Calibri" w:eastAsia="Times New Roman" w:hAnsi="Calibri" w:cs="Times New Roman"/>
                <w:color w:val="FFFFFF"/>
                <w:lang w:val="de-DE" w:eastAsia="de-DE"/>
              </w:rPr>
              <w:t>&gt; 20</w:t>
            </w:r>
          </w:p>
        </w:tc>
        <w:tc>
          <w:tcPr>
            <w:tcW w:w="1200" w:type="dxa"/>
            <w:tcBorders>
              <w:top w:val="single" w:sz="8" w:space="0" w:color="auto"/>
              <w:left w:val="nil"/>
              <w:bottom w:val="single" w:sz="8" w:space="0" w:color="auto"/>
              <w:right w:val="single" w:sz="8" w:space="0" w:color="auto"/>
            </w:tcBorders>
            <w:shd w:val="clear" w:color="000000" w:fill="D99594"/>
            <w:noWrap/>
            <w:vAlign w:val="center"/>
            <w:hideMark/>
          </w:tcPr>
          <w:p w:rsidR="00E46FF7" w:rsidRPr="00E46FF7" w:rsidRDefault="00E46FF7" w:rsidP="00E46FF7">
            <w:pPr>
              <w:spacing w:after="0" w:line="240" w:lineRule="auto"/>
              <w:jc w:val="center"/>
              <w:rPr>
                <w:rFonts w:ascii="Calibri" w:eastAsia="Times New Roman" w:hAnsi="Calibri" w:cs="Times New Roman"/>
                <w:color w:val="000000"/>
                <w:lang w:val="de-DE" w:eastAsia="de-DE"/>
              </w:rPr>
            </w:pPr>
            <w:r w:rsidRPr="00E46FF7">
              <w:rPr>
                <w:rFonts w:ascii="Calibri" w:eastAsia="Times New Roman" w:hAnsi="Calibri" w:cs="Times New Roman"/>
                <w:color w:val="000000"/>
                <w:lang w:val="de-DE" w:eastAsia="de-DE"/>
              </w:rPr>
              <w:t>5-20</w:t>
            </w:r>
          </w:p>
        </w:tc>
        <w:tc>
          <w:tcPr>
            <w:tcW w:w="1200" w:type="dxa"/>
            <w:tcBorders>
              <w:top w:val="single" w:sz="8" w:space="0" w:color="auto"/>
              <w:left w:val="nil"/>
              <w:bottom w:val="single" w:sz="8" w:space="0" w:color="auto"/>
              <w:right w:val="single" w:sz="8" w:space="0" w:color="auto"/>
            </w:tcBorders>
            <w:shd w:val="clear" w:color="000000" w:fill="E5B8B7"/>
            <w:noWrap/>
            <w:vAlign w:val="center"/>
            <w:hideMark/>
          </w:tcPr>
          <w:p w:rsidR="00E46FF7" w:rsidRPr="00E46FF7" w:rsidRDefault="00E46FF7" w:rsidP="00E46FF7">
            <w:pPr>
              <w:spacing w:after="0" w:line="240" w:lineRule="auto"/>
              <w:jc w:val="center"/>
              <w:rPr>
                <w:rFonts w:ascii="Calibri" w:eastAsia="Times New Roman" w:hAnsi="Calibri" w:cs="Times New Roman"/>
                <w:color w:val="000000"/>
                <w:lang w:val="de-DE" w:eastAsia="de-DE"/>
              </w:rPr>
            </w:pPr>
            <w:r w:rsidRPr="00E46FF7">
              <w:rPr>
                <w:rFonts w:ascii="Calibri" w:eastAsia="Times New Roman" w:hAnsi="Calibri" w:cs="Times New Roman"/>
                <w:color w:val="000000"/>
                <w:lang w:val="de-DE" w:eastAsia="de-DE"/>
              </w:rPr>
              <w:t>3-5</w:t>
            </w:r>
          </w:p>
        </w:tc>
        <w:tc>
          <w:tcPr>
            <w:tcW w:w="1200" w:type="dxa"/>
            <w:tcBorders>
              <w:top w:val="single" w:sz="8" w:space="0" w:color="auto"/>
              <w:left w:val="nil"/>
              <w:bottom w:val="single" w:sz="8" w:space="0" w:color="auto"/>
              <w:right w:val="single" w:sz="8" w:space="0" w:color="auto"/>
            </w:tcBorders>
            <w:shd w:val="clear" w:color="000000" w:fill="F2DBDB"/>
            <w:noWrap/>
            <w:vAlign w:val="center"/>
            <w:hideMark/>
          </w:tcPr>
          <w:p w:rsidR="00E46FF7" w:rsidRPr="00E46FF7" w:rsidRDefault="00E46FF7" w:rsidP="00E46FF7">
            <w:pPr>
              <w:spacing w:after="0" w:line="240" w:lineRule="auto"/>
              <w:jc w:val="center"/>
              <w:rPr>
                <w:rFonts w:ascii="Calibri" w:eastAsia="Times New Roman" w:hAnsi="Calibri" w:cs="Times New Roman"/>
                <w:color w:val="000000"/>
                <w:lang w:val="de-DE" w:eastAsia="de-DE"/>
              </w:rPr>
            </w:pPr>
            <w:r w:rsidRPr="00E46FF7">
              <w:rPr>
                <w:rFonts w:ascii="Calibri" w:eastAsia="Times New Roman" w:hAnsi="Calibri" w:cs="Times New Roman"/>
                <w:color w:val="000000"/>
                <w:lang w:val="de-DE" w:eastAsia="de-DE"/>
              </w:rPr>
              <w:t>1.6-3</w:t>
            </w:r>
          </w:p>
        </w:tc>
        <w:tc>
          <w:tcPr>
            <w:tcW w:w="1200" w:type="dxa"/>
            <w:tcBorders>
              <w:top w:val="single" w:sz="8" w:space="0" w:color="auto"/>
              <w:left w:val="nil"/>
              <w:bottom w:val="single" w:sz="8" w:space="0" w:color="auto"/>
              <w:right w:val="single" w:sz="8" w:space="0" w:color="auto"/>
            </w:tcBorders>
            <w:shd w:val="clear" w:color="000000" w:fill="D6E3BC"/>
            <w:noWrap/>
            <w:vAlign w:val="center"/>
            <w:hideMark/>
          </w:tcPr>
          <w:p w:rsidR="00E46FF7" w:rsidRPr="00E46FF7" w:rsidRDefault="00E46FF7" w:rsidP="00E46FF7">
            <w:pPr>
              <w:spacing w:after="0" w:line="240" w:lineRule="auto"/>
              <w:jc w:val="center"/>
              <w:rPr>
                <w:rFonts w:ascii="Calibri" w:eastAsia="Times New Roman" w:hAnsi="Calibri" w:cs="Times New Roman"/>
                <w:color w:val="000000"/>
                <w:lang w:val="de-DE" w:eastAsia="de-DE"/>
              </w:rPr>
            </w:pPr>
            <w:r w:rsidRPr="00E46FF7">
              <w:rPr>
                <w:rFonts w:ascii="Calibri" w:eastAsia="Times New Roman" w:hAnsi="Calibri" w:cs="Times New Roman"/>
                <w:color w:val="000000"/>
                <w:lang w:val="de-DE" w:eastAsia="de-DE"/>
              </w:rPr>
              <w:t>0.5-0.8</w:t>
            </w:r>
          </w:p>
        </w:tc>
        <w:tc>
          <w:tcPr>
            <w:tcW w:w="1200" w:type="dxa"/>
            <w:tcBorders>
              <w:top w:val="single" w:sz="8" w:space="0" w:color="auto"/>
              <w:left w:val="nil"/>
              <w:bottom w:val="single" w:sz="8" w:space="0" w:color="auto"/>
              <w:right w:val="single" w:sz="8" w:space="0" w:color="auto"/>
            </w:tcBorders>
            <w:shd w:val="clear" w:color="000000" w:fill="76923C"/>
            <w:noWrap/>
            <w:vAlign w:val="center"/>
            <w:hideMark/>
          </w:tcPr>
          <w:p w:rsidR="00E46FF7" w:rsidRPr="00E46FF7" w:rsidRDefault="00E46FF7" w:rsidP="00E46FF7">
            <w:pPr>
              <w:spacing w:after="0" w:line="240" w:lineRule="auto"/>
              <w:jc w:val="center"/>
              <w:rPr>
                <w:rFonts w:ascii="Calibri" w:eastAsia="Times New Roman" w:hAnsi="Calibri" w:cs="Times New Roman"/>
                <w:color w:val="000000"/>
                <w:lang w:val="de-DE" w:eastAsia="de-DE"/>
              </w:rPr>
            </w:pPr>
            <w:r w:rsidRPr="00E46FF7">
              <w:rPr>
                <w:rFonts w:ascii="Calibri" w:eastAsia="Times New Roman" w:hAnsi="Calibri" w:cs="Times New Roman"/>
                <w:color w:val="000000"/>
                <w:lang w:val="de-DE" w:eastAsia="de-DE"/>
              </w:rPr>
              <w:t>≤ 0.5</w:t>
            </w:r>
            <w:r w:rsidRPr="00E46FF7">
              <w:rPr>
                <w:rFonts w:ascii="Arial" w:eastAsia="Times New Roman" w:hAnsi="Arial" w:cs="Arial"/>
                <w:color w:val="000000"/>
                <w:sz w:val="16"/>
                <w:szCs w:val="16"/>
                <w:lang w:val="de-DE" w:eastAsia="de-DE"/>
              </w:rPr>
              <w:t> </w:t>
            </w:r>
          </w:p>
        </w:tc>
      </w:tr>
    </w:tbl>
    <w:p w:rsidR="004D29A0" w:rsidRDefault="004D29A0" w:rsidP="004D29A0"/>
    <w:p w:rsidR="004D29A0" w:rsidRDefault="004D29A0" w:rsidP="004D29A0"/>
    <w:p w:rsidR="004D29A0" w:rsidRDefault="004D29A0" w:rsidP="004D29A0"/>
    <w:p w:rsidR="004D29A0" w:rsidRDefault="004D29A0" w:rsidP="004D29A0"/>
    <w:p w:rsidR="004D29A0" w:rsidRDefault="004D29A0" w:rsidP="004D29A0"/>
    <w:p w:rsidR="001D7E05" w:rsidRDefault="001D7E05" w:rsidP="004D29A0">
      <w:pPr>
        <w:sectPr w:rsidR="001D7E05" w:rsidSect="00D53CA6">
          <w:pgSz w:w="11906" w:h="16838"/>
          <w:pgMar w:top="1417" w:right="1417" w:bottom="1134" w:left="1417" w:header="708" w:footer="708" w:gutter="0"/>
          <w:cols w:space="708"/>
          <w:titlePg/>
          <w:docGrid w:linePitch="360"/>
        </w:sectPr>
      </w:pPr>
    </w:p>
    <w:p w:rsidR="001D7E05" w:rsidRDefault="001D7E05" w:rsidP="000B3BC2">
      <w:pPr>
        <w:pStyle w:val="Beschriftung"/>
        <w:keepNext/>
        <w:spacing w:after="0" w:line="360" w:lineRule="auto"/>
        <w:jc w:val="both"/>
        <w:rPr>
          <w:color w:val="auto"/>
        </w:rPr>
      </w:pPr>
      <w:bookmarkStart w:id="142" w:name="_Toc419386451"/>
      <w:proofErr w:type="gramStart"/>
      <w:r w:rsidRPr="001D7E05">
        <w:rPr>
          <w:color w:val="auto"/>
        </w:rPr>
        <w:lastRenderedPageBreak/>
        <w:t xml:space="preserve">Table </w:t>
      </w:r>
      <w:r w:rsidRPr="001D7E05">
        <w:rPr>
          <w:color w:val="auto"/>
        </w:rPr>
        <w:fldChar w:fldCharType="begin"/>
      </w:r>
      <w:r w:rsidRPr="001D7E05">
        <w:rPr>
          <w:color w:val="auto"/>
        </w:rPr>
        <w:instrText xml:space="preserve"> SEQ Table \* ARABIC </w:instrText>
      </w:r>
      <w:r w:rsidRPr="001D7E05">
        <w:rPr>
          <w:color w:val="auto"/>
        </w:rPr>
        <w:fldChar w:fldCharType="separate"/>
      </w:r>
      <w:r w:rsidR="00CB17FE">
        <w:rPr>
          <w:noProof/>
          <w:color w:val="auto"/>
        </w:rPr>
        <w:t>7</w:t>
      </w:r>
      <w:r w:rsidRPr="001D7E05">
        <w:rPr>
          <w:color w:val="auto"/>
        </w:rPr>
        <w:fldChar w:fldCharType="end"/>
      </w:r>
      <w:r w:rsidR="000B319C">
        <w:rPr>
          <w:color w:val="auto"/>
        </w:rPr>
        <w:t>.</w:t>
      </w:r>
      <w:proofErr w:type="gramEnd"/>
      <w:r w:rsidRPr="001D7E05">
        <w:rPr>
          <w:color w:val="auto"/>
        </w:rPr>
        <w:t xml:space="preserve"> </w:t>
      </w:r>
      <w:r w:rsidRPr="008E1146">
        <w:rPr>
          <w:color w:val="auto"/>
        </w:rPr>
        <w:t>Analysis of amino acid accumulation in</w:t>
      </w:r>
      <w:r>
        <w:rPr>
          <w:color w:val="auto"/>
        </w:rPr>
        <w:t xml:space="preserve"> wild type and mutant</w:t>
      </w:r>
      <w:r w:rsidRPr="008E1146">
        <w:rPr>
          <w:color w:val="auto"/>
        </w:rPr>
        <w:t xml:space="preserve"> </w:t>
      </w:r>
      <w:r w:rsidRPr="008E1146">
        <w:rPr>
          <w:i/>
          <w:color w:val="auto"/>
        </w:rPr>
        <w:t>Arabidopsis thaliana</w:t>
      </w:r>
      <w:r w:rsidRPr="008E1146">
        <w:rPr>
          <w:color w:val="auto"/>
        </w:rPr>
        <w:t xml:space="preserve"> plants infected with the virulent </w:t>
      </w:r>
      <w:r w:rsidR="00CE18A4">
        <w:rPr>
          <w:i/>
          <w:color w:val="auto"/>
        </w:rPr>
        <w:t>Hpa</w:t>
      </w:r>
      <w:r w:rsidRPr="008E1146">
        <w:rPr>
          <w:color w:val="auto"/>
        </w:rPr>
        <w:t xml:space="preserve"> isolate Noco2.</w:t>
      </w:r>
      <w:bookmarkEnd w:id="142"/>
      <w:r w:rsidRPr="008E1146">
        <w:rPr>
          <w:color w:val="auto"/>
        </w:rPr>
        <w:t xml:space="preserve"> </w:t>
      </w:r>
    </w:p>
    <w:p w:rsidR="00DA6C6F" w:rsidRPr="002F653F" w:rsidRDefault="001D7E05" w:rsidP="00054E1D">
      <w:pPr>
        <w:pStyle w:val="Beschriftung"/>
        <w:keepNext/>
        <w:jc w:val="both"/>
        <w:rPr>
          <w:b w:val="0"/>
          <w:color w:val="auto"/>
        </w:rPr>
      </w:pPr>
      <w:r w:rsidRPr="002F653F">
        <w:rPr>
          <w:b w:val="0"/>
          <w:color w:val="auto"/>
        </w:rPr>
        <w:t xml:space="preserve">Amino acid content in water- and pathogen-treated Col-0, </w:t>
      </w:r>
      <w:r w:rsidRPr="00D23D9F">
        <w:rPr>
          <w:b w:val="0"/>
          <w:i/>
          <w:color w:val="auto"/>
        </w:rPr>
        <w:t>ald1, fmo1, sid2</w:t>
      </w:r>
      <w:r w:rsidRPr="002F653F">
        <w:rPr>
          <w:b w:val="0"/>
          <w:color w:val="auto"/>
        </w:rPr>
        <w:t xml:space="preserve">, and </w:t>
      </w:r>
      <w:r w:rsidRPr="00D23D9F">
        <w:rPr>
          <w:b w:val="0"/>
          <w:i/>
          <w:color w:val="auto"/>
        </w:rPr>
        <w:t>sid2 ald1</w:t>
      </w:r>
      <w:r w:rsidRPr="002F653F">
        <w:rPr>
          <w:b w:val="0"/>
          <w:color w:val="auto"/>
        </w:rPr>
        <w:t xml:space="preserve"> plants</w:t>
      </w:r>
      <w:r w:rsidRPr="002F653F">
        <w:rPr>
          <w:b w:val="0"/>
          <w:color w:val="auto"/>
          <w:sz w:val="16"/>
          <w:szCs w:val="16"/>
        </w:rPr>
        <w:t xml:space="preserve"> </w:t>
      </w:r>
      <w:r w:rsidRPr="002F653F">
        <w:rPr>
          <w:b w:val="0"/>
          <w:color w:val="auto"/>
        </w:rPr>
        <w:t xml:space="preserve">was analysed and fold-change ratio for each amino acid determined. Significant statistical differences between non-infected and infected plants are marked by asterisks (two-tailed </w:t>
      </w:r>
      <w:r w:rsidRPr="00D23D9F">
        <w:rPr>
          <w:b w:val="0"/>
          <w:i/>
          <w:color w:val="auto"/>
        </w:rPr>
        <w:t>t</w:t>
      </w:r>
      <w:r w:rsidRPr="002F653F">
        <w:rPr>
          <w:b w:val="0"/>
          <w:color w:val="auto"/>
        </w:rPr>
        <w:t xml:space="preserve"> test; *, P&lt; 0.05; **, P&lt; 0.01; ***, P&lt; 0.001). </w:t>
      </w:r>
      <w:proofErr w:type="gramStart"/>
      <w:r w:rsidR="00054E1D" w:rsidRPr="002F653F">
        <w:rPr>
          <w:b w:val="0"/>
          <w:color w:val="auto"/>
        </w:rPr>
        <w:t>GABA</w:t>
      </w:r>
      <w:r w:rsidR="00054E1D" w:rsidRPr="002F653F">
        <w:rPr>
          <w:b w:val="0"/>
          <w:i/>
          <w:color w:val="auto"/>
        </w:rPr>
        <w:t xml:space="preserve">, </w:t>
      </w:r>
      <w:r w:rsidR="00054E1D" w:rsidRPr="002F653F">
        <w:rPr>
          <w:rFonts w:cstheme="minorHAnsi"/>
          <w:b w:val="0"/>
          <w:i/>
          <w:color w:val="auto"/>
        </w:rPr>
        <w:t>γ</w:t>
      </w:r>
      <w:r w:rsidR="00054E1D" w:rsidRPr="002F653F">
        <w:rPr>
          <w:b w:val="0"/>
          <w:color w:val="auto"/>
        </w:rPr>
        <w:t xml:space="preserve">-aminobutyric acid; </w:t>
      </w:r>
      <w:r w:rsidR="00277DCD" w:rsidRPr="00277DCD">
        <w:rPr>
          <w:rFonts w:ascii="Calibri" w:hAnsi="Calibri"/>
          <w:b w:val="0"/>
          <w:color w:val="auto"/>
        </w:rPr>
        <w:t>Aad</w:t>
      </w:r>
      <w:r w:rsidR="00054E1D" w:rsidRPr="00277DCD">
        <w:rPr>
          <w:b w:val="0"/>
          <w:color w:val="auto"/>
        </w:rPr>
        <w:t>,</w:t>
      </w:r>
      <w:r w:rsidR="00054E1D" w:rsidRPr="002F653F">
        <w:rPr>
          <w:b w:val="0"/>
          <w:color w:val="auto"/>
        </w:rPr>
        <w:t xml:space="preserve"> </w:t>
      </w:r>
      <w:r w:rsidR="00054E1D" w:rsidRPr="002F653F">
        <w:rPr>
          <w:rFonts w:ascii="Calibri" w:hAnsi="Calibri"/>
          <w:b w:val="0"/>
          <w:i/>
          <w:color w:val="auto"/>
        </w:rPr>
        <w:t>α</w:t>
      </w:r>
      <w:r w:rsidR="00054E1D" w:rsidRPr="002F653F">
        <w:rPr>
          <w:b w:val="0"/>
          <w:i/>
          <w:color w:val="auto"/>
        </w:rPr>
        <w:t>-</w:t>
      </w:r>
      <w:r w:rsidR="00054E1D" w:rsidRPr="002F653F">
        <w:rPr>
          <w:b w:val="0"/>
          <w:color w:val="auto"/>
        </w:rPr>
        <w:t xml:space="preserve">aminoadipic acid; </w:t>
      </w:r>
      <w:r w:rsidRPr="002F653F">
        <w:rPr>
          <w:b w:val="0"/>
          <w:color w:val="auto"/>
        </w:rPr>
        <w:t>FW, fresh weight</w:t>
      </w:r>
      <w:r w:rsidR="008C2E50" w:rsidRPr="002F653F">
        <w:rPr>
          <w:b w:val="0"/>
          <w:color w:val="auto"/>
        </w:rPr>
        <w:t>.</w:t>
      </w:r>
      <w:proofErr w:type="gramEnd"/>
    </w:p>
    <w:tbl>
      <w:tblPr>
        <w:tblW w:w="8400" w:type="dxa"/>
        <w:jc w:val="center"/>
        <w:tblCellMar>
          <w:left w:w="70" w:type="dxa"/>
          <w:right w:w="70" w:type="dxa"/>
        </w:tblCellMar>
        <w:tblLook w:val="04A0" w:firstRow="1" w:lastRow="0" w:firstColumn="1" w:lastColumn="0" w:noHBand="0" w:noVBand="1"/>
      </w:tblPr>
      <w:tblGrid>
        <w:gridCol w:w="1200"/>
        <w:gridCol w:w="1200"/>
        <w:gridCol w:w="1200"/>
        <w:gridCol w:w="1200"/>
        <w:gridCol w:w="1200"/>
        <w:gridCol w:w="1200"/>
        <w:gridCol w:w="1200"/>
      </w:tblGrid>
      <w:tr w:rsidR="00D350F7" w:rsidRPr="00D350F7" w:rsidTr="00D350F7">
        <w:trPr>
          <w:trHeight w:val="315"/>
          <w:jc w:val="center"/>
        </w:trPr>
        <w:tc>
          <w:tcPr>
            <w:tcW w:w="1200" w:type="dxa"/>
            <w:tcBorders>
              <w:top w:val="single" w:sz="8" w:space="0" w:color="auto"/>
              <w:left w:val="single" w:sz="8" w:space="0" w:color="auto"/>
              <w:bottom w:val="single" w:sz="8" w:space="0" w:color="auto"/>
              <w:right w:val="single" w:sz="8" w:space="0" w:color="auto"/>
            </w:tcBorders>
            <w:shd w:val="clear" w:color="000000" w:fill="632423"/>
            <w:vAlign w:val="center"/>
            <w:hideMark/>
          </w:tcPr>
          <w:p w:rsidR="00D350F7" w:rsidRPr="00D350F7" w:rsidRDefault="00D350F7" w:rsidP="00D350F7">
            <w:pPr>
              <w:spacing w:after="0" w:line="240" w:lineRule="auto"/>
              <w:jc w:val="center"/>
              <w:rPr>
                <w:rFonts w:ascii="Calibri" w:eastAsia="Times New Roman" w:hAnsi="Calibri" w:cs="Times New Roman"/>
                <w:color w:val="FFFFFF"/>
                <w:lang w:val="de-DE" w:eastAsia="de-DE"/>
              </w:rPr>
            </w:pPr>
            <w:r w:rsidRPr="00D350F7">
              <w:rPr>
                <w:rFonts w:ascii="Calibri" w:eastAsia="Times New Roman" w:hAnsi="Calibri" w:cs="Times New Roman"/>
                <w:color w:val="FFFFFF"/>
                <w:lang w:val="de-DE" w:eastAsia="de-DE"/>
              </w:rPr>
              <w:t>&gt; 100</w:t>
            </w:r>
          </w:p>
        </w:tc>
        <w:tc>
          <w:tcPr>
            <w:tcW w:w="1200" w:type="dxa"/>
            <w:tcBorders>
              <w:top w:val="single" w:sz="8" w:space="0" w:color="auto"/>
              <w:left w:val="nil"/>
              <w:bottom w:val="single" w:sz="8" w:space="0" w:color="auto"/>
              <w:right w:val="single" w:sz="8" w:space="0" w:color="auto"/>
            </w:tcBorders>
            <w:shd w:val="clear" w:color="000000" w:fill="943634"/>
            <w:noWrap/>
            <w:vAlign w:val="center"/>
            <w:hideMark/>
          </w:tcPr>
          <w:p w:rsidR="00D350F7" w:rsidRPr="00D350F7" w:rsidRDefault="00D350F7" w:rsidP="00D350F7">
            <w:pPr>
              <w:spacing w:after="0" w:line="240" w:lineRule="auto"/>
              <w:jc w:val="center"/>
              <w:rPr>
                <w:rFonts w:ascii="Calibri" w:eastAsia="Times New Roman" w:hAnsi="Calibri" w:cs="Times New Roman"/>
                <w:color w:val="FFFFFF"/>
                <w:lang w:val="de-DE" w:eastAsia="de-DE"/>
              </w:rPr>
            </w:pPr>
            <w:r w:rsidRPr="00D350F7">
              <w:rPr>
                <w:rFonts w:ascii="Calibri" w:eastAsia="Times New Roman" w:hAnsi="Calibri" w:cs="Times New Roman"/>
                <w:color w:val="FFFFFF"/>
                <w:lang w:val="de-DE" w:eastAsia="de-DE"/>
              </w:rPr>
              <w:t>&gt; 20</w:t>
            </w:r>
          </w:p>
        </w:tc>
        <w:tc>
          <w:tcPr>
            <w:tcW w:w="1200" w:type="dxa"/>
            <w:tcBorders>
              <w:top w:val="single" w:sz="8" w:space="0" w:color="auto"/>
              <w:left w:val="nil"/>
              <w:bottom w:val="single" w:sz="8" w:space="0" w:color="auto"/>
              <w:right w:val="single" w:sz="8" w:space="0" w:color="auto"/>
            </w:tcBorders>
            <w:shd w:val="clear" w:color="000000" w:fill="D99594"/>
            <w:noWrap/>
            <w:vAlign w:val="center"/>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5-20</w:t>
            </w:r>
          </w:p>
        </w:tc>
        <w:tc>
          <w:tcPr>
            <w:tcW w:w="1200" w:type="dxa"/>
            <w:tcBorders>
              <w:top w:val="single" w:sz="8" w:space="0" w:color="auto"/>
              <w:left w:val="nil"/>
              <w:bottom w:val="single" w:sz="8" w:space="0" w:color="auto"/>
              <w:right w:val="single" w:sz="8" w:space="0" w:color="auto"/>
            </w:tcBorders>
            <w:shd w:val="clear" w:color="000000" w:fill="E5B8B7"/>
            <w:noWrap/>
            <w:vAlign w:val="center"/>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3-5</w:t>
            </w:r>
          </w:p>
        </w:tc>
        <w:tc>
          <w:tcPr>
            <w:tcW w:w="1200" w:type="dxa"/>
            <w:tcBorders>
              <w:top w:val="single" w:sz="8" w:space="0" w:color="auto"/>
              <w:left w:val="nil"/>
              <w:bottom w:val="single" w:sz="8" w:space="0" w:color="auto"/>
              <w:right w:val="single" w:sz="8" w:space="0" w:color="auto"/>
            </w:tcBorders>
            <w:shd w:val="clear" w:color="000000" w:fill="F2DBDB"/>
            <w:noWrap/>
            <w:vAlign w:val="center"/>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1.6-3</w:t>
            </w:r>
          </w:p>
        </w:tc>
        <w:tc>
          <w:tcPr>
            <w:tcW w:w="1200" w:type="dxa"/>
            <w:tcBorders>
              <w:top w:val="single" w:sz="8" w:space="0" w:color="auto"/>
              <w:left w:val="nil"/>
              <w:bottom w:val="single" w:sz="8" w:space="0" w:color="auto"/>
              <w:right w:val="single" w:sz="8" w:space="0" w:color="auto"/>
            </w:tcBorders>
            <w:shd w:val="clear" w:color="000000" w:fill="D6E3BC"/>
            <w:noWrap/>
            <w:vAlign w:val="center"/>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0.5-0.8</w:t>
            </w:r>
          </w:p>
        </w:tc>
        <w:tc>
          <w:tcPr>
            <w:tcW w:w="1200" w:type="dxa"/>
            <w:tcBorders>
              <w:top w:val="single" w:sz="8" w:space="0" w:color="auto"/>
              <w:left w:val="nil"/>
              <w:bottom w:val="single" w:sz="8" w:space="0" w:color="auto"/>
              <w:right w:val="single" w:sz="8" w:space="0" w:color="auto"/>
            </w:tcBorders>
            <w:shd w:val="clear" w:color="000000" w:fill="76923C"/>
            <w:noWrap/>
            <w:vAlign w:val="center"/>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 0.5</w:t>
            </w:r>
            <w:r w:rsidRPr="00D350F7">
              <w:rPr>
                <w:rFonts w:ascii="Arial" w:eastAsia="Times New Roman" w:hAnsi="Arial" w:cs="Arial"/>
                <w:color w:val="000000"/>
                <w:sz w:val="16"/>
                <w:szCs w:val="16"/>
                <w:lang w:val="de-DE" w:eastAsia="de-DE"/>
              </w:rPr>
              <w:t> </w:t>
            </w:r>
          </w:p>
        </w:tc>
      </w:tr>
    </w:tbl>
    <w:p w:rsidR="00054E1D" w:rsidRDefault="00054E1D" w:rsidP="004D29A0"/>
    <w:tbl>
      <w:tblPr>
        <w:tblW w:w="12180" w:type="dxa"/>
        <w:jc w:val="center"/>
        <w:tblCellMar>
          <w:left w:w="70" w:type="dxa"/>
          <w:right w:w="70" w:type="dxa"/>
        </w:tblCellMar>
        <w:tblLook w:val="04A0" w:firstRow="1" w:lastRow="0" w:firstColumn="1" w:lastColumn="0" w:noHBand="0" w:noVBand="1"/>
      </w:tblPr>
      <w:tblGrid>
        <w:gridCol w:w="759"/>
        <w:gridCol w:w="497"/>
        <w:gridCol w:w="220"/>
        <w:gridCol w:w="538"/>
        <w:gridCol w:w="497"/>
        <w:gridCol w:w="220"/>
        <w:gridCol w:w="428"/>
        <w:gridCol w:w="364"/>
        <w:gridCol w:w="380"/>
        <w:gridCol w:w="497"/>
        <w:gridCol w:w="220"/>
        <w:gridCol w:w="428"/>
        <w:gridCol w:w="497"/>
        <w:gridCol w:w="220"/>
        <w:gridCol w:w="428"/>
        <w:gridCol w:w="364"/>
        <w:gridCol w:w="380"/>
        <w:gridCol w:w="497"/>
        <w:gridCol w:w="220"/>
        <w:gridCol w:w="428"/>
        <w:gridCol w:w="497"/>
        <w:gridCol w:w="220"/>
        <w:gridCol w:w="343"/>
        <w:gridCol w:w="421"/>
        <w:gridCol w:w="300"/>
        <w:gridCol w:w="497"/>
        <w:gridCol w:w="220"/>
        <w:gridCol w:w="428"/>
        <w:gridCol w:w="497"/>
        <w:gridCol w:w="220"/>
        <w:gridCol w:w="428"/>
        <w:gridCol w:w="364"/>
        <w:gridCol w:w="380"/>
      </w:tblGrid>
      <w:tr w:rsidR="00D350F7" w:rsidRPr="00D350F7" w:rsidTr="00D350F7">
        <w:trPr>
          <w:trHeight w:val="300"/>
          <w:tblHeader/>
          <w:jc w:val="center"/>
        </w:trPr>
        <w:tc>
          <w:tcPr>
            <w:tcW w:w="75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D350F7" w:rsidRPr="00D350F7" w:rsidRDefault="00D350F7" w:rsidP="00D350F7">
            <w:pPr>
              <w:spacing w:after="0" w:line="240" w:lineRule="auto"/>
              <w:jc w:val="center"/>
              <w:rPr>
                <w:rFonts w:ascii="Calibri" w:eastAsia="Times New Roman" w:hAnsi="Calibri" w:cs="Times New Roman"/>
                <w:b/>
                <w:bCs/>
                <w:color w:val="000000"/>
                <w:lang w:val="de-DE" w:eastAsia="de-DE"/>
              </w:rPr>
            </w:pPr>
            <w:r w:rsidRPr="00D350F7">
              <w:rPr>
                <w:rFonts w:ascii="Calibri" w:eastAsia="Times New Roman" w:hAnsi="Calibri" w:cs="Times New Roman"/>
                <w:b/>
                <w:bCs/>
                <w:color w:val="000000"/>
                <w:lang w:val="de-DE" w:eastAsia="de-DE"/>
              </w:rPr>
              <w:t>Amino acid</w:t>
            </w:r>
          </w:p>
        </w:tc>
        <w:tc>
          <w:tcPr>
            <w:tcW w:w="11421" w:type="dxa"/>
            <w:gridSpan w:val="32"/>
            <w:tcBorders>
              <w:top w:val="single" w:sz="4" w:space="0" w:color="auto"/>
              <w:left w:val="nil"/>
              <w:bottom w:val="single" w:sz="4" w:space="0" w:color="auto"/>
              <w:right w:val="single" w:sz="4" w:space="0" w:color="000000"/>
            </w:tcBorders>
            <w:shd w:val="clear" w:color="auto" w:fill="auto"/>
            <w:noWrap/>
            <w:vAlign w:val="bottom"/>
            <w:hideMark/>
          </w:tcPr>
          <w:p w:rsidR="00D350F7" w:rsidRPr="00D350F7" w:rsidRDefault="00324F02" w:rsidP="00D350F7">
            <w:pPr>
              <w:spacing w:after="0" w:line="240" w:lineRule="auto"/>
              <w:jc w:val="center"/>
              <w:rPr>
                <w:rFonts w:ascii="Calibri" w:eastAsia="Times New Roman" w:hAnsi="Calibri" w:cs="Times New Roman"/>
                <w:b/>
                <w:bCs/>
                <w:color w:val="000000"/>
                <w:lang w:val="en-US" w:eastAsia="de-DE"/>
              </w:rPr>
            </w:pPr>
            <w:r>
              <w:rPr>
                <w:rFonts w:ascii="Calibri" w:eastAsia="Times New Roman" w:hAnsi="Calibri" w:cs="Times New Roman"/>
                <w:b/>
                <w:bCs/>
                <w:i/>
                <w:iCs/>
                <w:color w:val="000000"/>
                <w:lang w:val="en-US" w:eastAsia="de-DE"/>
              </w:rPr>
              <w:t>Hyaloperonospora arabidopsidis-</w:t>
            </w:r>
            <w:r w:rsidR="00D350F7" w:rsidRPr="00D350F7">
              <w:rPr>
                <w:rFonts w:ascii="Calibri" w:eastAsia="Times New Roman" w:hAnsi="Calibri" w:cs="Times New Roman"/>
                <w:b/>
                <w:bCs/>
                <w:color w:val="000000"/>
                <w:lang w:val="en-US" w:eastAsia="de-DE"/>
              </w:rPr>
              <w:t>sprayed leaves (7 dpi)</w:t>
            </w:r>
          </w:p>
        </w:tc>
      </w:tr>
      <w:tr w:rsidR="00D350F7" w:rsidRPr="00D350F7" w:rsidTr="00D350F7">
        <w:trPr>
          <w:trHeight w:val="300"/>
          <w:tblHeader/>
          <w:jc w:val="center"/>
        </w:trPr>
        <w:tc>
          <w:tcPr>
            <w:tcW w:w="759" w:type="dxa"/>
            <w:vMerge/>
            <w:tcBorders>
              <w:top w:val="single" w:sz="4" w:space="0" w:color="auto"/>
              <w:left w:val="single" w:sz="4" w:space="0" w:color="auto"/>
              <w:bottom w:val="single" w:sz="4" w:space="0" w:color="000000"/>
              <w:right w:val="single" w:sz="4" w:space="0" w:color="auto"/>
            </w:tcBorders>
            <w:vAlign w:val="center"/>
            <w:hideMark/>
          </w:tcPr>
          <w:p w:rsidR="00D350F7" w:rsidRPr="00D350F7" w:rsidRDefault="00D350F7" w:rsidP="00D350F7">
            <w:pPr>
              <w:spacing w:after="0" w:line="240" w:lineRule="auto"/>
              <w:rPr>
                <w:rFonts w:ascii="Calibri" w:eastAsia="Times New Roman" w:hAnsi="Calibri" w:cs="Times New Roman"/>
                <w:b/>
                <w:bCs/>
                <w:color w:val="000000"/>
                <w:lang w:val="en-US" w:eastAsia="de-DE"/>
              </w:rPr>
            </w:pPr>
          </w:p>
        </w:tc>
        <w:tc>
          <w:tcPr>
            <w:tcW w:w="2974" w:type="dxa"/>
            <w:gridSpan w:val="8"/>
            <w:tcBorders>
              <w:top w:val="single" w:sz="4" w:space="0" w:color="auto"/>
              <w:left w:val="nil"/>
              <w:bottom w:val="single" w:sz="4" w:space="0" w:color="auto"/>
              <w:right w:val="single" w:sz="4" w:space="0" w:color="000000"/>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b/>
                <w:bCs/>
                <w:color w:val="000000"/>
                <w:lang w:val="de-DE" w:eastAsia="de-DE"/>
              </w:rPr>
            </w:pPr>
            <w:r w:rsidRPr="00D350F7">
              <w:rPr>
                <w:rFonts w:ascii="Calibri" w:eastAsia="Times New Roman" w:hAnsi="Calibri" w:cs="Times New Roman"/>
                <w:b/>
                <w:bCs/>
                <w:color w:val="000000"/>
                <w:lang w:val="de-DE" w:eastAsia="de-DE"/>
              </w:rPr>
              <w:t xml:space="preserve">Col0 </w:t>
            </w:r>
          </w:p>
        </w:tc>
        <w:tc>
          <w:tcPr>
            <w:tcW w:w="2864" w:type="dxa"/>
            <w:gridSpan w:val="8"/>
            <w:tcBorders>
              <w:top w:val="single" w:sz="4" w:space="0" w:color="auto"/>
              <w:left w:val="nil"/>
              <w:bottom w:val="single" w:sz="4" w:space="0" w:color="auto"/>
              <w:right w:val="single" w:sz="4" w:space="0" w:color="000000"/>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b/>
                <w:bCs/>
                <w:i/>
                <w:iCs/>
                <w:color w:val="000000"/>
                <w:lang w:val="de-DE" w:eastAsia="de-DE"/>
              </w:rPr>
            </w:pPr>
            <w:r w:rsidRPr="00D350F7">
              <w:rPr>
                <w:rFonts w:ascii="Calibri" w:eastAsia="Times New Roman" w:hAnsi="Calibri" w:cs="Times New Roman"/>
                <w:b/>
                <w:bCs/>
                <w:i/>
                <w:iCs/>
                <w:color w:val="000000"/>
                <w:lang w:val="de-DE" w:eastAsia="de-DE"/>
              </w:rPr>
              <w:t>ald1</w:t>
            </w:r>
          </w:p>
        </w:tc>
        <w:tc>
          <w:tcPr>
            <w:tcW w:w="2719" w:type="dxa"/>
            <w:gridSpan w:val="8"/>
            <w:tcBorders>
              <w:top w:val="single" w:sz="4" w:space="0" w:color="auto"/>
              <w:left w:val="nil"/>
              <w:bottom w:val="single" w:sz="4" w:space="0" w:color="auto"/>
              <w:right w:val="single" w:sz="4" w:space="0" w:color="000000"/>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b/>
                <w:bCs/>
                <w:i/>
                <w:iCs/>
                <w:color w:val="000000"/>
                <w:lang w:val="de-DE" w:eastAsia="de-DE"/>
              </w:rPr>
            </w:pPr>
            <w:r w:rsidRPr="00D350F7">
              <w:rPr>
                <w:rFonts w:ascii="Calibri" w:eastAsia="Times New Roman" w:hAnsi="Calibri" w:cs="Times New Roman"/>
                <w:b/>
                <w:bCs/>
                <w:i/>
                <w:iCs/>
                <w:color w:val="000000"/>
                <w:lang w:val="de-DE" w:eastAsia="de-DE"/>
              </w:rPr>
              <w:t>fmo1</w:t>
            </w:r>
          </w:p>
        </w:tc>
        <w:tc>
          <w:tcPr>
            <w:tcW w:w="2864" w:type="dxa"/>
            <w:gridSpan w:val="8"/>
            <w:tcBorders>
              <w:top w:val="single" w:sz="4" w:space="0" w:color="auto"/>
              <w:left w:val="nil"/>
              <w:bottom w:val="single" w:sz="4" w:space="0" w:color="auto"/>
              <w:right w:val="single" w:sz="4" w:space="0" w:color="000000"/>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b/>
                <w:bCs/>
                <w:i/>
                <w:iCs/>
                <w:color w:val="000000"/>
                <w:lang w:val="de-DE" w:eastAsia="de-DE"/>
              </w:rPr>
            </w:pPr>
            <w:r w:rsidRPr="00D350F7">
              <w:rPr>
                <w:rFonts w:ascii="Calibri" w:eastAsia="Times New Roman" w:hAnsi="Calibri" w:cs="Times New Roman"/>
                <w:b/>
                <w:bCs/>
                <w:i/>
                <w:iCs/>
                <w:color w:val="000000"/>
                <w:lang w:val="de-DE" w:eastAsia="de-DE"/>
              </w:rPr>
              <w:t>sid2</w:t>
            </w:r>
          </w:p>
        </w:tc>
      </w:tr>
      <w:tr w:rsidR="00D350F7" w:rsidRPr="00D350F7" w:rsidTr="00D350F7">
        <w:trPr>
          <w:trHeight w:val="345"/>
          <w:tblHeader/>
          <w:jc w:val="center"/>
        </w:trPr>
        <w:tc>
          <w:tcPr>
            <w:tcW w:w="759" w:type="dxa"/>
            <w:vMerge/>
            <w:tcBorders>
              <w:top w:val="single" w:sz="4" w:space="0" w:color="auto"/>
              <w:left w:val="single" w:sz="4" w:space="0" w:color="auto"/>
              <w:bottom w:val="single" w:sz="4" w:space="0" w:color="000000"/>
              <w:right w:val="single" w:sz="4" w:space="0" w:color="auto"/>
            </w:tcBorders>
            <w:vAlign w:val="center"/>
            <w:hideMark/>
          </w:tcPr>
          <w:p w:rsidR="00D350F7" w:rsidRPr="00D350F7" w:rsidRDefault="00D350F7" w:rsidP="00D350F7">
            <w:pPr>
              <w:spacing w:after="0" w:line="240" w:lineRule="auto"/>
              <w:rPr>
                <w:rFonts w:ascii="Calibri" w:eastAsia="Times New Roman" w:hAnsi="Calibri" w:cs="Times New Roman"/>
                <w:b/>
                <w:bCs/>
                <w:color w:val="000000"/>
                <w:lang w:val="de-DE" w:eastAsia="de-DE"/>
              </w:rPr>
            </w:pPr>
          </w:p>
        </w:tc>
        <w:tc>
          <w:tcPr>
            <w:tcW w:w="2260" w:type="dxa"/>
            <w:gridSpan w:val="6"/>
            <w:tcBorders>
              <w:top w:val="single" w:sz="4" w:space="0" w:color="auto"/>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b/>
                <w:bCs/>
                <w:color w:val="000000"/>
                <w:lang w:val="de-DE" w:eastAsia="de-DE"/>
              </w:rPr>
            </w:pPr>
            <w:r w:rsidRPr="00D350F7">
              <w:rPr>
                <w:rFonts w:ascii="Calibri" w:eastAsia="Times New Roman" w:hAnsi="Calibri" w:cs="Times New Roman"/>
                <w:b/>
                <w:bCs/>
                <w:color w:val="000000"/>
                <w:lang w:val="de-DE" w:eastAsia="de-DE"/>
              </w:rPr>
              <w:t xml:space="preserve">µg </w:t>
            </w:r>
            <w:r w:rsidRPr="00D23D9F">
              <w:rPr>
                <w:rFonts w:ascii="Calibri" w:eastAsia="Times New Roman" w:hAnsi="Calibri" w:cs="Times New Roman"/>
                <w:b/>
                <w:bCs/>
                <w:color w:val="000000"/>
                <w:lang w:val="de-DE" w:eastAsia="de-DE"/>
              </w:rPr>
              <w:t>g</w:t>
            </w:r>
            <w:r w:rsidRPr="00D350F7">
              <w:rPr>
                <w:rFonts w:ascii="Calibri" w:eastAsia="Times New Roman" w:hAnsi="Calibri" w:cs="Times New Roman"/>
                <w:b/>
                <w:bCs/>
                <w:color w:val="000000"/>
                <w:vertAlign w:val="superscript"/>
                <w:lang w:val="de-DE" w:eastAsia="de-DE"/>
              </w:rPr>
              <w:t>-1</w:t>
            </w:r>
            <w:r w:rsidRPr="00D350F7">
              <w:rPr>
                <w:rFonts w:ascii="Calibri" w:eastAsia="Times New Roman" w:hAnsi="Calibri" w:cs="Times New Roman"/>
                <w:b/>
                <w:bCs/>
                <w:color w:val="000000"/>
                <w:lang w:val="de-DE" w:eastAsia="de-DE"/>
              </w:rPr>
              <w:t xml:space="preserve"> FW </w:t>
            </w:r>
          </w:p>
        </w:tc>
        <w:tc>
          <w:tcPr>
            <w:tcW w:w="714" w:type="dxa"/>
            <w:gridSpan w:val="2"/>
            <w:vMerge w:val="restart"/>
            <w:tcBorders>
              <w:top w:val="single" w:sz="4" w:space="0" w:color="auto"/>
              <w:left w:val="nil"/>
              <w:bottom w:val="single" w:sz="4" w:space="0" w:color="000000"/>
              <w:right w:val="single" w:sz="4" w:space="0" w:color="000000"/>
            </w:tcBorders>
            <w:shd w:val="clear" w:color="auto" w:fill="auto"/>
            <w:vAlign w:val="bottom"/>
            <w:hideMark/>
          </w:tcPr>
          <w:p w:rsidR="00D350F7" w:rsidRPr="00D350F7" w:rsidRDefault="00D350F7" w:rsidP="00D350F7">
            <w:pPr>
              <w:spacing w:after="0" w:line="240" w:lineRule="auto"/>
              <w:jc w:val="center"/>
              <w:rPr>
                <w:rFonts w:ascii="Calibri" w:eastAsia="Times New Roman" w:hAnsi="Calibri" w:cs="Times New Roman"/>
                <w:b/>
                <w:bCs/>
                <w:color w:val="000000"/>
                <w:lang w:val="de-DE" w:eastAsia="de-DE"/>
              </w:rPr>
            </w:pPr>
            <w:r w:rsidRPr="00D350F7">
              <w:rPr>
                <w:rFonts w:ascii="Calibri" w:eastAsia="Times New Roman" w:hAnsi="Calibri" w:cs="Times New Roman"/>
                <w:b/>
                <w:bCs/>
                <w:color w:val="000000"/>
                <w:lang w:val="de-DE" w:eastAsia="de-DE"/>
              </w:rPr>
              <w:t>ratio P/M</w:t>
            </w:r>
          </w:p>
        </w:tc>
        <w:tc>
          <w:tcPr>
            <w:tcW w:w="2150" w:type="dxa"/>
            <w:gridSpan w:val="6"/>
            <w:tcBorders>
              <w:top w:val="single" w:sz="4" w:space="0" w:color="auto"/>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b/>
                <w:bCs/>
                <w:color w:val="000000"/>
                <w:lang w:val="de-DE" w:eastAsia="de-DE"/>
              </w:rPr>
            </w:pPr>
            <w:r w:rsidRPr="00D350F7">
              <w:rPr>
                <w:rFonts w:ascii="Calibri" w:eastAsia="Times New Roman" w:hAnsi="Calibri" w:cs="Times New Roman"/>
                <w:b/>
                <w:bCs/>
                <w:color w:val="000000"/>
                <w:lang w:val="de-DE" w:eastAsia="de-DE"/>
              </w:rPr>
              <w:t xml:space="preserve">µg </w:t>
            </w:r>
            <w:r w:rsidRPr="00D23D9F">
              <w:rPr>
                <w:rFonts w:ascii="Calibri" w:eastAsia="Times New Roman" w:hAnsi="Calibri" w:cs="Times New Roman"/>
                <w:b/>
                <w:bCs/>
                <w:color w:val="000000"/>
                <w:lang w:val="de-DE" w:eastAsia="de-DE"/>
              </w:rPr>
              <w:t>g</w:t>
            </w:r>
            <w:r w:rsidRPr="00D350F7">
              <w:rPr>
                <w:rFonts w:ascii="Calibri" w:eastAsia="Times New Roman" w:hAnsi="Calibri" w:cs="Times New Roman"/>
                <w:b/>
                <w:bCs/>
                <w:color w:val="000000"/>
                <w:vertAlign w:val="superscript"/>
                <w:lang w:val="de-DE" w:eastAsia="de-DE"/>
              </w:rPr>
              <w:t>-1</w:t>
            </w:r>
            <w:r w:rsidRPr="00D350F7">
              <w:rPr>
                <w:rFonts w:ascii="Calibri" w:eastAsia="Times New Roman" w:hAnsi="Calibri" w:cs="Times New Roman"/>
                <w:b/>
                <w:bCs/>
                <w:color w:val="000000"/>
                <w:lang w:val="de-DE" w:eastAsia="de-DE"/>
              </w:rPr>
              <w:t xml:space="preserve"> FW </w:t>
            </w:r>
          </w:p>
        </w:tc>
        <w:tc>
          <w:tcPr>
            <w:tcW w:w="714" w:type="dxa"/>
            <w:gridSpan w:val="2"/>
            <w:vMerge w:val="restart"/>
            <w:tcBorders>
              <w:top w:val="single" w:sz="4" w:space="0" w:color="auto"/>
              <w:left w:val="nil"/>
              <w:bottom w:val="single" w:sz="4" w:space="0" w:color="000000"/>
              <w:right w:val="single" w:sz="4" w:space="0" w:color="000000"/>
            </w:tcBorders>
            <w:shd w:val="clear" w:color="auto" w:fill="auto"/>
            <w:vAlign w:val="bottom"/>
            <w:hideMark/>
          </w:tcPr>
          <w:p w:rsidR="00D350F7" w:rsidRPr="00D350F7" w:rsidRDefault="00D350F7" w:rsidP="00D350F7">
            <w:pPr>
              <w:spacing w:after="0" w:line="240" w:lineRule="auto"/>
              <w:jc w:val="center"/>
              <w:rPr>
                <w:rFonts w:ascii="Calibri" w:eastAsia="Times New Roman" w:hAnsi="Calibri" w:cs="Times New Roman"/>
                <w:b/>
                <w:bCs/>
                <w:color w:val="000000"/>
                <w:lang w:val="de-DE" w:eastAsia="de-DE"/>
              </w:rPr>
            </w:pPr>
            <w:r w:rsidRPr="00D350F7">
              <w:rPr>
                <w:rFonts w:ascii="Calibri" w:eastAsia="Times New Roman" w:hAnsi="Calibri" w:cs="Times New Roman"/>
                <w:b/>
                <w:bCs/>
                <w:color w:val="000000"/>
                <w:lang w:val="de-DE" w:eastAsia="de-DE"/>
              </w:rPr>
              <w:t>ratio P/M</w:t>
            </w:r>
          </w:p>
        </w:tc>
        <w:tc>
          <w:tcPr>
            <w:tcW w:w="2039" w:type="dxa"/>
            <w:gridSpan w:val="6"/>
            <w:tcBorders>
              <w:top w:val="single" w:sz="4" w:space="0" w:color="auto"/>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b/>
                <w:bCs/>
                <w:color w:val="000000"/>
                <w:lang w:val="de-DE" w:eastAsia="de-DE"/>
              </w:rPr>
            </w:pPr>
            <w:r w:rsidRPr="00D350F7">
              <w:rPr>
                <w:rFonts w:ascii="Calibri" w:eastAsia="Times New Roman" w:hAnsi="Calibri" w:cs="Times New Roman"/>
                <w:b/>
                <w:bCs/>
                <w:color w:val="000000"/>
                <w:lang w:val="de-DE" w:eastAsia="de-DE"/>
              </w:rPr>
              <w:t xml:space="preserve">µg </w:t>
            </w:r>
            <w:r w:rsidRPr="00D23D9F">
              <w:rPr>
                <w:rFonts w:ascii="Calibri" w:eastAsia="Times New Roman" w:hAnsi="Calibri" w:cs="Times New Roman"/>
                <w:b/>
                <w:bCs/>
                <w:color w:val="000000"/>
                <w:lang w:val="de-DE" w:eastAsia="de-DE"/>
              </w:rPr>
              <w:t>g</w:t>
            </w:r>
            <w:r w:rsidRPr="00D350F7">
              <w:rPr>
                <w:rFonts w:ascii="Calibri" w:eastAsia="Times New Roman" w:hAnsi="Calibri" w:cs="Times New Roman"/>
                <w:b/>
                <w:bCs/>
                <w:color w:val="000000"/>
                <w:vertAlign w:val="superscript"/>
                <w:lang w:val="de-DE" w:eastAsia="de-DE"/>
              </w:rPr>
              <w:t>-1</w:t>
            </w:r>
            <w:r w:rsidRPr="00D350F7">
              <w:rPr>
                <w:rFonts w:ascii="Calibri" w:eastAsia="Times New Roman" w:hAnsi="Calibri" w:cs="Times New Roman"/>
                <w:b/>
                <w:bCs/>
                <w:color w:val="000000"/>
                <w:lang w:val="de-DE" w:eastAsia="de-DE"/>
              </w:rPr>
              <w:t xml:space="preserve"> FW </w:t>
            </w:r>
          </w:p>
        </w:tc>
        <w:tc>
          <w:tcPr>
            <w:tcW w:w="680" w:type="dxa"/>
            <w:gridSpan w:val="2"/>
            <w:vMerge w:val="restart"/>
            <w:tcBorders>
              <w:top w:val="single" w:sz="4" w:space="0" w:color="auto"/>
              <w:left w:val="nil"/>
              <w:bottom w:val="single" w:sz="4" w:space="0" w:color="000000"/>
              <w:right w:val="single" w:sz="4" w:space="0" w:color="000000"/>
            </w:tcBorders>
            <w:shd w:val="clear" w:color="auto" w:fill="auto"/>
            <w:vAlign w:val="bottom"/>
            <w:hideMark/>
          </w:tcPr>
          <w:p w:rsidR="00D350F7" w:rsidRPr="00D350F7" w:rsidRDefault="00D350F7" w:rsidP="00D350F7">
            <w:pPr>
              <w:spacing w:after="0" w:line="240" w:lineRule="auto"/>
              <w:jc w:val="center"/>
              <w:rPr>
                <w:rFonts w:ascii="Calibri" w:eastAsia="Times New Roman" w:hAnsi="Calibri" w:cs="Times New Roman"/>
                <w:b/>
                <w:bCs/>
                <w:color w:val="000000"/>
                <w:lang w:val="de-DE" w:eastAsia="de-DE"/>
              </w:rPr>
            </w:pPr>
            <w:r w:rsidRPr="00D350F7">
              <w:rPr>
                <w:rFonts w:ascii="Calibri" w:eastAsia="Times New Roman" w:hAnsi="Calibri" w:cs="Times New Roman"/>
                <w:b/>
                <w:bCs/>
                <w:color w:val="000000"/>
                <w:lang w:val="de-DE" w:eastAsia="de-DE"/>
              </w:rPr>
              <w:t>ratio P/M</w:t>
            </w:r>
          </w:p>
        </w:tc>
        <w:tc>
          <w:tcPr>
            <w:tcW w:w="2150" w:type="dxa"/>
            <w:gridSpan w:val="6"/>
            <w:tcBorders>
              <w:top w:val="single" w:sz="4" w:space="0" w:color="auto"/>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b/>
                <w:bCs/>
                <w:color w:val="000000"/>
                <w:lang w:val="de-DE" w:eastAsia="de-DE"/>
              </w:rPr>
            </w:pPr>
            <w:r w:rsidRPr="00D350F7">
              <w:rPr>
                <w:rFonts w:ascii="Calibri" w:eastAsia="Times New Roman" w:hAnsi="Calibri" w:cs="Times New Roman"/>
                <w:b/>
                <w:bCs/>
                <w:color w:val="000000"/>
                <w:lang w:val="de-DE" w:eastAsia="de-DE"/>
              </w:rPr>
              <w:t xml:space="preserve">µg </w:t>
            </w:r>
            <w:r w:rsidRPr="00D23D9F">
              <w:rPr>
                <w:rFonts w:ascii="Calibri" w:eastAsia="Times New Roman" w:hAnsi="Calibri" w:cs="Times New Roman"/>
                <w:b/>
                <w:bCs/>
                <w:color w:val="000000"/>
                <w:lang w:val="de-DE" w:eastAsia="de-DE"/>
              </w:rPr>
              <w:t>g</w:t>
            </w:r>
            <w:r w:rsidRPr="00D350F7">
              <w:rPr>
                <w:rFonts w:ascii="Calibri" w:eastAsia="Times New Roman" w:hAnsi="Calibri" w:cs="Times New Roman"/>
                <w:b/>
                <w:bCs/>
                <w:color w:val="000000"/>
                <w:vertAlign w:val="superscript"/>
                <w:lang w:val="de-DE" w:eastAsia="de-DE"/>
              </w:rPr>
              <w:t>-1</w:t>
            </w:r>
            <w:r w:rsidRPr="00D350F7">
              <w:rPr>
                <w:rFonts w:ascii="Calibri" w:eastAsia="Times New Roman" w:hAnsi="Calibri" w:cs="Times New Roman"/>
                <w:b/>
                <w:bCs/>
                <w:color w:val="000000"/>
                <w:lang w:val="de-DE" w:eastAsia="de-DE"/>
              </w:rPr>
              <w:t xml:space="preserve"> FW </w:t>
            </w:r>
          </w:p>
        </w:tc>
        <w:tc>
          <w:tcPr>
            <w:tcW w:w="714" w:type="dxa"/>
            <w:gridSpan w:val="2"/>
            <w:vMerge w:val="restart"/>
            <w:tcBorders>
              <w:top w:val="single" w:sz="4" w:space="0" w:color="auto"/>
              <w:left w:val="nil"/>
              <w:bottom w:val="single" w:sz="4" w:space="0" w:color="000000"/>
              <w:right w:val="single" w:sz="4" w:space="0" w:color="000000"/>
            </w:tcBorders>
            <w:shd w:val="clear" w:color="auto" w:fill="auto"/>
            <w:vAlign w:val="bottom"/>
            <w:hideMark/>
          </w:tcPr>
          <w:p w:rsidR="00D350F7" w:rsidRPr="00D350F7" w:rsidRDefault="00D350F7" w:rsidP="00D350F7">
            <w:pPr>
              <w:spacing w:after="0" w:line="240" w:lineRule="auto"/>
              <w:jc w:val="center"/>
              <w:rPr>
                <w:rFonts w:ascii="Calibri" w:eastAsia="Times New Roman" w:hAnsi="Calibri" w:cs="Times New Roman"/>
                <w:b/>
                <w:bCs/>
                <w:color w:val="000000"/>
                <w:lang w:val="de-DE" w:eastAsia="de-DE"/>
              </w:rPr>
            </w:pPr>
            <w:r w:rsidRPr="00D350F7">
              <w:rPr>
                <w:rFonts w:ascii="Calibri" w:eastAsia="Times New Roman" w:hAnsi="Calibri" w:cs="Times New Roman"/>
                <w:b/>
                <w:bCs/>
                <w:color w:val="000000"/>
                <w:lang w:val="de-DE" w:eastAsia="de-DE"/>
              </w:rPr>
              <w:t>ratio P/M</w:t>
            </w:r>
          </w:p>
        </w:tc>
      </w:tr>
      <w:tr w:rsidR="00D350F7" w:rsidRPr="00D350F7" w:rsidTr="00D350F7">
        <w:trPr>
          <w:trHeight w:val="300"/>
          <w:tblHeader/>
          <w:jc w:val="center"/>
        </w:trPr>
        <w:tc>
          <w:tcPr>
            <w:tcW w:w="759" w:type="dxa"/>
            <w:vMerge/>
            <w:tcBorders>
              <w:top w:val="single" w:sz="4" w:space="0" w:color="auto"/>
              <w:left w:val="single" w:sz="4" w:space="0" w:color="auto"/>
              <w:bottom w:val="single" w:sz="4" w:space="0" w:color="000000"/>
              <w:right w:val="single" w:sz="4" w:space="0" w:color="auto"/>
            </w:tcBorders>
            <w:vAlign w:val="center"/>
            <w:hideMark/>
          </w:tcPr>
          <w:p w:rsidR="00D350F7" w:rsidRPr="00D350F7" w:rsidRDefault="00D350F7" w:rsidP="00D350F7">
            <w:pPr>
              <w:spacing w:after="0" w:line="240" w:lineRule="auto"/>
              <w:rPr>
                <w:rFonts w:ascii="Calibri" w:eastAsia="Times New Roman" w:hAnsi="Calibri" w:cs="Times New Roman"/>
                <w:b/>
                <w:bCs/>
                <w:color w:val="000000"/>
                <w:lang w:val="de-DE" w:eastAsia="de-DE"/>
              </w:rPr>
            </w:pPr>
          </w:p>
        </w:tc>
        <w:tc>
          <w:tcPr>
            <w:tcW w:w="1185" w:type="dxa"/>
            <w:gridSpan w:val="3"/>
            <w:tcBorders>
              <w:top w:val="nil"/>
              <w:left w:val="nil"/>
              <w:bottom w:val="single" w:sz="4" w:space="0" w:color="auto"/>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b/>
                <w:bCs/>
                <w:color w:val="000000"/>
                <w:lang w:val="de-DE" w:eastAsia="de-DE"/>
              </w:rPr>
            </w:pPr>
            <w:r w:rsidRPr="00D350F7">
              <w:rPr>
                <w:rFonts w:ascii="Calibri" w:eastAsia="Times New Roman" w:hAnsi="Calibri" w:cs="Times New Roman"/>
                <w:b/>
                <w:bCs/>
                <w:color w:val="000000"/>
                <w:lang w:val="de-DE" w:eastAsia="de-DE"/>
              </w:rPr>
              <w:t>water</w:t>
            </w:r>
          </w:p>
        </w:tc>
        <w:tc>
          <w:tcPr>
            <w:tcW w:w="1075" w:type="dxa"/>
            <w:gridSpan w:val="3"/>
            <w:tcBorders>
              <w:top w:val="nil"/>
              <w:left w:val="nil"/>
              <w:bottom w:val="single" w:sz="4" w:space="0" w:color="auto"/>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b/>
                <w:bCs/>
                <w:i/>
                <w:iCs/>
                <w:color w:val="000000"/>
                <w:lang w:val="de-DE" w:eastAsia="de-DE"/>
              </w:rPr>
            </w:pPr>
            <w:r w:rsidRPr="00D350F7">
              <w:rPr>
                <w:rFonts w:ascii="Calibri" w:eastAsia="Times New Roman" w:hAnsi="Calibri" w:cs="Times New Roman"/>
                <w:b/>
                <w:bCs/>
                <w:i/>
                <w:iCs/>
                <w:color w:val="000000"/>
                <w:lang w:val="de-DE" w:eastAsia="de-DE"/>
              </w:rPr>
              <w:t>Hpa</w:t>
            </w:r>
          </w:p>
        </w:tc>
        <w:tc>
          <w:tcPr>
            <w:tcW w:w="714" w:type="dxa"/>
            <w:gridSpan w:val="2"/>
            <w:vMerge/>
            <w:tcBorders>
              <w:top w:val="single" w:sz="4" w:space="0" w:color="auto"/>
              <w:left w:val="nil"/>
              <w:bottom w:val="single" w:sz="4" w:space="0" w:color="000000"/>
              <w:right w:val="single" w:sz="4" w:space="0" w:color="000000"/>
            </w:tcBorders>
            <w:vAlign w:val="center"/>
            <w:hideMark/>
          </w:tcPr>
          <w:p w:rsidR="00D350F7" w:rsidRPr="00D350F7" w:rsidRDefault="00D350F7" w:rsidP="00D350F7">
            <w:pPr>
              <w:spacing w:after="0" w:line="240" w:lineRule="auto"/>
              <w:rPr>
                <w:rFonts w:ascii="Calibri" w:eastAsia="Times New Roman" w:hAnsi="Calibri" w:cs="Times New Roman"/>
                <w:b/>
                <w:bCs/>
                <w:color w:val="000000"/>
                <w:lang w:val="de-DE" w:eastAsia="de-DE"/>
              </w:rPr>
            </w:pPr>
          </w:p>
        </w:tc>
        <w:tc>
          <w:tcPr>
            <w:tcW w:w="1075" w:type="dxa"/>
            <w:gridSpan w:val="3"/>
            <w:tcBorders>
              <w:top w:val="nil"/>
              <w:left w:val="nil"/>
              <w:bottom w:val="single" w:sz="4" w:space="0" w:color="auto"/>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b/>
                <w:bCs/>
                <w:color w:val="000000"/>
                <w:lang w:val="de-DE" w:eastAsia="de-DE"/>
              </w:rPr>
            </w:pPr>
            <w:r w:rsidRPr="00D350F7">
              <w:rPr>
                <w:rFonts w:ascii="Calibri" w:eastAsia="Times New Roman" w:hAnsi="Calibri" w:cs="Times New Roman"/>
                <w:b/>
                <w:bCs/>
                <w:color w:val="000000"/>
                <w:lang w:val="de-DE" w:eastAsia="de-DE"/>
              </w:rPr>
              <w:t>water</w:t>
            </w:r>
          </w:p>
        </w:tc>
        <w:tc>
          <w:tcPr>
            <w:tcW w:w="1075" w:type="dxa"/>
            <w:gridSpan w:val="3"/>
            <w:tcBorders>
              <w:top w:val="nil"/>
              <w:left w:val="nil"/>
              <w:bottom w:val="single" w:sz="4" w:space="0" w:color="auto"/>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b/>
                <w:bCs/>
                <w:i/>
                <w:iCs/>
                <w:color w:val="000000"/>
                <w:lang w:val="de-DE" w:eastAsia="de-DE"/>
              </w:rPr>
            </w:pPr>
            <w:r w:rsidRPr="00D350F7">
              <w:rPr>
                <w:rFonts w:ascii="Calibri" w:eastAsia="Times New Roman" w:hAnsi="Calibri" w:cs="Times New Roman"/>
                <w:b/>
                <w:bCs/>
                <w:i/>
                <w:iCs/>
                <w:color w:val="000000"/>
                <w:lang w:val="de-DE" w:eastAsia="de-DE"/>
              </w:rPr>
              <w:t>Hpa</w:t>
            </w:r>
          </w:p>
        </w:tc>
        <w:tc>
          <w:tcPr>
            <w:tcW w:w="714" w:type="dxa"/>
            <w:gridSpan w:val="2"/>
            <w:vMerge/>
            <w:tcBorders>
              <w:top w:val="single" w:sz="4" w:space="0" w:color="auto"/>
              <w:left w:val="nil"/>
              <w:bottom w:val="single" w:sz="4" w:space="0" w:color="000000"/>
              <w:right w:val="single" w:sz="4" w:space="0" w:color="000000"/>
            </w:tcBorders>
            <w:vAlign w:val="center"/>
            <w:hideMark/>
          </w:tcPr>
          <w:p w:rsidR="00D350F7" w:rsidRPr="00D350F7" w:rsidRDefault="00D350F7" w:rsidP="00D350F7">
            <w:pPr>
              <w:spacing w:after="0" w:line="240" w:lineRule="auto"/>
              <w:rPr>
                <w:rFonts w:ascii="Calibri" w:eastAsia="Times New Roman" w:hAnsi="Calibri" w:cs="Times New Roman"/>
                <w:b/>
                <w:bCs/>
                <w:color w:val="000000"/>
                <w:lang w:val="de-DE" w:eastAsia="de-DE"/>
              </w:rPr>
            </w:pPr>
          </w:p>
        </w:tc>
        <w:tc>
          <w:tcPr>
            <w:tcW w:w="1075" w:type="dxa"/>
            <w:gridSpan w:val="3"/>
            <w:tcBorders>
              <w:top w:val="nil"/>
              <w:left w:val="nil"/>
              <w:bottom w:val="single" w:sz="4" w:space="0" w:color="auto"/>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b/>
                <w:bCs/>
                <w:color w:val="000000"/>
                <w:lang w:val="de-DE" w:eastAsia="de-DE"/>
              </w:rPr>
            </w:pPr>
            <w:r w:rsidRPr="00D350F7">
              <w:rPr>
                <w:rFonts w:ascii="Calibri" w:eastAsia="Times New Roman" w:hAnsi="Calibri" w:cs="Times New Roman"/>
                <w:b/>
                <w:bCs/>
                <w:color w:val="000000"/>
                <w:lang w:val="de-DE" w:eastAsia="de-DE"/>
              </w:rPr>
              <w:t>water</w:t>
            </w:r>
          </w:p>
        </w:tc>
        <w:tc>
          <w:tcPr>
            <w:tcW w:w="964" w:type="dxa"/>
            <w:gridSpan w:val="3"/>
            <w:tcBorders>
              <w:top w:val="nil"/>
              <w:left w:val="nil"/>
              <w:bottom w:val="single" w:sz="4" w:space="0" w:color="auto"/>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b/>
                <w:bCs/>
                <w:i/>
                <w:iCs/>
                <w:color w:val="000000"/>
                <w:lang w:val="de-DE" w:eastAsia="de-DE"/>
              </w:rPr>
            </w:pPr>
            <w:r w:rsidRPr="00D350F7">
              <w:rPr>
                <w:rFonts w:ascii="Calibri" w:eastAsia="Times New Roman" w:hAnsi="Calibri" w:cs="Times New Roman"/>
                <w:b/>
                <w:bCs/>
                <w:i/>
                <w:iCs/>
                <w:color w:val="000000"/>
                <w:lang w:val="de-DE" w:eastAsia="de-DE"/>
              </w:rPr>
              <w:t>Hpa</w:t>
            </w:r>
          </w:p>
        </w:tc>
        <w:tc>
          <w:tcPr>
            <w:tcW w:w="680" w:type="dxa"/>
            <w:gridSpan w:val="2"/>
            <w:vMerge/>
            <w:tcBorders>
              <w:top w:val="single" w:sz="4" w:space="0" w:color="auto"/>
              <w:left w:val="nil"/>
              <w:bottom w:val="single" w:sz="4" w:space="0" w:color="000000"/>
              <w:right w:val="single" w:sz="4" w:space="0" w:color="000000"/>
            </w:tcBorders>
            <w:vAlign w:val="center"/>
            <w:hideMark/>
          </w:tcPr>
          <w:p w:rsidR="00D350F7" w:rsidRPr="00D350F7" w:rsidRDefault="00D350F7" w:rsidP="00D350F7">
            <w:pPr>
              <w:spacing w:after="0" w:line="240" w:lineRule="auto"/>
              <w:rPr>
                <w:rFonts w:ascii="Calibri" w:eastAsia="Times New Roman" w:hAnsi="Calibri" w:cs="Times New Roman"/>
                <w:b/>
                <w:bCs/>
                <w:color w:val="000000"/>
                <w:lang w:val="de-DE" w:eastAsia="de-DE"/>
              </w:rPr>
            </w:pPr>
          </w:p>
        </w:tc>
        <w:tc>
          <w:tcPr>
            <w:tcW w:w="1075" w:type="dxa"/>
            <w:gridSpan w:val="3"/>
            <w:tcBorders>
              <w:top w:val="nil"/>
              <w:left w:val="nil"/>
              <w:bottom w:val="single" w:sz="4" w:space="0" w:color="auto"/>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b/>
                <w:bCs/>
                <w:color w:val="000000"/>
                <w:lang w:val="de-DE" w:eastAsia="de-DE"/>
              </w:rPr>
            </w:pPr>
            <w:r w:rsidRPr="00D350F7">
              <w:rPr>
                <w:rFonts w:ascii="Calibri" w:eastAsia="Times New Roman" w:hAnsi="Calibri" w:cs="Times New Roman"/>
                <w:b/>
                <w:bCs/>
                <w:color w:val="000000"/>
                <w:lang w:val="de-DE" w:eastAsia="de-DE"/>
              </w:rPr>
              <w:t>water</w:t>
            </w:r>
          </w:p>
        </w:tc>
        <w:tc>
          <w:tcPr>
            <w:tcW w:w="1075" w:type="dxa"/>
            <w:gridSpan w:val="3"/>
            <w:tcBorders>
              <w:top w:val="nil"/>
              <w:left w:val="nil"/>
              <w:bottom w:val="single" w:sz="4" w:space="0" w:color="auto"/>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b/>
                <w:bCs/>
                <w:i/>
                <w:iCs/>
                <w:color w:val="000000"/>
                <w:lang w:val="de-DE" w:eastAsia="de-DE"/>
              </w:rPr>
            </w:pPr>
            <w:r w:rsidRPr="00D350F7">
              <w:rPr>
                <w:rFonts w:ascii="Calibri" w:eastAsia="Times New Roman" w:hAnsi="Calibri" w:cs="Times New Roman"/>
                <w:b/>
                <w:bCs/>
                <w:i/>
                <w:iCs/>
                <w:color w:val="000000"/>
                <w:lang w:val="de-DE" w:eastAsia="de-DE"/>
              </w:rPr>
              <w:t>Hpa</w:t>
            </w:r>
          </w:p>
        </w:tc>
        <w:tc>
          <w:tcPr>
            <w:tcW w:w="714" w:type="dxa"/>
            <w:gridSpan w:val="2"/>
            <w:vMerge/>
            <w:tcBorders>
              <w:top w:val="single" w:sz="4" w:space="0" w:color="auto"/>
              <w:left w:val="nil"/>
              <w:bottom w:val="single" w:sz="4" w:space="0" w:color="000000"/>
              <w:right w:val="single" w:sz="4" w:space="0" w:color="000000"/>
            </w:tcBorders>
            <w:vAlign w:val="center"/>
            <w:hideMark/>
          </w:tcPr>
          <w:p w:rsidR="00D350F7" w:rsidRPr="00D350F7" w:rsidRDefault="00D350F7" w:rsidP="00D350F7">
            <w:pPr>
              <w:spacing w:after="0" w:line="240" w:lineRule="auto"/>
              <w:rPr>
                <w:rFonts w:ascii="Calibri" w:eastAsia="Times New Roman" w:hAnsi="Calibri" w:cs="Times New Roman"/>
                <w:b/>
                <w:bCs/>
                <w:color w:val="000000"/>
                <w:lang w:val="de-DE" w:eastAsia="de-DE"/>
              </w:rPr>
            </w:pPr>
          </w:p>
        </w:tc>
      </w:tr>
      <w:tr w:rsidR="00D350F7" w:rsidRPr="00D350F7" w:rsidTr="00D350F7">
        <w:trPr>
          <w:trHeight w:val="300"/>
          <w:jc w:val="center"/>
        </w:trPr>
        <w:tc>
          <w:tcPr>
            <w:tcW w:w="759" w:type="dxa"/>
            <w:tcBorders>
              <w:top w:val="nil"/>
              <w:left w:val="single" w:sz="4" w:space="0" w:color="auto"/>
              <w:bottom w:val="nil"/>
              <w:right w:val="single" w:sz="4" w:space="0" w:color="auto"/>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Ala</w:t>
            </w:r>
          </w:p>
        </w:tc>
        <w:tc>
          <w:tcPr>
            <w:tcW w:w="497"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31</w:t>
            </w:r>
          </w:p>
        </w:tc>
        <w:tc>
          <w:tcPr>
            <w:tcW w:w="150"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right"/>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538"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3</w:t>
            </w:r>
          </w:p>
        </w:tc>
        <w:tc>
          <w:tcPr>
            <w:tcW w:w="497"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64</w:t>
            </w:r>
          </w:p>
        </w:tc>
        <w:tc>
          <w:tcPr>
            <w:tcW w:w="150"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right"/>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428" w:type="dxa"/>
            <w:tcBorders>
              <w:top w:val="nil"/>
              <w:left w:val="nil"/>
              <w:bottom w:val="nil"/>
              <w:right w:val="single" w:sz="4" w:space="0" w:color="auto"/>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3</w:t>
            </w:r>
          </w:p>
        </w:tc>
        <w:tc>
          <w:tcPr>
            <w:tcW w:w="346" w:type="dxa"/>
            <w:tcBorders>
              <w:top w:val="nil"/>
              <w:left w:val="nil"/>
              <w:bottom w:val="nil"/>
              <w:right w:val="nil"/>
            </w:tcBorders>
            <w:shd w:val="clear" w:color="000000" w:fill="F2DCDB"/>
            <w:noWrap/>
            <w:vAlign w:val="bottom"/>
            <w:hideMark/>
          </w:tcPr>
          <w:p w:rsidR="00D350F7" w:rsidRPr="00D350F7" w:rsidRDefault="00D350F7" w:rsidP="00D350F7">
            <w:pPr>
              <w:spacing w:after="0" w:line="240" w:lineRule="auto"/>
              <w:jc w:val="right"/>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2</w:t>
            </w:r>
          </w:p>
        </w:tc>
        <w:tc>
          <w:tcPr>
            <w:tcW w:w="368" w:type="dxa"/>
            <w:tcBorders>
              <w:top w:val="nil"/>
              <w:left w:val="nil"/>
              <w:bottom w:val="nil"/>
              <w:right w:val="single" w:sz="4" w:space="0" w:color="auto"/>
            </w:tcBorders>
            <w:shd w:val="clear" w:color="000000" w:fill="F2DCDB"/>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497"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15</w:t>
            </w:r>
          </w:p>
        </w:tc>
        <w:tc>
          <w:tcPr>
            <w:tcW w:w="150"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right"/>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428"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2</w:t>
            </w:r>
          </w:p>
        </w:tc>
        <w:tc>
          <w:tcPr>
            <w:tcW w:w="497"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22</w:t>
            </w:r>
          </w:p>
        </w:tc>
        <w:tc>
          <w:tcPr>
            <w:tcW w:w="150"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right"/>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428" w:type="dxa"/>
            <w:tcBorders>
              <w:top w:val="nil"/>
              <w:left w:val="nil"/>
              <w:bottom w:val="nil"/>
              <w:right w:val="single" w:sz="4" w:space="0" w:color="auto"/>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4</w:t>
            </w:r>
          </w:p>
        </w:tc>
        <w:tc>
          <w:tcPr>
            <w:tcW w:w="346"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right"/>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1</w:t>
            </w:r>
          </w:p>
        </w:tc>
        <w:tc>
          <w:tcPr>
            <w:tcW w:w="368" w:type="dxa"/>
            <w:tcBorders>
              <w:top w:val="nil"/>
              <w:left w:val="nil"/>
              <w:bottom w:val="nil"/>
              <w:right w:val="single" w:sz="4" w:space="0" w:color="auto"/>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 </w:t>
            </w:r>
          </w:p>
        </w:tc>
        <w:tc>
          <w:tcPr>
            <w:tcW w:w="497"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11</w:t>
            </w:r>
          </w:p>
        </w:tc>
        <w:tc>
          <w:tcPr>
            <w:tcW w:w="150"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right"/>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428"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1</w:t>
            </w:r>
          </w:p>
        </w:tc>
        <w:tc>
          <w:tcPr>
            <w:tcW w:w="497"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24</w:t>
            </w:r>
          </w:p>
        </w:tc>
        <w:tc>
          <w:tcPr>
            <w:tcW w:w="150"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right"/>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317" w:type="dxa"/>
            <w:tcBorders>
              <w:top w:val="nil"/>
              <w:left w:val="nil"/>
              <w:bottom w:val="nil"/>
              <w:right w:val="single" w:sz="4" w:space="0" w:color="auto"/>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9</w:t>
            </w:r>
          </w:p>
        </w:tc>
        <w:tc>
          <w:tcPr>
            <w:tcW w:w="421" w:type="dxa"/>
            <w:tcBorders>
              <w:top w:val="nil"/>
              <w:left w:val="nil"/>
              <w:bottom w:val="nil"/>
              <w:right w:val="nil"/>
            </w:tcBorders>
            <w:shd w:val="clear" w:color="000000" w:fill="F2DCDB"/>
            <w:noWrap/>
            <w:vAlign w:val="bottom"/>
            <w:hideMark/>
          </w:tcPr>
          <w:p w:rsidR="00D350F7" w:rsidRPr="00D350F7" w:rsidRDefault="00D350F7" w:rsidP="00D350F7">
            <w:pPr>
              <w:spacing w:after="0" w:line="240" w:lineRule="auto"/>
              <w:jc w:val="right"/>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2</w:t>
            </w:r>
          </w:p>
        </w:tc>
        <w:tc>
          <w:tcPr>
            <w:tcW w:w="259" w:type="dxa"/>
            <w:tcBorders>
              <w:top w:val="nil"/>
              <w:left w:val="nil"/>
              <w:bottom w:val="nil"/>
              <w:right w:val="single" w:sz="4" w:space="0" w:color="auto"/>
            </w:tcBorders>
            <w:shd w:val="clear" w:color="000000" w:fill="F2DCDB"/>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 </w:t>
            </w:r>
          </w:p>
        </w:tc>
        <w:tc>
          <w:tcPr>
            <w:tcW w:w="497"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21</w:t>
            </w:r>
          </w:p>
        </w:tc>
        <w:tc>
          <w:tcPr>
            <w:tcW w:w="150"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right"/>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428"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9</w:t>
            </w:r>
          </w:p>
        </w:tc>
        <w:tc>
          <w:tcPr>
            <w:tcW w:w="497"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12</w:t>
            </w:r>
          </w:p>
        </w:tc>
        <w:tc>
          <w:tcPr>
            <w:tcW w:w="150"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right"/>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428" w:type="dxa"/>
            <w:tcBorders>
              <w:top w:val="nil"/>
              <w:left w:val="nil"/>
              <w:bottom w:val="nil"/>
              <w:right w:val="single" w:sz="4" w:space="0" w:color="auto"/>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1</w:t>
            </w:r>
          </w:p>
        </w:tc>
        <w:tc>
          <w:tcPr>
            <w:tcW w:w="346"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right"/>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1</w:t>
            </w:r>
          </w:p>
        </w:tc>
        <w:tc>
          <w:tcPr>
            <w:tcW w:w="368" w:type="dxa"/>
            <w:tcBorders>
              <w:top w:val="nil"/>
              <w:left w:val="nil"/>
              <w:bottom w:val="nil"/>
              <w:right w:val="single" w:sz="4" w:space="0" w:color="auto"/>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 </w:t>
            </w:r>
          </w:p>
        </w:tc>
      </w:tr>
      <w:tr w:rsidR="00D350F7" w:rsidRPr="00D350F7" w:rsidTr="00D350F7">
        <w:trPr>
          <w:trHeight w:val="300"/>
          <w:jc w:val="center"/>
        </w:trPr>
        <w:tc>
          <w:tcPr>
            <w:tcW w:w="759" w:type="dxa"/>
            <w:tcBorders>
              <w:top w:val="nil"/>
              <w:left w:val="single" w:sz="4" w:space="0" w:color="auto"/>
              <w:bottom w:val="nil"/>
              <w:right w:val="single" w:sz="4" w:space="0" w:color="auto"/>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Asn</w:t>
            </w:r>
          </w:p>
        </w:tc>
        <w:tc>
          <w:tcPr>
            <w:tcW w:w="497"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17</w:t>
            </w:r>
          </w:p>
        </w:tc>
        <w:tc>
          <w:tcPr>
            <w:tcW w:w="150"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right"/>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538"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1</w:t>
            </w:r>
          </w:p>
        </w:tc>
        <w:tc>
          <w:tcPr>
            <w:tcW w:w="497"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56</w:t>
            </w:r>
          </w:p>
        </w:tc>
        <w:tc>
          <w:tcPr>
            <w:tcW w:w="150"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right"/>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428" w:type="dxa"/>
            <w:tcBorders>
              <w:top w:val="nil"/>
              <w:left w:val="nil"/>
              <w:bottom w:val="nil"/>
              <w:right w:val="single" w:sz="4" w:space="0" w:color="auto"/>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7</w:t>
            </w:r>
          </w:p>
        </w:tc>
        <w:tc>
          <w:tcPr>
            <w:tcW w:w="346" w:type="dxa"/>
            <w:tcBorders>
              <w:top w:val="nil"/>
              <w:left w:val="nil"/>
              <w:bottom w:val="nil"/>
              <w:right w:val="nil"/>
            </w:tcBorders>
            <w:shd w:val="clear" w:color="000000" w:fill="E6B8B7"/>
            <w:noWrap/>
            <w:vAlign w:val="bottom"/>
            <w:hideMark/>
          </w:tcPr>
          <w:p w:rsidR="00D350F7" w:rsidRPr="00D350F7" w:rsidRDefault="00D350F7" w:rsidP="00D350F7">
            <w:pPr>
              <w:spacing w:after="0" w:line="240" w:lineRule="auto"/>
              <w:jc w:val="right"/>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3</w:t>
            </w:r>
          </w:p>
        </w:tc>
        <w:tc>
          <w:tcPr>
            <w:tcW w:w="368" w:type="dxa"/>
            <w:tcBorders>
              <w:top w:val="nil"/>
              <w:left w:val="nil"/>
              <w:bottom w:val="nil"/>
              <w:right w:val="single" w:sz="4" w:space="0" w:color="auto"/>
            </w:tcBorders>
            <w:shd w:val="clear" w:color="000000" w:fill="E6B8B7"/>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497"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23</w:t>
            </w:r>
          </w:p>
        </w:tc>
        <w:tc>
          <w:tcPr>
            <w:tcW w:w="150"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right"/>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428"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1</w:t>
            </w:r>
          </w:p>
        </w:tc>
        <w:tc>
          <w:tcPr>
            <w:tcW w:w="497"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47</w:t>
            </w:r>
          </w:p>
        </w:tc>
        <w:tc>
          <w:tcPr>
            <w:tcW w:w="150"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right"/>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428" w:type="dxa"/>
            <w:tcBorders>
              <w:top w:val="nil"/>
              <w:left w:val="nil"/>
              <w:bottom w:val="nil"/>
              <w:right w:val="single" w:sz="4" w:space="0" w:color="auto"/>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4</w:t>
            </w:r>
          </w:p>
        </w:tc>
        <w:tc>
          <w:tcPr>
            <w:tcW w:w="346" w:type="dxa"/>
            <w:tcBorders>
              <w:top w:val="nil"/>
              <w:left w:val="nil"/>
              <w:bottom w:val="nil"/>
              <w:right w:val="nil"/>
            </w:tcBorders>
            <w:shd w:val="clear" w:color="000000" w:fill="F2DCDB"/>
            <w:noWrap/>
            <w:vAlign w:val="bottom"/>
            <w:hideMark/>
          </w:tcPr>
          <w:p w:rsidR="00D350F7" w:rsidRPr="00D350F7" w:rsidRDefault="00D350F7" w:rsidP="00D350F7">
            <w:pPr>
              <w:spacing w:after="0" w:line="240" w:lineRule="auto"/>
              <w:jc w:val="right"/>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2</w:t>
            </w:r>
          </w:p>
        </w:tc>
        <w:tc>
          <w:tcPr>
            <w:tcW w:w="368" w:type="dxa"/>
            <w:tcBorders>
              <w:top w:val="nil"/>
              <w:left w:val="nil"/>
              <w:bottom w:val="nil"/>
              <w:right w:val="single" w:sz="4" w:space="0" w:color="auto"/>
            </w:tcBorders>
            <w:shd w:val="clear" w:color="000000" w:fill="F2DCDB"/>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497"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21</w:t>
            </w:r>
          </w:p>
        </w:tc>
        <w:tc>
          <w:tcPr>
            <w:tcW w:w="150"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right"/>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428"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2</w:t>
            </w:r>
          </w:p>
        </w:tc>
        <w:tc>
          <w:tcPr>
            <w:tcW w:w="497"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38</w:t>
            </w:r>
          </w:p>
        </w:tc>
        <w:tc>
          <w:tcPr>
            <w:tcW w:w="150"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right"/>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317" w:type="dxa"/>
            <w:tcBorders>
              <w:top w:val="nil"/>
              <w:left w:val="nil"/>
              <w:bottom w:val="nil"/>
              <w:right w:val="single" w:sz="4" w:space="0" w:color="auto"/>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7</w:t>
            </w:r>
          </w:p>
        </w:tc>
        <w:tc>
          <w:tcPr>
            <w:tcW w:w="421" w:type="dxa"/>
            <w:tcBorders>
              <w:top w:val="nil"/>
              <w:left w:val="nil"/>
              <w:bottom w:val="nil"/>
              <w:right w:val="nil"/>
            </w:tcBorders>
            <w:shd w:val="clear" w:color="000000" w:fill="F2DCDB"/>
            <w:noWrap/>
            <w:vAlign w:val="bottom"/>
            <w:hideMark/>
          </w:tcPr>
          <w:p w:rsidR="00D350F7" w:rsidRPr="00D350F7" w:rsidRDefault="00D350F7" w:rsidP="00D350F7">
            <w:pPr>
              <w:spacing w:after="0" w:line="240" w:lineRule="auto"/>
              <w:jc w:val="right"/>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2</w:t>
            </w:r>
          </w:p>
        </w:tc>
        <w:tc>
          <w:tcPr>
            <w:tcW w:w="259" w:type="dxa"/>
            <w:tcBorders>
              <w:top w:val="nil"/>
              <w:left w:val="nil"/>
              <w:bottom w:val="nil"/>
              <w:right w:val="single" w:sz="4" w:space="0" w:color="auto"/>
            </w:tcBorders>
            <w:shd w:val="clear" w:color="000000" w:fill="F2DCDB"/>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 </w:t>
            </w:r>
          </w:p>
        </w:tc>
        <w:tc>
          <w:tcPr>
            <w:tcW w:w="497"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26</w:t>
            </w:r>
          </w:p>
        </w:tc>
        <w:tc>
          <w:tcPr>
            <w:tcW w:w="150"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right"/>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428"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8</w:t>
            </w:r>
          </w:p>
        </w:tc>
        <w:tc>
          <w:tcPr>
            <w:tcW w:w="497"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115</w:t>
            </w:r>
          </w:p>
        </w:tc>
        <w:tc>
          <w:tcPr>
            <w:tcW w:w="150"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right"/>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428" w:type="dxa"/>
            <w:tcBorders>
              <w:top w:val="nil"/>
              <w:left w:val="nil"/>
              <w:bottom w:val="nil"/>
              <w:right w:val="single" w:sz="4" w:space="0" w:color="auto"/>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7</w:t>
            </w:r>
          </w:p>
        </w:tc>
        <w:tc>
          <w:tcPr>
            <w:tcW w:w="346" w:type="dxa"/>
            <w:tcBorders>
              <w:top w:val="nil"/>
              <w:left w:val="nil"/>
              <w:bottom w:val="nil"/>
              <w:right w:val="nil"/>
            </w:tcBorders>
            <w:shd w:val="clear" w:color="000000" w:fill="E6B8B7"/>
            <w:noWrap/>
            <w:vAlign w:val="bottom"/>
            <w:hideMark/>
          </w:tcPr>
          <w:p w:rsidR="00D350F7" w:rsidRPr="00D350F7" w:rsidRDefault="00D350F7" w:rsidP="00D350F7">
            <w:pPr>
              <w:spacing w:after="0" w:line="240" w:lineRule="auto"/>
              <w:jc w:val="right"/>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4</w:t>
            </w:r>
          </w:p>
        </w:tc>
        <w:tc>
          <w:tcPr>
            <w:tcW w:w="368" w:type="dxa"/>
            <w:tcBorders>
              <w:top w:val="nil"/>
              <w:left w:val="nil"/>
              <w:bottom w:val="nil"/>
              <w:right w:val="single" w:sz="4" w:space="0" w:color="auto"/>
            </w:tcBorders>
            <w:shd w:val="clear" w:color="000000" w:fill="E6B8B7"/>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r>
      <w:tr w:rsidR="00D350F7" w:rsidRPr="00D350F7" w:rsidTr="00D350F7">
        <w:trPr>
          <w:trHeight w:val="300"/>
          <w:jc w:val="center"/>
        </w:trPr>
        <w:tc>
          <w:tcPr>
            <w:tcW w:w="759" w:type="dxa"/>
            <w:tcBorders>
              <w:top w:val="nil"/>
              <w:left w:val="single" w:sz="4" w:space="0" w:color="auto"/>
              <w:bottom w:val="nil"/>
              <w:right w:val="single" w:sz="4" w:space="0" w:color="auto"/>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Asp</w:t>
            </w:r>
          </w:p>
        </w:tc>
        <w:tc>
          <w:tcPr>
            <w:tcW w:w="497"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311</w:t>
            </w:r>
          </w:p>
        </w:tc>
        <w:tc>
          <w:tcPr>
            <w:tcW w:w="150"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right"/>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538"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17</w:t>
            </w:r>
          </w:p>
        </w:tc>
        <w:tc>
          <w:tcPr>
            <w:tcW w:w="497"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345</w:t>
            </w:r>
          </w:p>
        </w:tc>
        <w:tc>
          <w:tcPr>
            <w:tcW w:w="150"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right"/>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428" w:type="dxa"/>
            <w:tcBorders>
              <w:top w:val="nil"/>
              <w:left w:val="nil"/>
              <w:bottom w:val="nil"/>
              <w:right w:val="single" w:sz="4" w:space="0" w:color="auto"/>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11</w:t>
            </w:r>
          </w:p>
        </w:tc>
        <w:tc>
          <w:tcPr>
            <w:tcW w:w="346"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right"/>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1</w:t>
            </w:r>
          </w:p>
        </w:tc>
        <w:tc>
          <w:tcPr>
            <w:tcW w:w="368" w:type="dxa"/>
            <w:tcBorders>
              <w:top w:val="nil"/>
              <w:left w:val="nil"/>
              <w:bottom w:val="nil"/>
              <w:right w:val="single" w:sz="4" w:space="0" w:color="auto"/>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 </w:t>
            </w:r>
          </w:p>
        </w:tc>
        <w:tc>
          <w:tcPr>
            <w:tcW w:w="497"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349</w:t>
            </w:r>
          </w:p>
        </w:tc>
        <w:tc>
          <w:tcPr>
            <w:tcW w:w="150"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right"/>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428"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32</w:t>
            </w:r>
          </w:p>
        </w:tc>
        <w:tc>
          <w:tcPr>
            <w:tcW w:w="497"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271</w:t>
            </w:r>
          </w:p>
        </w:tc>
        <w:tc>
          <w:tcPr>
            <w:tcW w:w="150"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right"/>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428" w:type="dxa"/>
            <w:tcBorders>
              <w:top w:val="nil"/>
              <w:left w:val="nil"/>
              <w:bottom w:val="nil"/>
              <w:right w:val="single" w:sz="4" w:space="0" w:color="auto"/>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20</w:t>
            </w:r>
          </w:p>
        </w:tc>
        <w:tc>
          <w:tcPr>
            <w:tcW w:w="346"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right"/>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1</w:t>
            </w:r>
          </w:p>
        </w:tc>
        <w:tc>
          <w:tcPr>
            <w:tcW w:w="368" w:type="dxa"/>
            <w:tcBorders>
              <w:top w:val="nil"/>
              <w:left w:val="nil"/>
              <w:bottom w:val="nil"/>
              <w:right w:val="single" w:sz="4" w:space="0" w:color="auto"/>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 </w:t>
            </w:r>
          </w:p>
        </w:tc>
        <w:tc>
          <w:tcPr>
            <w:tcW w:w="497"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339</w:t>
            </w:r>
          </w:p>
        </w:tc>
        <w:tc>
          <w:tcPr>
            <w:tcW w:w="150"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right"/>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428"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52</w:t>
            </w:r>
          </w:p>
        </w:tc>
        <w:tc>
          <w:tcPr>
            <w:tcW w:w="497"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202</w:t>
            </w:r>
          </w:p>
        </w:tc>
        <w:tc>
          <w:tcPr>
            <w:tcW w:w="150"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right"/>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317" w:type="dxa"/>
            <w:tcBorders>
              <w:top w:val="nil"/>
              <w:left w:val="nil"/>
              <w:bottom w:val="nil"/>
              <w:right w:val="single" w:sz="4" w:space="0" w:color="auto"/>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59</w:t>
            </w:r>
          </w:p>
        </w:tc>
        <w:tc>
          <w:tcPr>
            <w:tcW w:w="421"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right"/>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1</w:t>
            </w:r>
          </w:p>
        </w:tc>
        <w:tc>
          <w:tcPr>
            <w:tcW w:w="259" w:type="dxa"/>
            <w:tcBorders>
              <w:top w:val="nil"/>
              <w:left w:val="nil"/>
              <w:bottom w:val="nil"/>
              <w:right w:val="single" w:sz="4" w:space="0" w:color="auto"/>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 </w:t>
            </w:r>
          </w:p>
        </w:tc>
        <w:tc>
          <w:tcPr>
            <w:tcW w:w="497"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411</w:t>
            </w:r>
          </w:p>
        </w:tc>
        <w:tc>
          <w:tcPr>
            <w:tcW w:w="150"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right"/>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428"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129</w:t>
            </w:r>
          </w:p>
        </w:tc>
        <w:tc>
          <w:tcPr>
            <w:tcW w:w="497"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531</w:t>
            </w:r>
          </w:p>
        </w:tc>
        <w:tc>
          <w:tcPr>
            <w:tcW w:w="150"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right"/>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428" w:type="dxa"/>
            <w:tcBorders>
              <w:top w:val="nil"/>
              <w:left w:val="nil"/>
              <w:bottom w:val="nil"/>
              <w:right w:val="single" w:sz="4" w:space="0" w:color="auto"/>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15</w:t>
            </w:r>
          </w:p>
        </w:tc>
        <w:tc>
          <w:tcPr>
            <w:tcW w:w="346"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right"/>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1</w:t>
            </w:r>
          </w:p>
        </w:tc>
        <w:tc>
          <w:tcPr>
            <w:tcW w:w="368" w:type="dxa"/>
            <w:tcBorders>
              <w:top w:val="nil"/>
              <w:left w:val="nil"/>
              <w:bottom w:val="nil"/>
              <w:right w:val="single" w:sz="4" w:space="0" w:color="auto"/>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 </w:t>
            </w:r>
          </w:p>
        </w:tc>
      </w:tr>
      <w:tr w:rsidR="00D350F7" w:rsidRPr="00D350F7" w:rsidTr="00D350F7">
        <w:trPr>
          <w:trHeight w:val="300"/>
          <w:jc w:val="center"/>
        </w:trPr>
        <w:tc>
          <w:tcPr>
            <w:tcW w:w="759" w:type="dxa"/>
            <w:tcBorders>
              <w:top w:val="nil"/>
              <w:left w:val="single" w:sz="4" w:space="0" w:color="auto"/>
              <w:bottom w:val="nil"/>
              <w:right w:val="single" w:sz="4" w:space="0" w:color="auto"/>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Cys</w:t>
            </w:r>
          </w:p>
        </w:tc>
        <w:tc>
          <w:tcPr>
            <w:tcW w:w="497"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0.2</w:t>
            </w:r>
          </w:p>
        </w:tc>
        <w:tc>
          <w:tcPr>
            <w:tcW w:w="150"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right"/>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538"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0.001</w:t>
            </w:r>
          </w:p>
        </w:tc>
        <w:tc>
          <w:tcPr>
            <w:tcW w:w="497"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1</w:t>
            </w:r>
          </w:p>
        </w:tc>
        <w:tc>
          <w:tcPr>
            <w:tcW w:w="150"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right"/>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428" w:type="dxa"/>
            <w:tcBorders>
              <w:top w:val="nil"/>
              <w:left w:val="nil"/>
              <w:bottom w:val="nil"/>
              <w:right w:val="single" w:sz="4" w:space="0" w:color="auto"/>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0.03</w:t>
            </w:r>
          </w:p>
        </w:tc>
        <w:tc>
          <w:tcPr>
            <w:tcW w:w="346" w:type="dxa"/>
            <w:tcBorders>
              <w:top w:val="nil"/>
              <w:left w:val="nil"/>
              <w:bottom w:val="nil"/>
              <w:right w:val="nil"/>
            </w:tcBorders>
            <w:shd w:val="clear" w:color="000000" w:fill="E6B8B7"/>
            <w:noWrap/>
            <w:vAlign w:val="bottom"/>
            <w:hideMark/>
          </w:tcPr>
          <w:p w:rsidR="00D350F7" w:rsidRPr="00D350F7" w:rsidRDefault="00D350F7" w:rsidP="00D350F7">
            <w:pPr>
              <w:spacing w:after="0" w:line="240" w:lineRule="auto"/>
              <w:jc w:val="right"/>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4</w:t>
            </w:r>
          </w:p>
        </w:tc>
        <w:tc>
          <w:tcPr>
            <w:tcW w:w="368" w:type="dxa"/>
            <w:tcBorders>
              <w:top w:val="nil"/>
              <w:left w:val="nil"/>
              <w:bottom w:val="nil"/>
              <w:right w:val="single" w:sz="4" w:space="0" w:color="auto"/>
            </w:tcBorders>
            <w:shd w:val="clear" w:color="000000" w:fill="E6B8B7"/>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497"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0.2</w:t>
            </w:r>
          </w:p>
        </w:tc>
        <w:tc>
          <w:tcPr>
            <w:tcW w:w="150"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right"/>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428"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0.02</w:t>
            </w:r>
          </w:p>
        </w:tc>
        <w:tc>
          <w:tcPr>
            <w:tcW w:w="497"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1</w:t>
            </w:r>
          </w:p>
        </w:tc>
        <w:tc>
          <w:tcPr>
            <w:tcW w:w="150"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right"/>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428" w:type="dxa"/>
            <w:tcBorders>
              <w:top w:val="nil"/>
              <w:left w:val="nil"/>
              <w:bottom w:val="nil"/>
              <w:right w:val="single" w:sz="4" w:space="0" w:color="auto"/>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0.04</w:t>
            </w:r>
          </w:p>
        </w:tc>
        <w:tc>
          <w:tcPr>
            <w:tcW w:w="346" w:type="dxa"/>
            <w:tcBorders>
              <w:top w:val="nil"/>
              <w:left w:val="nil"/>
              <w:bottom w:val="nil"/>
              <w:right w:val="nil"/>
            </w:tcBorders>
            <w:shd w:val="clear" w:color="000000" w:fill="E6B8B7"/>
            <w:noWrap/>
            <w:vAlign w:val="bottom"/>
            <w:hideMark/>
          </w:tcPr>
          <w:p w:rsidR="00D350F7" w:rsidRPr="00D350F7" w:rsidRDefault="00D350F7" w:rsidP="00D350F7">
            <w:pPr>
              <w:spacing w:after="0" w:line="240" w:lineRule="auto"/>
              <w:jc w:val="right"/>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3</w:t>
            </w:r>
          </w:p>
        </w:tc>
        <w:tc>
          <w:tcPr>
            <w:tcW w:w="368" w:type="dxa"/>
            <w:tcBorders>
              <w:top w:val="nil"/>
              <w:left w:val="nil"/>
              <w:bottom w:val="nil"/>
              <w:right w:val="single" w:sz="4" w:space="0" w:color="auto"/>
            </w:tcBorders>
            <w:shd w:val="clear" w:color="000000" w:fill="E6B8B7"/>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497"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0.2</w:t>
            </w:r>
          </w:p>
        </w:tc>
        <w:tc>
          <w:tcPr>
            <w:tcW w:w="150"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right"/>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428"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0.04</w:t>
            </w:r>
          </w:p>
        </w:tc>
        <w:tc>
          <w:tcPr>
            <w:tcW w:w="497"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1</w:t>
            </w:r>
          </w:p>
        </w:tc>
        <w:tc>
          <w:tcPr>
            <w:tcW w:w="150"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right"/>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317" w:type="dxa"/>
            <w:tcBorders>
              <w:top w:val="nil"/>
              <w:left w:val="nil"/>
              <w:bottom w:val="nil"/>
              <w:right w:val="single" w:sz="4" w:space="0" w:color="auto"/>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0.1</w:t>
            </w:r>
          </w:p>
        </w:tc>
        <w:tc>
          <w:tcPr>
            <w:tcW w:w="421" w:type="dxa"/>
            <w:tcBorders>
              <w:top w:val="nil"/>
              <w:left w:val="nil"/>
              <w:bottom w:val="nil"/>
              <w:right w:val="nil"/>
            </w:tcBorders>
            <w:shd w:val="clear" w:color="000000" w:fill="E6B8B7"/>
            <w:noWrap/>
            <w:vAlign w:val="bottom"/>
            <w:hideMark/>
          </w:tcPr>
          <w:p w:rsidR="00D350F7" w:rsidRPr="00D350F7" w:rsidRDefault="00D350F7" w:rsidP="00D350F7">
            <w:pPr>
              <w:spacing w:after="0" w:line="240" w:lineRule="auto"/>
              <w:jc w:val="right"/>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3</w:t>
            </w:r>
          </w:p>
        </w:tc>
        <w:tc>
          <w:tcPr>
            <w:tcW w:w="259" w:type="dxa"/>
            <w:tcBorders>
              <w:top w:val="nil"/>
              <w:left w:val="nil"/>
              <w:bottom w:val="nil"/>
              <w:right w:val="single" w:sz="4" w:space="0" w:color="auto"/>
            </w:tcBorders>
            <w:shd w:val="clear" w:color="000000" w:fill="E6B8B7"/>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 </w:t>
            </w:r>
          </w:p>
        </w:tc>
        <w:tc>
          <w:tcPr>
            <w:tcW w:w="497"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0.2</w:t>
            </w:r>
          </w:p>
        </w:tc>
        <w:tc>
          <w:tcPr>
            <w:tcW w:w="150"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right"/>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428"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0.05</w:t>
            </w:r>
          </w:p>
        </w:tc>
        <w:tc>
          <w:tcPr>
            <w:tcW w:w="497"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2</w:t>
            </w:r>
          </w:p>
        </w:tc>
        <w:tc>
          <w:tcPr>
            <w:tcW w:w="150"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right"/>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428" w:type="dxa"/>
            <w:tcBorders>
              <w:top w:val="nil"/>
              <w:left w:val="nil"/>
              <w:bottom w:val="nil"/>
              <w:right w:val="single" w:sz="4" w:space="0" w:color="auto"/>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0.1</w:t>
            </w:r>
          </w:p>
        </w:tc>
        <w:tc>
          <w:tcPr>
            <w:tcW w:w="346" w:type="dxa"/>
            <w:tcBorders>
              <w:top w:val="nil"/>
              <w:left w:val="nil"/>
              <w:bottom w:val="nil"/>
              <w:right w:val="nil"/>
            </w:tcBorders>
            <w:shd w:val="clear" w:color="000000" w:fill="DA9694"/>
            <w:noWrap/>
            <w:vAlign w:val="bottom"/>
            <w:hideMark/>
          </w:tcPr>
          <w:p w:rsidR="00D350F7" w:rsidRPr="00D350F7" w:rsidRDefault="00D350F7" w:rsidP="00D350F7">
            <w:pPr>
              <w:spacing w:after="0" w:line="240" w:lineRule="auto"/>
              <w:jc w:val="right"/>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8</w:t>
            </w:r>
          </w:p>
        </w:tc>
        <w:tc>
          <w:tcPr>
            <w:tcW w:w="368" w:type="dxa"/>
            <w:tcBorders>
              <w:top w:val="nil"/>
              <w:left w:val="nil"/>
              <w:bottom w:val="nil"/>
              <w:right w:val="single" w:sz="4" w:space="0" w:color="auto"/>
            </w:tcBorders>
            <w:shd w:val="clear" w:color="000000" w:fill="DA9694"/>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r>
      <w:tr w:rsidR="00D350F7" w:rsidRPr="00D350F7" w:rsidTr="00D350F7">
        <w:trPr>
          <w:trHeight w:val="315"/>
          <w:jc w:val="center"/>
        </w:trPr>
        <w:tc>
          <w:tcPr>
            <w:tcW w:w="759" w:type="dxa"/>
            <w:tcBorders>
              <w:top w:val="nil"/>
              <w:left w:val="single" w:sz="4" w:space="0" w:color="auto"/>
              <w:bottom w:val="nil"/>
              <w:right w:val="single" w:sz="4" w:space="0" w:color="auto"/>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GABA</w:t>
            </w:r>
          </w:p>
        </w:tc>
        <w:tc>
          <w:tcPr>
            <w:tcW w:w="497"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2</w:t>
            </w:r>
          </w:p>
        </w:tc>
        <w:tc>
          <w:tcPr>
            <w:tcW w:w="150"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right"/>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538"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0.1</w:t>
            </w:r>
          </w:p>
        </w:tc>
        <w:tc>
          <w:tcPr>
            <w:tcW w:w="497"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10</w:t>
            </w:r>
          </w:p>
        </w:tc>
        <w:tc>
          <w:tcPr>
            <w:tcW w:w="150"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right"/>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428" w:type="dxa"/>
            <w:tcBorders>
              <w:top w:val="nil"/>
              <w:left w:val="nil"/>
              <w:bottom w:val="nil"/>
              <w:right w:val="single" w:sz="4" w:space="0" w:color="auto"/>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0.4</w:t>
            </w:r>
          </w:p>
        </w:tc>
        <w:tc>
          <w:tcPr>
            <w:tcW w:w="346" w:type="dxa"/>
            <w:tcBorders>
              <w:top w:val="nil"/>
              <w:left w:val="nil"/>
              <w:bottom w:val="nil"/>
              <w:right w:val="nil"/>
            </w:tcBorders>
            <w:shd w:val="clear" w:color="000000" w:fill="E6B8B7"/>
            <w:noWrap/>
            <w:vAlign w:val="bottom"/>
            <w:hideMark/>
          </w:tcPr>
          <w:p w:rsidR="00D350F7" w:rsidRPr="00D350F7" w:rsidRDefault="00D350F7" w:rsidP="00D350F7">
            <w:pPr>
              <w:spacing w:after="0" w:line="240" w:lineRule="auto"/>
              <w:jc w:val="right"/>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4</w:t>
            </w:r>
          </w:p>
        </w:tc>
        <w:tc>
          <w:tcPr>
            <w:tcW w:w="368" w:type="dxa"/>
            <w:tcBorders>
              <w:top w:val="nil"/>
              <w:left w:val="nil"/>
              <w:bottom w:val="nil"/>
              <w:right w:val="single" w:sz="4" w:space="0" w:color="auto"/>
            </w:tcBorders>
            <w:shd w:val="clear" w:color="000000" w:fill="E6B8B7"/>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497"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3</w:t>
            </w:r>
          </w:p>
        </w:tc>
        <w:tc>
          <w:tcPr>
            <w:tcW w:w="150"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right"/>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428"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0.3</w:t>
            </w:r>
          </w:p>
        </w:tc>
        <w:tc>
          <w:tcPr>
            <w:tcW w:w="497"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12</w:t>
            </w:r>
          </w:p>
        </w:tc>
        <w:tc>
          <w:tcPr>
            <w:tcW w:w="150"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right"/>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428" w:type="dxa"/>
            <w:tcBorders>
              <w:top w:val="nil"/>
              <w:left w:val="nil"/>
              <w:bottom w:val="nil"/>
              <w:right w:val="single" w:sz="4" w:space="0" w:color="auto"/>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1</w:t>
            </w:r>
          </w:p>
        </w:tc>
        <w:tc>
          <w:tcPr>
            <w:tcW w:w="346" w:type="dxa"/>
            <w:tcBorders>
              <w:top w:val="nil"/>
              <w:left w:val="nil"/>
              <w:bottom w:val="nil"/>
              <w:right w:val="nil"/>
            </w:tcBorders>
            <w:shd w:val="clear" w:color="000000" w:fill="E6B8B7"/>
            <w:noWrap/>
            <w:vAlign w:val="bottom"/>
            <w:hideMark/>
          </w:tcPr>
          <w:p w:rsidR="00D350F7" w:rsidRPr="00D350F7" w:rsidRDefault="00D350F7" w:rsidP="00D350F7">
            <w:pPr>
              <w:spacing w:after="0" w:line="240" w:lineRule="auto"/>
              <w:jc w:val="right"/>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4</w:t>
            </w:r>
          </w:p>
        </w:tc>
        <w:tc>
          <w:tcPr>
            <w:tcW w:w="368" w:type="dxa"/>
            <w:tcBorders>
              <w:top w:val="nil"/>
              <w:left w:val="nil"/>
              <w:bottom w:val="nil"/>
              <w:right w:val="single" w:sz="4" w:space="0" w:color="auto"/>
            </w:tcBorders>
            <w:shd w:val="clear" w:color="000000" w:fill="E6B8B7"/>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497"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2</w:t>
            </w:r>
          </w:p>
        </w:tc>
        <w:tc>
          <w:tcPr>
            <w:tcW w:w="150"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right"/>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428"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0.2</w:t>
            </w:r>
          </w:p>
        </w:tc>
        <w:tc>
          <w:tcPr>
            <w:tcW w:w="497"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7</w:t>
            </w:r>
          </w:p>
        </w:tc>
        <w:tc>
          <w:tcPr>
            <w:tcW w:w="150"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right"/>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317" w:type="dxa"/>
            <w:tcBorders>
              <w:top w:val="nil"/>
              <w:left w:val="nil"/>
              <w:bottom w:val="nil"/>
              <w:right w:val="single" w:sz="4" w:space="0" w:color="auto"/>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1</w:t>
            </w:r>
          </w:p>
        </w:tc>
        <w:tc>
          <w:tcPr>
            <w:tcW w:w="421" w:type="dxa"/>
            <w:tcBorders>
              <w:top w:val="nil"/>
              <w:left w:val="nil"/>
              <w:bottom w:val="nil"/>
              <w:right w:val="nil"/>
            </w:tcBorders>
            <w:shd w:val="clear" w:color="000000" w:fill="E6B8B7"/>
            <w:noWrap/>
            <w:vAlign w:val="bottom"/>
            <w:hideMark/>
          </w:tcPr>
          <w:p w:rsidR="00D350F7" w:rsidRPr="00D350F7" w:rsidRDefault="00D350F7" w:rsidP="00D350F7">
            <w:pPr>
              <w:spacing w:after="0" w:line="240" w:lineRule="auto"/>
              <w:jc w:val="right"/>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3</w:t>
            </w:r>
          </w:p>
        </w:tc>
        <w:tc>
          <w:tcPr>
            <w:tcW w:w="259" w:type="dxa"/>
            <w:tcBorders>
              <w:top w:val="nil"/>
              <w:left w:val="nil"/>
              <w:bottom w:val="nil"/>
              <w:right w:val="single" w:sz="4" w:space="0" w:color="auto"/>
            </w:tcBorders>
            <w:shd w:val="clear" w:color="000000" w:fill="E6B8B7"/>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497"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2</w:t>
            </w:r>
          </w:p>
        </w:tc>
        <w:tc>
          <w:tcPr>
            <w:tcW w:w="150"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right"/>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428"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1</w:t>
            </w:r>
          </w:p>
        </w:tc>
        <w:tc>
          <w:tcPr>
            <w:tcW w:w="497"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16</w:t>
            </w:r>
          </w:p>
        </w:tc>
        <w:tc>
          <w:tcPr>
            <w:tcW w:w="150"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right"/>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428" w:type="dxa"/>
            <w:tcBorders>
              <w:top w:val="nil"/>
              <w:left w:val="nil"/>
              <w:bottom w:val="nil"/>
              <w:right w:val="single" w:sz="4" w:space="0" w:color="auto"/>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1</w:t>
            </w:r>
          </w:p>
        </w:tc>
        <w:tc>
          <w:tcPr>
            <w:tcW w:w="346" w:type="dxa"/>
            <w:tcBorders>
              <w:top w:val="nil"/>
              <w:left w:val="nil"/>
              <w:bottom w:val="nil"/>
              <w:right w:val="nil"/>
            </w:tcBorders>
            <w:shd w:val="clear" w:color="000000" w:fill="DA9694"/>
            <w:noWrap/>
            <w:vAlign w:val="bottom"/>
            <w:hideMark/>
          </w:tcPr>
          <w:p w:rsidR="00D350F7" w:rsidRPr="00D350F7" w:rsidRDefault="00D350F7" w:rsidP="00D350F7">
            <w:pPr>
              <w:spacing w:after="0" w:line="240" w:lineRule="auto"/>
              <w:jc w:val="right"/>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6</w:t>
            </w:r>
          </w:p>
        </w:tc>
        <w:tc>
          <w:tcPr>
            <w:tcW w:w="368" w:type="dxa"/>
            <w:tcBorders>
              <w:top w:val="nil"/>
              <w:left w:val="nil"/>
              <w:bottom w:val="nil"/>
              <w:right w:val="single" w:sz="4" w:space="0" w:color="auto"/>
            </w:tcBorders>
            <w:shd w:val="clear" w:color="000000" w:fill="DA9694"/>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r>
      <w:tr w:rsidR="00D350F7" w:rsidRPr="00D350F7" w:rsidTr="00D350F7">
        <w:trPr>
          <w:trHeight w:val="315"/>
          <w:jc w:val="center"/>
        </w:trPr>
        <w:tc>
          <w:tcPr>
            <w:tcW w:w="759" w:type="dxa"/>
            <w:tcBorders>
              <w:top w:val="nil"/>
              <w:left w:val="single" w:sz="4" w:space="0" w:color="auto"/>
              <w:bottom w:val="nil"/>
              <w:right w:val="single" w:sz="4" w:space="0" w:color="auto"/>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Gln</w:t>
            </w:r>
          </w:p>
        </w:tc>
        <w:tc>
          <w:tcPr>
            <w:tcW w:w="497"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42</w:t>
            </w:r>
          </w:p>
        </w:tc>
        <w:tc>
          <w:tcPr>
            <w:tcW w:w="150"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right"/>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538"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6</w:t>
            </w:r>
          </w:p>
        </w:tc>
        <w:tc>
          <w:tcPr>
            <w:tcW w:w="497"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277</w:t>
            </w:r>
          </w:p>
        </w:tc>
        <w:tc>
          <w:tcPr>
            <w:tcW w:w="150"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right"/>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428" w:type="dxa"/>
            <w:tcBorders>
              <w:top w:val="nil"/>
              <w:left w:val="nil"/>
              <w:bottom w:val="nil"/>
              <w:right w:val="single" w:sz="4" w:space="0" w:color="auto"/>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19</w:t>
            </w:r>
          </w:p>
        </w:tc>
        <w:tc>
          <w:tcPr>
            <w:tcW w:w="346" w:type="dxa"/>
            <w:tcBorders>
              <w:top w:val="nil"/>
              <w:left w:val="nil"/>
              <w:bottom w:val="nil"/>
              <w:right w:val="nil"/>
            </w:tcBorders>
            <w:shd w:val="clear" w:color="000000" w:fill="DA9694"/>
            <w:noWrap/>
            <w:vAlign w:val="bottom"/>
            <w:hideMark/>
          </w:tcPr>
          <w:p w:rsidR="00D350F7" w:rsidRPr="00D350F7" w:rsidRDefault="00D350F7" w:rsidP="00D350F7">
            <w:pPr>
              <w:spacing w:after="0" w:line="240" w:lineRule="auto"/>
              <w:jc w:val="right"/>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7</w:t>
            </w:r>
          </w:p>
        </w:tc>
        <w:tc>
          <w:tcPr>
            <w:tcW w:w="368" w:type="dxa"/>
            <w:tcBorders>
              <w:top w:val="nil"/>
              <w:left w:val="nil"/>
              <w:bottom w:val="nil"/>
              <w:right w:val="single" w:sz="4" w:space="0" w:color="auto"/>
            </w:tcBorders>
            <w:shd w:val="clear" w:color="000000" w:fill="DA9694"/>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497"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77</w:t>
            </w:r>
          </w:p>
        </w:tc>
        <w:tc>
          <w:tcPr>
            <w:tcW w:w="150"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right"/>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428"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12</w:t>
            </w:r>
          </w:p>
        </w:tc>
        <w:tc>
          <w:tcPr>
            <w:tcW w:w="497"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275</w:t>
            </w:r>
          </w:p>
        </w:tc>
        <w:tc>
          <w:tcPr>
            <w:tcW w:w="150"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right"/>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428" w:type="dxa"/>
            <w:tcBorders>
              <w:top w:val="nil"/>
              <w:left w:val="nil"/>
              <w:bottom w:val="nil"/>
              <w:right w:val="single" w:sz="4" w:space="0" w:color="auto"/>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11</w:t>
            </w:r>
          </w:p>
        </w:tc>
        <w:tc>
          <w:tcPr>
            <w:tcW w:w="346" w:type="dxa"/>
            <w:tcBorders>
              <w:top w:val="nil"/>
              <w:left w:val="nil"/>
              <w:bottom w:val="nil"/>
              <w:right w:val="nil"/>
            </w:tcBorders>
            <w:shd w:val="clear" w:color="000000" w:fill="E6B8B7"/>
            <w:noWrap/>
            <w:vAlign w:val="bottom"/>
            <w:hideMark/>
          </w:tcPr>
          <w:p w:rsidR="00D350F7" w:rsidRPr="00D350F7" w:rsidRDefault="00D350F7" w:rsidP="00D350F7">
            <w:pPr>
              <w:spacing w:after="0" w:line="240" w:lineRule="auto"/>
              <w:jc w:val="right"/>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4</w:t>
            </w:r>
          </w:p>
        </w:tc>
        <w:tc>
          <w:tcPr>
            <w:tcW w:w="368" w:type="dxa"/>
            <w:tcBorders>
              <w:top w:val="nil"/>
              <w:left w:val="nil"/>
              <w:bottom w:val="nil"/>
              <w:right w:val="single" w:sz="4" w:space="0" w:color="auto"/>
            </w:tcBorders>
            <w:shd w:val="clear" w:color="000000" w:fill="E6B8B7"/>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497"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55</w:t>
            </w:r>
          </w:p>
        </w:tc>
        <w:tc>
          <w:tcPr>
            <w:tcW w:w="150"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right"/>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428"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5</w:t>
            </w:r>
          </w:p>
        </w:tc>
        <w:tc>
          <w:tcPr>
            <w:tcW w:w="497"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200</w:t>
            </w:r>
          </w:p>
        </w:tc>
        <w:tc>
          <w:tcPr>
            <w:tcW w:w="150"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right"/>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317" w:type="dxa"/>
            <w:tcBorders>
              <w:top w:val="nil"/>
              <w:left w:val="nil"/>
              <w:bottom w:val="nil"/>
              <w:right w:val="single" w:sz="4" w:space="0" w:color="auto"/>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86</w:t>
            </w:r>
          </w:p>
        </w:tc>
        <w:tc>
          <w:tcPr>
            <w:tcW w:w="421" w:type="dxa"/>
            <w:tcBorders>
              <w:top w:val="nil"/>
              <w:left w:val="nil"/>
              <w:bottom w:val="nil"/>
              <w:right w:val="nil"/>
            </w:tcBorders>
            <w:shd w:val="clear" w:color="000000" w:fill="E6B8B7"/>
            <w:noWrap/>
            <w:vAlign w:val="bottom"/>
            <w:hideMark/>
          </w:tcPr>
          <w:p w:rsidR="00D350F7" w:rsidRPr="00D350F7" w:rsidRDefault="00D350F7" w:rsidP="00D350F7">
            <w:pPr>
              <w:spacing w:after="0" w:line="240" w:lineRule="auto"/>
              <w:jc w:val="right"/>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4</w:t>
            </w:r>
          </w:p>
        </w:tc>
        <w:tc>
          <w:tcPr>
            <w:tcW w:w="259" w:type="dxa"/>
            <w:tcBorders>
              <w:top w:val="nil"/>
              <w:left w:val="nil"/>
              <w:bottom w:val="nil"/>
              <w:right w:val="single" w:sz="4" w:space="0" w:color="auto"/>
            </w:tcBorders>
            <w:shd w:val="clear" w:color="000000" w:fill="E6B8B7"/>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 </w:t>
            </w:r>
          </w:p>
        </w:tc>
        <w:tc>
          <w:tcPr>
            <w:tcW w:w="497"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67</w:t>
            </w:r>
          </w:p>
        </w:tc>
        <w:tc>
          <w:tcPr>
            <w:tcW w:w="150"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right"/>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428"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30</w:t>
            </w:r>
          </w:p>
        </w:tc>
        <w:tc>
          <w:tcPr>
            <w:tcW w:w="497"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435</w:t>
            </w:r>
          </w:p>
        </w:tc>
        <w:tc>
          <w:tcPr>
            <w:tcW w:w="150"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right"/>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428" w:type="dxa"/>
            <w:tcBorders>
              <w:top w:val="nil"/>
              <w:left w:val="nil"/>
              <w:bottom w:val="nil"/>
              <w:right w:val="single" w:sz="4" w:space="0" w:color="auto"/>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47</w:t>
            </w:r>
          </w:p>
        </w:tc>
        <w:tc>
          <w:tcPr>
            <w:tcW w:w="346" w:type="dxa"/>
            <w:tcBorders>
              <w:top w:val="nil"/>
              <w:left w:val="nil"/>
              <w:bottom w:val="nil"/>
              <w:right w:val="nil"/>
            </w:tcBorders>
            <w:shd w:val="clear" w:color="000000" w:fill="DA9694"/>
            <w:noWrap/>
            <w:vAlign w:val="bottom"/>
            <w:hideMark/>
          </w:tcPr>
          <w:p w:rsidR="00D350F7" w:rsidRPr="00D350F7" w:rsidRDefault="00D350F7" w:rsidP="00D350F7">
            <w:pPr>
              <w:spacing w:after="0" w:line="240" w:lineRule="auto"/>
              <w:jc w:val="right"/>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7</w:t>
            </w:r>
          </w:p>
        </w:tc>
        <w:tc>
          <w:tcPr>
            <w:tcW w:w="368" w:type="dxa"/>
            <w:tcBorders>
              <w:top w:val="nil"/>
              <w:left w:val="nil"/>
              <w:bottom w:val="nil"/>
              <w:right w:val="single" w:sz="4" w:space="0" w:color="auto"/>
            </w:tcBorders>
            <w:shd w:val="clear" w:color="000000" w:fill="DA9694"/>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r>
      <w:tr w:rsidR="00D350F7" w:rsidRPr="00D350F7" w:rsidTr="00D350F7">
        <w:trPr>
          <w:trHeight w:val="300"/>
          <w:jc w:val="center"/>
        </w:trPr>
        <w:tc>
          <w:tcPr>
            <w:tcW w:w="759" w:type="dxa"/>
            <w:tcBorders>
              <w:top w:val="nil"/>
              <w:left w:val="single" w:sz="4" w:space="0" w:color="auto"/>
              <w:bottom w:val="nil"/>
              <w:right w:val="single" w:sz="4" w:space="0" w:color="auto"/>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 xml:space="preserve">Glu </w:t>
            </w:r>
          </w:p>
        </w:tc>
        <w:tc>
          <w:tcPr>
            <w:tcW w:w="497"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245</w:t>
            </w:r>
          </w:p>
        </w:tc>
        <w:tc>
          <w:tcPr>
            <w:tcW w:w="150"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right"/>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538"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14</w:t>
            </w:r>
          </w:p>
        </w:tc>
        <w:tc>
          <w:tcPr>
            <w:tcW w:w="497"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288</w:t>
            </w:r>
          </w:p>
        </w:tc>
        <w:tc>
          <w:tcPr>
            <w:tcW w:w="150"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right"/>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428" w:type="dxa"/>
            <w:tcBorders>
              <w:top w:val="nil"/>
              <w:left w:val="nil"/>
              <w:bottom w:val="nil"/>
              <w:right w:val="single" w:sz="4" w:space="0" w:color="auto"/>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19</w:t>
            </w:r>
          </w:p>
        </w:tc>
        <w:tc>
          <w:tcPr>
            <w:tcW w:w="346"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right"/>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1</w:t>
            </w:r>
          </w:p>
        </w:tc>
        <w:tc>
          <w:tcPr>
            <w:tcW w:w="368" w:type="dxa"/>
            <w:tcBorders>
              <w:top w:val="nil"/>
              <w:left w:val="nil"/>
              <w:bottom w:val="nil"/>
              <w:right w:val="single" w:sz="4" w:space="0" w:color="auto"/>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 </w:t>
            </w:r>
          </w:p>
        </w:tc>
        <w:tc>
          <w:tcPr>
            <w:tcW w:w="497"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244</w:t>
            </w:r>
          </w:p>
        </w:tc>
        <w:tc>
          <w:tcPr>
            <w:tcW w:w="150"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right"/>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428"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38</w:t>
            </w:r>
          </w:p>
        </w:tc>
        <w:tc>
          <w:tcPr>
            <w:tcW w:w="497"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221</w:t>
            </w:r>
          </w:p>
        </w:tc>
        <w:tc>
          <w:tcPr>
            <w:tcW w:w="150"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right"/>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428" w:type="dxa"/>
            <w:tcBorders>
              <w:top w:val="nil"/>
              <w:left w:val="nil"/>
              <w:bottom w:val="nil"/>
              <w:right w:val="single" w:sz="4" w:space="0" w:color="auto"/>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17</w:t>
            </w:r>
          </w:p>
        </w:tc>
        <w:tc>
          <w:tcPr>
            <w:tcW w:w="346"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right"/>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1</w:t>
            </w:r>
          </w:p>
        </w:tc>
        <w:tc>
          <w:tcPr>
            <w:tcW w:w="368" w:type="dxa"/>
            <w:tcBorders>
              <w:top w:val="nil"/>
              <w:left w:val="nil"/>
              <w:bottom w:val="nil"/>
              <w:right w:val="single" w:sz="4" w:space="0" w:color="auto"/>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 </w:t>
            </w:r>
          </w:p>
        </w:tc>
        <w:tc>
          <w:tcPr>
            <w:tcW w:w="497"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252</w:t>
            </w:r>
          </w:p>
        </w:tc>
        <w:tc>
          <w:tcPr>
            <w:tcW w:w="150"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right"/>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428"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51</w:t>
            </w:r>
          </w:p>
        </w:tc>
        <w:tc>
          <w:tcPr>
            <w:tcW w:w="497"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170</w:t>
            </w:r>
          </w:p>
        </w:tc>
        <w:tc>
          <w:tcPr>
            <w:tcW w:w="150"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right"/>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317" w:type="dxa"/>
            <w:tcBorders>
              <w:top w:val="nil"/>
              <w:left w:val="nil"/>
              <w:bottom w:val="nil"/>
              <w:right w:val="single" w:sz="4" w:space="0" w:color="auto"/>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45</w:t>
            </w:r>
          </w:p>
        </w:tc>
        <w:tc>
          <w:tcPr>
            <w:tcW w:w="421"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right"/>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1</w:t>
            </w:r>
          </w:p>
        </w:tc>
        <w:tc>
          <w:tcPr>
            <w:tcW w:w="259" w:type="dxa"/>
            <w:tcBorders>
              <w:top w:val="nil"/>
              <w:left w:val="nil"/>
              <w:bottom w:val="nil"/>
              <w:right w:val="single" w:sz="4" w:space="0" w:color="auto"/>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 </w:t>
            </w:r>
          </w:p>
        </w:tc>
        <w:tc>
          <w:tcPr>
            <w:tcW w:w="497"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283</w:t>
            </w:r>
          </w:p>
        </w:tc>
        <w:tc>
          <w:tcPr>
            <w:tcW w:w="150"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right"/>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428"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108</w:t>
            </w:r>
          </w:p>
        </w:tc>
        <w:tc>
          <w:tcPr>
            <w:tcW w:w="497"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466</w:t>
            </w:r>
          </w:p>
        </w:tc>
        <w:tc>
          <w:tcPr>
            <w:tcW w:w="150"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right"/>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428" w:type="dxa"/>
            <w:tcBorders>
              <w:top w:val="nil"/>
              <w:left w:val="nil"/>
              <w:bottom w:val="nil"/>
              <w:right w:val="single" w:sz="4" w:space="0" w:color="auto"/>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31</w:t>
            </w:r>
          </w:p>
        </w:tc>
        <w:tc>
          <w:tcPr>
            <w:tcW w:w="346" w:type="dxa"/>
            <w:tcBorders>
              <w:top w:val="nil"/>
              <w:left w:val="nil"/>
              <w:bottom w:val="nil"/>
              <w:right w:val="nil"/>
            </w:tcBorders>
            <w:shd w:val="clear" w:color="000000" w:fill="F2DCDB"/>
            <w:noWrap/>
            <w:vAlign w:val="bottom"/>
            <w:hideMark/>
          </w:tcPr>
          <w:p w:rsidR="00D350F7" w:rsidRPr="00D350F7" w:rsidRDefault="00D350F7" w:rsidP="00D350F7">
            <w:pPr>
              <w:spacing w:after="0" w:line="240" w:lineRule="auto"/>
              <w:jc w:val="right"/>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2</w:t>
            </w:r>
          </w:p>
        </w:tc>
        <w:tc>
          <w:tcPr>
            <w:tcW w:w="368" w:type="dxa"/>
            <w:tcBorders>
              <w:top w:val="nil"/>
              <w:left w:val="nil"/>
              <w:bottom w:val="nil"/>
              <w:right w:val="single" w:sz="4" w:space="0" w:color="auto"/>
            </w:tcBorders>
            <w:shd w:val="clear" w:color="000000" w:fill="F2DCDB"/>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 </w:t>
            </w:r>
          </w:p>
        </w:tc>
      </w:tr>
      <w:tr w:rsidR="00D350F7" w:rsidRPr="00D350F7" w:rsidTr="00D350F7">
        <w:trPr>
          <w:trHeight w:val="300"/>
          <w:jc w:val="center"/>
        </w:trPr>
        <w:tc>
          <w:tcPr>
            <w:tcW w:w="759" w:type="dxa"/>
            <w:tcBorders>
              <w:top w:val="nil"/>
              <w:left w:val="single" w:sz="4" w:space="0" w:color="auto"/>
              <w:bottom w:val="nil"/>
              <w:right w:val="single" w:sz="4" w:space="0" w:color="auto"/>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Gly</w:t>
            </w:r>
          </w:p>
        </w:tc>
        <w:tc>
          <w:tcPr>
            <w:tcW w:w="497"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22</w:t>
            </w:r>
          </w:p>
        </w:tc>
        <w:tc>
          <w:tcPr>
            <w:tcW w:w="150"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right"/>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538"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2</w:t>
            </w:r>
          </w:p>
        </w:tc>
        <w:tc>
          <w:tcPr>
            <w:tcW w:w="497"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12</w:t>
            </w:r>
          </w:p>
        </w:tc>
        <w:tc>
          <w:tcPr>
            <w:tcW w:w="150"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right"/>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428" w:type="dxa"/>
            <w:tcBorders>
              <w:top w:val="nil"/>
              <w:left w:val="nil"/>
              <w:bottom w:val="nil"/>
              <w:right w:val="single" w:sz="4" w:space="0" w:color="auto"/>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1</w:t>
            </w:r>
          </w:p>
        </w:tc>
        <w:tc>
          <w:tcPr>
            <w:tcW w:w="346"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right"/>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1</w:t>
            </w:r>
          </w:p>
        </w:tc>
        <w:tc>
          <w:tcPr>
            <w:tcW w:w="368" w:type="dxa"/>
            <w:tcBorders>
              <w:top w:val="nil"/>
              <w:left w:val="nil"/>
              <w:bottom w:val="nil"/>
              <w:right w:val="single" w:sz="4" w:space="0" w:color="auto"/>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 </w:t>
            </w:r>
          </w:p>
        </w:tc>
        <w:tc>
          <w:tcPr>
            <w:tcW w:w="497"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16</w:t>
            </w:r>
          </w:p>
        </w:tc>
        <w:tc>
          <w:tcPr>
            <w:tcW w:w="150"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right"/>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428"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2</w:t>
            </w:r>
          </w:p>
        </w:tc>
        <w:tc>
          <w:tcPr>
            <w:tcW w:w="497"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13</w:t>
            </w:r>
          </w:p>
        </w:tc>
        <w:tc>
          <w:tcPr>
            <w:tcW w:w="150"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right"/>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428" w:type="dxa"/>
            <w:tcBorders>
              <w:top w:val="nil"/>
              <w:left w:val="nil"/>
              <w:bottom w:val="nil"/>
              <w:right w:val="single" w:sz="4" w:space="0" w:color="auto"/>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1</w:t>
            </w:r>
          </w:p>
        </w:tc>
        <w:tc>
          <w:tcPr>
            <w:tcW w:w="346"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right"/>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1</w:t>
            </w:r>
          </w:p>
        </w:tc>
        <w:tc>
          <w:tcPr>
            <w:tcW w:w="368" w:type="dxa"/>
            <w:tcBorders>
              <w:top w:val="nil"/>
              <w:left w:val="nil"/>
              <w:bottom w:val="nil"/>
              <w:right w:val="single" w:sz="4" w:space="0" w:color="auto"/>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 </w:t>
            </w:r>
          </w:p>
        </w:tc>
        <w:tc>
          <w:tcPr>
            <w:tcW w:w="497"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23</w:t>
            </w:r>
          </w:p>
        </w:tc>
        <w:tc>
          <w:tcPr>
            <w:tcW w:w="150"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right"/>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428"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2</w:t>
            </w:r>
          </w:p>
        </w:tc>
        <w:tc>
          <w:tcPr>
            <w:tcW w:w="497"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10</w:t>
            </w:r>
          </w:p>
        </w:tc>
        <w:tc>
          <w:tcPr>
            <w:tcW w:w="150"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right"/>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317" w:type="dxa"/>
            <w:tcBorders>
              <w:top w:val="nil"/>
              <w:left w:val="nil"/>
              <w:bottom w:val="nil"/>
              <w:right w:val="single" w:sz="4" w:space="0" w:color="auto"/>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1</w:t>
            </w:r>
          </w:p>
        </w:tc>
        <w:tc>
          <w:tcPr>
            <w:tcW w:w="421" w:type="dxa"/>
            <w:tcBorders>
              <w:top w:val="nil"/>
              <w:left w:val="nil"/>
              <w:bottom w:val="nil"/>
              <w:right w:val="nil"/>
            </w:tcBorders>
            <w:shd w:val="clear" w:color="000000" w:fill="76933C"/>
            <w:noWrap/>
            <w:vAlign w:val="bottom"/>
            <w:hideMark/>
          </w:tcPr>
          <w:p w:rsidR="00D350F7" w:rsidRPr="00D350F7" w:rsidRDefault="00D350F7" w:rsidP="00D350F7">
            <w:pPr>
              <w:spacing w:after="0" w:line="240" w:lineRule="auto"/>
              <w:jc w:val="right"/>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0.5</w:t>
            </w:r>
          </w:p>
        </w:tc>
        <w:tc>
          <w:tcPr>
            <w:tcW w:w="259" w:type="dxa"/>
            <w:tcBorders>
              <w:top w:val="nil"/>
              <w:left w:val="nil"/>
              <w:bottom w:val="nil"/>
              <w:right w:val="single" w:sz="4" w:space="0" w:color="auto"/>
            </w:tcBorders>
            <w:shd w:val="clear" w:color="000000" w:fill="76933C"/>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 </w:t>
            </w:r>
          </w:p>
        </w:tc>
        <w:tc>
          <w:tcPr>
            <w:tcW w:w="497"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12</w:t>
            </w:r>
          </w:p>
        </w:tc>
        <w:tc>
          <w:tcPr>
            <w:tcW w:w="150"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right"/>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428"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1</w:t>
            </w:r>
          </w:p>
        </w:tc>
        <w:tc>
          <w:tcPr>
            <w:tcW w:w="497"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10</w:t>
            </w:r>
          </w:p>
        </w:tc>
        <w:tc>
          <w:tcPr>
            <w:tcW w:w="150"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right"/>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428" w:type="dxa"/>
            <w:tcBorders>
              <w:top w:val="nil"/>
              <w:left w:val="nil"/>
              <w:bottom w:val="nil"/>
              <w:right w:val="single" w:sz="4" w:space="0" w:color="auto"/>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0.4</w:t>
            </w:r>
          </w:p>
        </w:tc>
        <w:tc>
          <w:tcPr>
            <w:tcW w:w="346"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right"/>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1</w:t>
            </w:r>
          </w:p>
        </w:tc>
        <w:tc>
          <w:tcPr>
            <w:tcW w:w="368" w:type="dxa"/>
            <w:tcBorders>
              <w:top w:val="nil"/>
              <w:left w:val="nil"/>
              <w:bottom w:val="nil"/>
              <w:right w:val="single" w:sz="4" w:space="0" w:color="auto"/>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r>
      <w:tr w:rsidR="00D350F7" w:rsidRPr="00D350F7" w:rsidTr="00D350F7">
        <w:trPr>
          <w:trHeight w:val="300"/>
          <w:jc w:val="center"/>
        </w:trPr>
        <w:tc>
          <w:tcPr>
            <w:tcW w:w="759" w:type="dxa"/>
            <w:tcBorders>
              <w:top w:val="nil"/>
              <w:left w:val="single" w:sz="4" w:space="0" w:color="auto"/>
              <w:bottom w:val="nil"/>
              <w:right w:val="single" w:sz="4" w:space="0" w:color="auto"/>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Ile</w:t>
            </w:r>
          </w:p>
        </w:tc>
        <w:tc>
          <w:tcPr>
            <w:tcW w:w="497"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4</w:t>
            </w:r>
          </w:p>
        </w:tc>
        <w:tc>
          <w:tcPr>
            <w:tcW w:w="150"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right"/>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538"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0.2</w:t>
            </w:r>
          </w:p>
        </w:tc>
        <w:tc>
          <w:tcPr>
            <w:tcW w:w="497"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14</w:t>
            </w:r>
          </w:p>
        </w:tc>
        <w:tc>
          <w:tcPr>
            <w:tcW w:w="150"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right"/>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428" w:type="dxa"/>
            <w:tcBorders>
              <w:top w:val="nil"/>
              <w:left w:val="nil"/>
              <w:bottom w:val="nil"/>
              <w:right w:val="single" w:sz="4" w:space="0" w:color="auto"/>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1</w:t>
            </w:r>
          </w:p>
        </w:tc>
        <w:tc>
          <w:tcPr>
            <w:tcW w:w="346" w:type="dxa"/>
            <w:tcBorders>
              <w:top w:val="nil"/>
              <w:left w:val="nil"/>
              <w:bottom w:val="nil"/>
              <w:right w:val="nil"/>
            </w:tcBorders>
            <w:shd w:val="clear" w:color="000000" w:fill="E6B8B7"/>
            <w:noWrap/>
            <w:vAlign w:val="bottom"/>
            <w:hideMark/>
          </w:tcPr>
          <w:p w:rsidR="00D350F7" w:rsidRPr="00D350F7" w:rsidRDefault="00D350F7" w:rsidP="00D350F7">
            <w:pPr>
              <w:spacing w:after="0" w:line="240" w:lineRule="auto"/>
              <w:jc w:val="right"/>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4</w:t>
            </w:r>
          </w:p>
        </w:tc>
        <w:tc>
          <w:tcPr>
            <w:tcW w:w="368" w:type="dxa"/>
            <w:tcBorders>
              <w:top w:val="nil"/>
              <w:left w:val="nil"/>
              <w:bottom w:val="nil"/>
              <w:right w:val="single" w:sz="4" w:space="0" w:color="auto"/>
            </w:tcBorders>
            <w:shd w:val="clear" w:color="000000" w:fill="E6B8B7"/>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497"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3</w:t>
            </w:r>
          </w:p>
        </w:tc>
        <w:tc>
          <w:tcPr>
            <w:tcW w:w="150"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right"/>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428"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0.1</w:t>
            </w:r>
          </w:p>
        </w:tc>
        <w:tc>
          <w:tcPr>
            <w:tcW w:w="497"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8</w:t>
            </w:r>
          </w:p>
        </w:tc>
        <w:tc>
          <w:tcPr>
            <w:tcW w:w="150"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right"/>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428" w:type="dxa"/>
            <w:tcBorders>
              <w:top w:val="nil"/>
              <w:left w:val="nil"/>
              <w:bottom w:val="nil"/>
              <w:right w:val="single" w:sz="4" w:space="0" w:color="auto"/>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0.03</w:t>
            </w:r>
          </w:p>
        </w:tc>
        <w:tc>
          <w:tcPr>
            <w:tcW w:w="346" w:type="dxa"/>
            <w:tcBorders>
              <w:top w:val="nil"/>
              <w:left w:val="nil"/>
              <w:bottom w:val="nil"/>
              <w:right w:val="nil"/>
            </w:tcBorders>
            <w:shd w:val="clear" w:color="000000" w:fill="F2DCDB"/>
            <w:noWrap/>
            <w:vAlign w:val="bottom"/>
            <w:hideMark/>
          </w:tcPr>
          <w:p w:rsidR="00D350F7" w:rsidRPr="00D350F7" w:rsidRDefault="00D350F7" w:rsidP="00D350F7">
            <w:pPr>
              <w:spacing w:after="0" w:line="240" w:lineRule="auto"/>
              <w:jc w:val="right"/>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2</w:t>
            </w:r>
          </w:p>
        </w:tc>
        <w:tc>
          <w:tcPr>
            <w:tcW w:w="368" w:type="dxa"/>
            <w:tcBorders>
              <w:top w:val="nil"/>
              <w:left w:val="nil"/>
              <w:bottom w:val="nil"/>
              <w:right w:val="single" w:sz="4" w:space="0" w:color="auto"/>
            </w:tcBorders>
            <w:shd w:val="clear" w:color="000000" w:fill="F2DCDB"/>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497"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3</w:t>
            </w:r>
          </w:p>
        </w:tc>
        <w:tc>
          <w:tcPr>
            <w:tcW w:w="150"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right"/>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428"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0.3</w:t>
            </w:r>
          </w:p>
        </w:tc>
        <w:tc>
          <w:tcPr>
            <w:tcW w:w="497"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6</w:t>
            </w:r>
          </w:p>
        </w:tc>
        <w:tc>
          <w:tcPr>
            <w:tcW w:w="150"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right"/>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317" w:type="dxa"/>
            <w:tcBorders>
              <w:top w:val="nil"/>
              <w:left w:val="nil"/>
              <w:bottom w:val="nil"/>
              <w:right w:val="single" w:sz="4" w:space="0" w:color="auto"/>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0.5</w:t>
            </w:r>
          </w:p>
        </w:tc>
        <w:tc>
          <w:tcPr>
            <w:tcW w:w="421" w:type="dxa"/>
            <w:tcBorders>
              <w:top w:val="nil"/>
              <w:left w:val="nil"/>
              <w:bottom w:val="nil"/>
              <w:right w:val="nil"/>
            </w:tcBorders>
            <w:shd w:val="clear" w:color="000000" w:fill="F2DCDB"/>
            <w:noWrap/>
            <w:vAlign w:val="bottom"/>
            <w:hideMark/>
          </w:tcPr>
          <w:p w:rsidR="00D350F7" w:rsidRPr="00D350F7" w:rsidRDefault="00D350F7" w:rsidP="00D350F7">
            <w:pPr>
              <w:spacing w:after="0" w:line="240" w:lineRule="auto"/>
              <w:jc w:val="right"/>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2</w:t>
            </w:r>
          </w:p>
        </w:tc>
        <w:tc>
          <w:tcPr>
            <w:tcW w:w="259" w:type="dxa"/>
            <w:tcBorders>
              <w:top w:val="nil"/>
              <w:left w:val="nil"/>
              <w:bottom w:val="nil"/>
              <w:right w:val="single" w:sz="4" w:space="0" w:color="auto"/>
            </w:tcBorders>
            <w:shd w:val="clear" w:color="000000" w:fill="F2DCDB"/>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497"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4</w:t>
            </w:r>
          </w:p>
        </w:tc>
        <w:tc>
          <w:tcPr>
            <w:tcW w:w="150"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right"/>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428"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0.2</w:t>
            </w:r>
          </w:p>
        </w:tc>
        <w:tc>
          <w:tcPr>
            <w:tcW w:w="497"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10</w:t>
            </w:r>
          </w:p>
        </w:tc>
        <w:tc>
          <w:tcPr>
            <w:tcW w:w="150"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right"/>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428" w:type="dxa"/>
            <w:tcBorders>
              <w:top w:val="nil"/>
              <w:left w:val="nil"/>
              <w:bottom w:val="nil"/>
              <w:right w:val="single" w:sz="4" w:space="0" w:color="auto"/>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1</w:t>
            </w:r>
          </w:p>
        </w:tc>
        <w:tc>
          <w:tcPr>
            <w:tcW w:w="346" w:type="dxa"/>
            <w:tcBorders>
              <w:top w:val="nil"/>
              <w:left w:val="nil"/>
              <w:bottom w:val="nil"/>
              <w:right w:val="nil"/>
            </w:tcBorders>
            <w:shd w:val="clear" w:color="000000" w:fill="E6B8B7"/>
            <w:noWrap/>
            <w:vAlign w:val="bottom"/>
            <w:hideMark/>
          </w:tcPr>
          <w:p w:rsidR="00D350F7" w:rsidRPr="00D350F7" w:rsidRDefault="00D350F7" w:rsidP="00D350F7">
            <w:pPr>
              <w:spacing w:after="0" w:line="240" w:lineRule="auto"/>
              <w:jc w:val="right"/>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3</w:t>
            </w:r>
          </w:p>
        </w:tc>
        <w:tc>
          <w:tcPr>
            <w:tcW w:w="368" w:type="dxa"/>
            <w:tcBorders>
              <w:top w:val="nil"/>
              <w:left w:val="nil"/>
              <w:bottom w:val="nil"/>
              <w:right w:val="single" w:sz="4" w:space="0" w:color="auto"/>
            </w:tcBorders>
            <w:shd w:val="clear" w:color="000000" w:fill="E6B8B7"/>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r>
      <w:tr w:rsidR="00D350F7" w:rsidRPr="00D350F7" w:rsidTr="00D350F7">
        <w:trPr>
          <w:trHeight w:val="300"/>
          <w:jc w:val="center"/>
        </w:trPr>
        <w:tc>
          <w:tcPr>
            <w:tcW w:w="759" w:type="dxa"/>
            <w:tcBorders>
              <w:top w:val="nil"/>
              <w:left w:val="single" w:sz="4" w:space="0" w:color="auto"/>
              <w:bottom w:val="nil"/>
              <w:right w:val="single" w:sz="4" w:space="0" w:color="auto"/>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Leu</w:t>
            </w:r>
          </w:p>
        </w:tc>
        <w:tc>
          <w:tcPr>
            <w:tcW w:w="497"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4</w:t>
            </w:r>
          </w:p>
        </w:tc>
        <w:tc>
          <w:tcPr>
            <w:tcW w:w="150"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right"/>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538"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0.3</w:t>
            </w:r>
          </w:p>
        </w:tc>
        <w:tc>
          <w:tcPr>
            <w:tcW w:w="497"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18</w:t>
            </w:r>
          </w:p>
        </w:tc>
        <w:tc>
          <w:tcPr>
            <w:tcW w:w="150"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right"/>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428" w:type="dxa"/>
            <w:tcBorders>
              <w:top w:val="nil"/>
              <w:left w:val="nil"/>
              <w:bottom w:val="nil"/>
              <w:right w:val="single" w:sz="4" w:space="0" w:color="auto"/>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1</w:t>
            </w:r>
          </w:p>
        </w:tc>
        <w:tc>
          <w:tcPr>
            <w:tcW w:w="346" w:type="dxa"/>
            <w:tcBorders>
              <w:top w:val="nil"/>
              <w:left w:val="nil"/>
              <w:bottom w:val="nil"/>
              <w:right w:val="nil"/>
            </w:tcBorders>
            <w:shd w:val="clear" w:color="000000" w:fill="E6B8B7"/>
            <w:noWrap/>
            <w:vAlign w:val="bottom"/>
            <w:hideMark/>
          </w:tcPr>
          <w:p w:rsidR="00D350F7" w:rsidRPr="00D350F7" w:rsidRDefault="00D350F7" w:rsidP="00D350F7">
            <w:pPr>
              <w:spacing w:after="0" w:line="240" w:lineRule="auto"/>
              <w:jc w:val="right"/>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4</w:t>
            </w:r>
          </w:p>
        </w:tc>
        <w:tc>
          <w:tcPr>
            <w:tcW w:w="368" w:type="dxa"/>
            <w:tcBorders>
              <w:top w:val="nil"/>
              <w:left w:val="nil"/>
              <w:bottom w:val="nil"/>
              <w:right w:val="single" w:sz="4" w:space="0" w:color="auto"/>
            </w:tcBorders>
            <w:shd w:val="clear" w:color="000000" w:fill="E6B8B7"/>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497"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4</w:t>
            </w:r>
          </w:p>
        </w:tc>
        <w:tc>
          <w:tcPr>
            <w:tcW w:w="150"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right"/>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428"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0.1</w:t>
            </w:r>
          </w:p>
        </w:tc>
        <w:tc>
          <w:tcPr>
            <w:tcW w:w="497"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11</w:t>
            </w:r>
          </w:p>
        </w:tc>
        <w:tc>
          <w:tcPr>
            <w:tcW w:w="150"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right"/>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428" w:type="dxa"/>
            <w:tcBorders>
              <w:top w:val="nil"/>
              <w:left w:val="nil"/>
              <w:bottom w:val="nil"/>
              <w:right w:val="single" w:sz="4" w:space="0" w:color="auto"/>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0.3</w:t>
            </w:r>
          </w:p>
        </w:tc>
        <w:tc>
          <w:tcPr>
            <w:tcW w:w="346" w:type="dxa"/>
            <w:tcBorders>
              <w:top w:val="nil"/>
              <w:left w:val="nil"/>
              <w:bottom w:val="nil"/>
              <w:right w:val="nil"/>
            </w:tcBorders>
            <w:shd w:val="clear" w:color="000000" w:fill="E6B8B7"/>
            <w:noWrap/>
            <w:vAlign w:val="bottom"/>
            <w:hideMark/>
          </w:tcPr>
          <w:p w:rsidR="00D350F7" w:rsidRPr="00D350F7" w:rsidRDefault="00D350F7" w:rsidP="00D350F7">
            <w:pPr>
              <w:spacing w:after="0" w:line="240" w:lineRule="auto"/>
              <w:jc w:val="right"/>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3</w:t>
            </w:r>
          </w:p>
        </w:tc>
        <w:tc>
          <w:tcPr>
            <w:tcW w:w="368" w:type="dxa"/>
            <w:tcBorders>
              <w:top w:val="nil"/>
              <w:left w:val="nil"/>
              <w:bottom w:val="nil"/>
              <w:right w:val="single" w:sz="4" w:space="0" w:color="auto"/>
            </w:tcBorders>
            <w:shd w:val="clear" w:color="000000" w:fill="E6B8B7"/>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497"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4</w:t>
            </w:r>
          </w:p>
        </w:tc>
        <w:tc>
          <w:tcPr>
            <w:tcW w:w="150"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right"/>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428"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0.3</w:t>
            </w:r>
          </w:p>
        </w:tc>
        <w:tc>
          <w:tcPr>
            <w:tcW w:w="497"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8</w:t>
            </w:r>
          </w:p>
        </w:tc>
        <w:tc>
          <w:tcPr>
            <w:tcW w:w="150"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right"/>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317" w:type="dxa"/>
            <w:tcBorders>
              <w:top w:val="nil"/>
              <w:left w:val="nil"/>
              <w:bottom w:val="nil"/>
              <w:right w:val="single" w:sz="4" w:space="0" w:color="auto"/>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1</w:t>
            </w:r>
          </w:p>
        </w:tc>
        <w:tc>
          <w:tcPr>
            <w:tcW w:w="421" w:type="dxa"/>
            <w:tcBorders>
              <w:top w:val="nil"/>
              <w:left w:val="nil"/>
              <w:bottom w:val="nil"/>
              <w:right w:val="nil"/>
            </w:tcBorders>
            <w:shd w:val="clear" w:color="000000" w:fill="F2DCDB"/>
            <w:noWrap/>
            <w:vAlign w:val="bottom"/>
            <w:hideMark/>
          </w:tcPr>
          <w:p w:rsidR="00D350F7" w:rsidRPr="00D350F7" w:rsidRDefault="00D350F7" w:rsidP="00D350F7">
            <w:pPr>
              <w:spacing w:after="0" w:line="240" w:lineRule="auto"/>
              <w:jc w:val="right"/>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2</w:t>
            </w:r>
          </w:p>
        </w:tc>
        <w:tc>
          <w:tcPr>
            <w:tcW w:w="259" w:type="dxa"/>
            <w:tcBorders>
              <w:top w:val="nil"/>
              <w:left w:val="nil"/>
              <w:bottom w:val="nil"/>
              <w:right w:val="single" w:sz="4" w:space="0" w:color="auto"/>
            </w:tcBorders>
            <w:shd w:val="clear" w:color="000000" w:fill="F2DCDB"/>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497"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4</w:t>
            </w:r>
          </w:p>
        </w:tc>
        <w:tc>
          <w:tcPr>
            <w:tcW w:w="150"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right"/>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428"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0.4</w:t>
            </w:r>
          </w:p>
        </w:tc>
        <w:tc>
          <w:tcPr>
            <w:tcW w:w="497"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14</w:t>
            </w:r>
          </w:p>
        </w:tc>
        <w:tc>
          <w:tcPr>
            <w:tcW w:w="150"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right"/>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428" w:type="dxa"/>
            <w:tcBorders>
              <w:top w:val="nil"/>
              <w:left w:val="nil"/>
              <w:bottom w:val="nil"/>
              <w:right w:val="single" w:sz="4" w:space="0" w:color="auto"/>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1</w:t>
            </w:r>
          </w:p>
        </w:tc>
        <w:tc>
          <w:tcPr>
            <w:tcW w:w="346" w:type="dxa"/>
            <w:tcBorders>
              <w:top w:val="nil"/>
              <w:left w:val="nil"/>
              <w:bottom w:val="nil"/>
              <w:right w:val="nil"/>
            </w:tcBorders>
            <w:shd w:val="clear" w:color="000000" w:fill="E6B8B7"/>
            <w:noWrap/>
            <w:vAlign w:val="bottom"/>
            <w:hideMark/>
          </w:tcPr>
          <w:p w:rsidR="00D350F7" w:rsidRPr="00D350F7" w:rsidRDefault="00D350F7" w:rsidP="00D350F7">
            <w:pPr>
              <w:spacing w:after="0" w:line="240" w:lineRule="auto"/>
              <w:jc w:val="right"/>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4</w:t>
            </w:r>
          </w:p>
        </w:tc>
        <w:tc>
          <w:tcPr>
            <w:tcW w:w="368" w:type="dxa"/>
            <w:tcBorders>
              <w:top w:val="nil"/>
              <w:left w:val="nil"/>
              <w:bottom w:val="nil"/>
              <w:right w:val="single" w:sz="4" w:space="0" w:color="auto"/>
            </w:tcBorders>
            <w:shd w:val="clear" w:color="000000" w:fill="E6B8B7"/>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r>
      <w:tr w:rsidR="00D350F7" w:rsidRPr="00D350F7" w:rsidTr="00D350F7">
        <w:trPr>
          <w:trHeight w:val="300"/>
          <w:jc w:val="center"/>
        </w:trPr>
        <w:tc>
          <w:tcPr>
            <w:tcW w:w="759" w:type="dxa"/>
            <w:tcBorders>
              <w:top w:val="nil"/>
              <w:left w:val="single" w:sz="4" w:space="0" w:color="auto"/>
              <w:bottom w:val="nil"/>
              <w:right w:val="single" w:sz="4" w:space="0" w:color="auto"/>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Lys</w:t>
            </w:r>
          </w:p>
        </w:tc>
        <w:tc>
          <w:tcPr>
            <w:tcW w:w="497"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5</w:t>
            </w:r>
          </w:p>
        </w:tc>
        <w:tc>
          <w:tcPr>
            <w:tcW w:w="150"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right"/>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538"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0.5</w:t>
            </w:r>
          </w:p>
        </w:tc>
        <w:tc>
          <w:tcPr>
            <w:tcW w:w="497"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22</w:t>
            </w:r>
          </w:p>
        </w:tc>
        <w:tc>
          <w:tcPr>
            <w:tcW w:w="150"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right"/>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428" w:type="dxa"/>
            <w:tcBorders>
              <w:top w:val="nil"/>
              <w:left w:val="nil"/>
              <w:bottom w:val="nil"/>
              <w:right w:val="single" w:sz="4" w:space="0" w:color="auto"/>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1</w:t>
            </w:r>
          </w:p>
        </w:tc>
        <w:tc>
          <w:tcPr>
            <w:tcW w:w="346" w:type="dxa"/>
            <w:tcBorders>
              <w:top w:val="nil"/>
              <w:left w:val="nil"/>
              <w:bottom w:val="nil"/>
              <w:right w:val="nil"/>
            </w:tcBorders>
            <w:shd w:val="clear" w:color="000000" w:fill="E6B8B7"/>
            <w:noWrap/>
            <w:vAlign w:val="bottom"/>
            <w:hideMark/>
          </w:tcPr>
          <w:p w:rsidR="00D350F7" w:rsidRPr="00D350F7" w:rsidRDefault="00D350F7" w:rsidP="00D350F7">
            <w:pPr>
              <w:spacing w:after="0" w:line="240" w:lineRule="auto"/>
              <w:jc w:val="right"/>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5</w:t>
            </w:r>
          </w:p>
        </w:tc>
        <w:tc>
          <w:tcPr>
            <w:tcW w:w="368" w:type="dxa"/>
            <w:tcBorders>
              <w:top w:val="nil"/>
              <w:left w:val="nil"/>
              <w:bottom w:val="nil"/>
              <w:right w:val="single" w:sz="4" w:space="0" w:color="auto"/>
            </w:tcBorders>
            <w:shd w:val="clear" w:color="000000" w:fill="E6B8B7"/>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497"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5</w:t>
            </w:r>
          </w:p>
        </w:tc>
        <w:tc>
          <w:tcPr>
            <w:tcW w:w="150"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right"/>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428"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1</w:t>
            </w:r>
          </w:p>
        </w:tc>
        <w:tc>
          <w:tcPr>
            <w:tcW w:w="497"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21</w:t>
            </w:r>
          </w:p>
        </w:tc>
        <w:tc>
          <w:tcPr>
            <w:tcW w:w="150"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right"/>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428" w:type="dxa"/>
            <w:tcBorders>
              <w:top w:val="nil"/>
              <w:left w:val="nil"/>
              <w:bottom w:val="nil"/>
              <w:right w:val="single" w:sz="4" w:space="0" w:color="auto"/>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2</w:t>
            </w:r>
          </w:p>
        </w:tc>
        <w:tc>
          <w:tcPr>
            <w:tcW w:w="346" w:type="dxa"/>
            <w:tcBorders>
              <w:top w:val="nil"/>
              <w:left w:val="nil"/>
              <w:bottom w:val="nil"/>
              <w:right w:val="nil"/>
            </w:tcBorders>
            <w:shd w:val="clear" w:color="000000" w:fill="E6B8B7"/>
            <w:noWrap/>
            <w:vAlign w:val="bottom"/>
            <w:hideMark/>
          </w:tcPr>
          <w:p w:rsidR="00D350F7" w:rsidRPr="00D350F7" w:rsidRDefault="00D350F7" w:rsidP="00D350F7">
            <w:pPr>
              <w:spacing w:after="0" w:line="240" w:lineRule="auto"/>
              <w:jc w:val="right"/>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4</w:t>
            </w:r>
          </w:p>
        </w:tc>
        <w:tc>
          <w:tcPr>
            <w:tcW w:w="368" w:type="dxa"/>
            <w:tcBorders>
              <w:top w:val="nil"/>
              <w:left w:val="nil"/>
              <w:bottom w:val="nil"/>
              <w:right w:val="single" w:sz="4" w:space="0" w:color="auto"/>
            </w:tcBorders>
            <w:shd w:val="clear" w:color="000000" w:fill="E6B8B7"/>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497"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5</w:t>
            </w:r>
          </w:p>
        </w:tc>
        <w:tc>
          <w:tcPr>
            <w:tcW w:w="150"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right"/>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428"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1</w:t>
            </w:r>
          </w:p>
        </w:tc>
        <w:tc>
          <w:tcPr>
            <w:tcW w:w="497"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11</w:t>
            </w:r>
          </w:p>
        </w:tc>
        <w:tc>
          <w:tcPr>
            <w:tcW w:w="150"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right"/>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317" w:type="dxa"/>
            <w:tcBorders>
              <w:top w:val="nil"/>
              <w:left w:val="nil"/>
              <w:bottom w:val="nil"/>
              <w:right w:val="single" w:sz="4" w:space="0" w:color="auto"/>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4</w:t>
            </w:r>
          </w:p>
        </w:tc>
        <w:tc>
          <w:tcPr>
            <w:tcW w:w="421" w:type="dxa"/>
            <w:tcBorders>
              <w:top w:val="nil"/>
              <w:left w:val="nil"/>
              <w:bottom w:val="nil"/>
              <w:right w:val="nil"/>
            </w:tcBorders>
            <w:shd w:val="clear" w:color="000000" w:fill="F2DCDB"/>
            <w:noWrap/>
            <w:vAlign w:val="bottom"/>
            <w:hideMark/>
          </w:tcPr>
          <w:p w:rsidR="00D350F7" w:rsidRPr="00D350F7" w:rsidRDefault="00D350F7" w:rsidP="00D350F7">
            <w:pPr>
              <w:spacing w:after="0" w:line="240" w:lineRule="auto"/>
              <w:jc w:val="right"/>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2</w:t>
            </w:r>
          </w:p>
        </w:tc>
        <w:tc>
          <w:tcPr>
            <w:tcW w:w="259" w:type="dxa"/>
            <w:tcBorders>
              <w:top w:val="nil"/>
              <w:left w:val="nil"/>
              <w:bottom w:val="nil"/>
              <w:right w:val="single" w:sz="4" w:space="0" w:color="auto"/>
            </w:tcBorders>
            <w:shd w:val="clear" w:color="000000" w:fill="F2DCDB"/>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 </w:t>
            </w:r>
          </w:p>
        </w:tc>
        <w:tc>
          <w:tcPr>
            <w:tcW w:w="497"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6</w:t>
            </w:r>
          </w:p>
        </w:tc>
        <w:tc>
          <w:tcPr>
            <w:tcW w:w="150"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right"/>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428"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2</w:t>
            </w:r>
          </w:p>
        </w:tc>
        <w:tc>
          <w:tcPr>
            <w:tcW w:w="497"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30</w:t>
            </w:r>
          </w:p>
        </w:tc>
        <w:tc>
          <w:tcPr>
            <w:tcW w:w="150"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right"/>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428" w:type="dxa"/>
            <w:tcBorders>
              <w:top w:val="nil"/>
              <w:left w:val="nil"/>
              <w:bottom w:val="nil"/>
              <w:right w:val="single" w:sz="4" w:space="0" w:color="auto"/>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0.3</w:t>
            </w:r>
          </w:p>
        </w:tc>
        <w:tc>
          <w:tcPr>
            <w:tcW w:w="346" w:type="dxa"/>
            <w:tcBorders>
              <w:top w:val="nil"/>
              <w:left w:val="nil"/>
              <w:bottom w:val="nil"/>
              <w:right w:val="nil"/>
            </w:tcBorders>
            <w:shd w:val="clear" w:color="000000" w:fill="DA9694"/>
            <w:noWrap/>
            <w:vAlign w:val="bottom"/>
            <w:hideMark/>
          </w:tcPr>
          <w:p w:rsidR="00D350F7" w:rsidRPr="00D350F7" w:rsidRDefault="00D350F7" w:rsidP="00D350F7">
            <w:pPr>
              <w:spacing w:after="0" w:line="240" w:lineRule="auto"/>
              <w:jc w:val="right"/>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5</w:t>
            </w:r>
          </w:p>
        </w:tc>
        <w:tc>
          <w:tcPr>
            <w:tcW w:w="368" w:type="dxa"/>
            <w:tcBorders>
              <w:top w:val="nil"/>
              <w:left w:val="nil"/>
              <w:bottom w:val="nil"/>
              <w:right w:val="single" w:sz="4" w:space="0" w:color="auto"/>
            </w:tcBorders>
            <w:shd w:val="clear" w:color="000000" w:fill="DA9694"/>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r>
      <w:tr w:rsidR="00D350F7" w:rsidRPr="00D350F7" w:rsidTr="00D350F7">
        <w:trPr>
          <w:trHeight w:val="300"/>
          <w:jc w:val="center"/>
        </w:trPr>
        <w:tc>
          <w:tcPr>
            <w:tcW w:w="759" w:type="dxa"/>
            <w:tcBorders>
              <w:top w:val="nil"/>
              <w:left w:val="single" w:sz="4" w:space="0" w:color="auto"/>
              <w:bottom w:val="nil"/>
              <w:right w:val="single" w:sz="4" w:space="0" w:color="auto"/>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Orn</w:t>
            </w:r>
          </w:p>
        </w:tc>
        <w:tc>
          <w:tcPr>
            <w:tcW w:w="497"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0.2</w:t>
            </w:r>
          </w:p>
        </w:tc>
        <w:tc>
          <w:tcPr>
            <w:tcW w:w="150"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right"/>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538"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0.02</w:t>
            </w:r>
          </w:p>
        </w:tc>
        <w:tc>
          <w:tcPr>
            <w:tcW w:w="497"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2</w:t>
            </w:r>
          </w:p>
        </w:tc>
        <w:tc>
          <w:tcPr>
            <w:tcW w:w="150"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right"/>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428" w:type="dxa"/>
            <w:tcBorders>
              <w:top w:val="nil"/>
              <w:left w:val="nil"/>
              <w:bottom w:val="nil"/>
              <w:right w:val="single" w:sz="4" w:space="0" w:color="auto"/>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0.01</w:t>
            </w:r>
          </w:p>
        </w:tc>
        <w:tc>
          <w:tcPr>
            <w:tcW w:w="346" w:type="dxa"/>
            <w:tcBorders>
              <w:top w:val="nil"/>
              <w:left w:val="nil"/>
              <w:bottom w:val="nil"/>
              <w:right w:val="nil"/>
            </w:tcBorders>
            <w:shd w:val="clear" w:color="000000" w:fill="DA9694"/>
            <w:noWrap/>
            <w:vAlign w:val="bottom"/>
            <w:hideMark/>
          </w:tcPr>
          <w:p w:rsidR="00D350F7" w:rsidRPr="00D350F7" w:rsidRDefault="00D350F7" w:rsidP="00D350F7">
            <w:pPr>
              <w:spacing w:after="0" w:line="240" w:lineRule="auto"/>
              <w:jc w:val="right"/>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13</w:t>
            </w:r>
          </w:p>
        </w:tc>
        <w:tc>
          <w:tcPr>
            <w:tcW w:w="368" w:type="dxa"/>
            <w:tcBorders>
              <w:top w:val="nil"/>
              <w:left w:val="nil"/>
              <w:bottom w:val="nil"/>
              <w:right w:val="single" w:sz="4" w:space="0" w:color="auto"/>
            </w:tcBorders>
            <w:shd w:val="clear" w:color="000000" w:fill="DA9694"/>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497"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0.2</w:t>
            </w:r>
          </w:p>
        </w:tc>
        <w:tc>
          <w:tcPr>
            <w:tcW w:w="150" w:type="dxa"/>
            <w:tcBorders>
              <w:top w:val="nil"/>
              <w:left w:val="nil"/>
              <w:bottom w:val="nil"/>
              <w:right w:val="nil"/>
            </w:tcBorders>
            <w:shd w:val="clear" w:color="auto" w:fill="auto"/>
            <w:noWrap/>
            <w:vAlign w:val="center"/>
            <w:hideMark/>
          </w:tcPr>
          <w:p w:rsidR="00D350F7" w:rsidRPr="00D350F7" w:rsidRDefault="00D350F7" w:rsidP="00D350F7">
            <w:pPr>
              <w:spacing w:after="0" w:line="240" w:lineRule="auto"/>
              <w:jc w:val="right"/>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428"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0.02</w:t>
            </w:r>
          </w:p>
        </w:tc>
        <w:tc>
          <w:tcPr>
            <w:tcW w:w="497"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2</w:t>
            </w:r>
          </w:p>
        </w:tc>
        <w:tc>
          <w:tcPr>
            <w:tcW w:w="150"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right"/>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428" w:type="dxa"/>
            <w:tcBorders>
              <w:top w:val="nil"/>
              <w:left w:val="nil"/>
              <w:bottom w:val="nil"/>
              <w:right w:val="single" w:sz="4" w:space="0" w:color="auto"/>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0.1</w:t>
            </w:r>
          </w:p>
        </w:tc>
        <w:tc>
          <w:tcPr>
            <w:tcW w:w="346" w:type="dxa"/>
            <w:tcBorders>
              <w:top w:val="nil"/>
              <w:left w:val="nil"/>
              <w:bottom w:val="nil"/>
              <w:right w:val="nil"/>
            </w:tcBorders>
            <w:shd w:val="clear" w:color="000000" w:fill="DA9694"/>
            <w:noWrap/>
            <w:vAlign w:val="bottom"/>
            <w:hideMark/>
          </w:tcPr>
          <w:p w:rsidR="00D350F7" w:rsidRPr="00D350F7" w:rsidRDefault="00D350F7" w:rsidP="00D350F7">
            <w:pPr>
              <w:spacing w:after="0" w:line="240" w:lineRule="auto"/>
              <w:jc w:val="right"/>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10</w:t>
            </w:r>
          </w:p>
        </w:tc>
        <w:tc>
          <w:tcPr>
            <w:tcW w:w="368" w:type="dxa"/>
            <w:tcBorders>
              <w:top w:val="nil"/>
              <w:left w:val="nil"/>
              <w:bottom w:val="nil"/>
              <w:right w:val="single" w:sz="4" w:space="0" w:color="auto"/>
            </w:tcBorders>
            <w:shd w:val="clear" w:color="000000" w:fill="DA9694"/>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497"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0.2</w:t>
            </w:r>
          </w:p>
        </w:tc>
        <w:tc>
          <w:tcPr>
            <w:tcW w:w="150"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right"/>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428"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0.03</w:t>
            </w:r>
          </w:p>
        </w:tc>
        <w:tc>
          <w:tcPr>
            <w:tcW w:w="497"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1</w:t>
            </w:r>
          </w:p>
        </w:tc>
        <w:tc>
          <w:tcPr>
            <w:tcW w:w="150"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right"/>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317" w:type="dxa"/>
            <w:tcBorders>
              <w:top w:val="nil"/>
              <w:left w:val="nil"/>
              <w:bottom w:val="nil"/>
              <w:right w:val="single" w:sz="4" w:space="0" w:color="auto"/>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0.3</w:t>
            </w:r>
          </w:p>
        </w:tc>
        <w:tc>
          <w:tcPr>
            <w:tcW w:w="421" w:type="dxa"/>
            <w:tcBorders>
              <w:top w:val="nil"/>
              <w:left w:val="nil"/>
              <w:bottom w:val="nil"/>
              <w:right w:val="nil"/>
            </w:tcBorders>
            <w:shd w:val="clear" w:color="000000" w:fill="DA9694"/>
            <w:noWrap/>
            <w:vAlign w:val="bottom"/>
            <w:hideMark/>
          </w:tcPr>
          <w:p w:rsidR="00D350F7" w:rsidRPr="00D350F7" w:rsidRDefault="00D350F7" w:rsidP="00D350F7">
            <w:pPr>
              <w:spacing w:after="0" w:line="240" w:lineRule="auto"/>
              <w:jc w:val="right"/>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6</w:t>
            </w:r>
          </w:p>
        </w:tc>
        <w:tc>
          <w:tcPr>
            <w:tcW w:w="259" w:type="dxa"/>
            <w:tcBorders>
              <w:top w:val="nil"/>
              <w:left w:val="nil"/>
              <w:bottom w:val="nil"/>
              <w:right w:val="single" w:sz="4" w:space="0" w:color="auto"/>
            </w:tcBorders>
            <w:shd w:val="clear" w:color="000000" w:fill="DA9694"/>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 </w:t>
            </w:r>
          </w:p>
        </w:tc>
        <w:tc>
          <w:tcPr>
            <w:tcW w:w="497"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0.2</w:t>
            </w:r>
          </w:p>
        </w:tc>
        <w:tc>
          <w:tcPr>
            <w:tcW w:w="150"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right"/>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428"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0.1</w:t>
            </w:r>
          </w:p>
        </w:tc>
        <w:tc>
          <w:tcPr>
            <w:tcW w:w="497"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3</w:t>
            </w:r>
          </w:p>
        </w:tc>
        <w:tc>
          <w:tcPr>
            <w:tcW w:w="150"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right"/>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428" w:type="dxa"/>
            <w:tcBorders>
              <w:top w:val="nil"/>
              <w:left w:val="nil"/>
              <w:bottom w:val="nil"/>
              <w:right w:val="single" w:sz="4" w:space="0" w:color="auto"/>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0.03</w:t>
            </w:r>
          </w:p>
        </w:tc>
        <w:tc>
          <w:tcPr>
            <w:tcW w:w="346" w:type="dxa"/>
            <w:tcBorders>
              <w:top w:val="nil"/>
              <w:left w:val="nil"/>
              <w:bottom w:val="nil"/>
              <w:right w:val="nil"/>
            </w:tcBorders>
            <w:shd w:val="clear" w:color="000000" w:fill="DA9694"/>
            <w:noWrap/>
            <w:vAlign w:val="bottom"/>
            <w:hideMark/>
          </w:tcPr>
          <w:p w:rsidR="00D350F7" w:rsidRPr="00D350F7" w:rsidRDefault="00D350F7" w:rsidP="00D350F7">
            <w:pPr>
              <w:spacing w:after="0" w:line="240" w:lineRule="auto"/>
              <w:jc w:val="right"/>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16</w:t>
            </w:r>
          </w:p>
        </w:tc>
        <w:tc>
          <w:tcPr>
            <w:tcW w:w="368" w:type="dxa"/>
            <w:tcBorders>
              <w:top w:val="nil"/>
              <w:left w:val="nil"/>
              <w:bottom w:val="nil"/>
              <w:right w:val="single" w:sz="4" w:space="0" w:color="auto"/>
            </w:tcBorders>
            <w:shd w:val="clear" w:color="000000" w:fill="DA9694"/>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r>
      <w:tr w:rsidR="00D350F7" w:rsidRPr="00D350F7" w:rsidTr="00D350F7">
        <w:trPr>
          <w:trHeight w:val="300"/>
          <w:jc w:val="center"/>
        </w:trPr>
        <w:tc>
          <w:tcPr>
            <w:tcW w:w="759" w:type="dxa"/>
            <w:tcBorders>
              <w:top w:val="nil"/>
              <w:left w:val="single" w:sz="4" w:space="0" w:color="auto"/>
              <w:bottom w:val="nil"/>
              <w:right w:val="single" w:sz="4" w:space="0" w:color="auto"/>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Phe</w:t>
            </w:r>
          </w:p>
        </w:tc>
        <w:tc>
          <w:tcPr>
            <w:tcW w:w="497"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3</w:t>
            </w:r>
          </w:p>
        </w:tc>
        <w:tc>
          <w:tcPr>
            <w:tcW w:w="150"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right"/>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538"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0.3</w:t>
            </w:r>
          </w:p>
        </w:tc>
        <w:tc>
          <w:tcPr>
            <w:tcW w:w="497"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11</w:t>
            </w:r>
          </w:p>
        </w:tc>
        <w:tc>
          <w:tcPr>
            <w:tcW w:w="150"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right"/>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428" w:type="dxa"/>
            <w:tcBorders>
              <w:top w:val="nil"/>
              <w:left w:val="nil"/>
              <w:bottom w:val="nil"/>
              <w:right w:val="single" w:sz="4" w:space="0" w:color="auto"/>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0.5</w:t>
            </w:r>
          </w:p>
        </w:tc>
        <w:tc>
          <w:tcPr>
            <w:tcW w:w="346" w:type="dxa"/>
            <w:tcBorders>
              <w:top w:val="nil"/>
              <w:left w:val="nil"/>
              <w:bottom w:val="nil"/>
              <w:right w:val="nil"/>
            </w:tcBorders>
            <w:shd w:val="clear" w:color="000000" w:fill="E6B8B7"/>
            <w:noWrap/>
            <w:vAlign w:val="bottom"/>
            <w:hideMark/>
          </w:tcPr>
          <w:p w:rsidR="00D350F7" w:rsidRPr="00D350F7" w:rsidRDefault="00D350F7" w:rsidP="00D350F7">
            <w:pPr>
              <w:spacing w:after="0" w:line="240" w:lineRule="auto"/>
              <w:jc w:val="right"/>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4</w:t>
            </w:r>
          </w:p>
        </w:tc>
        <w:tc>
          <w:tcPr>
            <w:tcW w:w="368" w:type="dxa"/>
            <w:tcBorders>
              <w:top w:val="nil"/>
              <w:left w:val="nil"/>
              <w:bottom w:val="nil"/>
              <w:right w:val="single" w:sz="4" w:space="0" w:color="auto"/>
            </w:tcBorders>
            <w:shd w:val="clear" w:color="000000" w:fill="E6B8B7"/>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497"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3</w:t>
            </w:r>
          </w:p>
        </w:tc>
        <w:tc>
          <w:tcPr>
            <w:tcW w:w="150"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right"/>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428"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0.2</w:t>
            </w:r>
          </w:p>
        </w:tc>
        <w:tc>
          <w:tcPr>
            <w:tcW w:w="497"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8</w:t>
            </w:r>
          </w:p>
        </w:tc>
        <w:tc>
          <w:tcPr>
            <w:tcW w:w="150"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right"/>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428" w:type="dxa"/>
            <w:tcBorders>
              <w:top w:val="nil"/>
              <w:left w:val="nil"/>
              <w:bottom w:val="nil"/>
              <w:right w:val="single" w:sz="4" w:space="0" w:color="auto"/>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1</w:t>
            </w:r>
          </w:p>
        </w:tc>
        <w:tc>
          <w:tcPr>
            <w:tcW w:w="346" w:type="dxa"/>
            <w:tcBorders>
              <w:top w:val="nil"/>
              <w:left w:val="nil"/>
              <w:bottom w:val="nil"/>
              <w:right w:val="nil"/>
            </w:tcBorders>
            <w:shd w:val="clear" w:color="000000" w:fill="E6B8B7"/>
            <w:noWrap/>
            <w:vAlign w:val="bottom"/>
            <w:hideMark/>
          </w:tcPr>
          <w:p w:rsidR="00D350F7" w:rsidRPr="00D350F7" w:rsidRDefault="00D350F7" w:rsidP="00D350F7">
            <w:pPr>
              <w:spacing w:after="0" w:line="240" w:lineRule="auto"/>
              <w:jc w:val="right"/>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3</w:t>
            </w:r>
          </w:p>
        </w:tc>
        <w:tc>
          <w:tcPr>
            <w:tcW w:w="368" w:type="dxa"/>
            <w:tcBorders>
              <w:top w:val="nil"/>
              <w:left w:val="nil"/>
              <w:bottom w:val="nil"/>
              <w:right w:val="single" w:sz="4" w:space="0" w:color="auto"/>
            </w:tcBorders>
            <w:shd w:val="clear" w:color="000000" w:fill="E6B8B7"/>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497"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3</w:t>
            </w:r>
          </w:p>
        </w:tc>
        <w:tc>
          <w:tcPr>
            <w:tcW w:w="150"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right"/>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428"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0.4</w:t>
            </w:r>
          </w:p>
        </w:tc>
        <w:tc>
          <w:tcPr>
            <w:tcW w:w="497"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7</w:t>
            </w:r>
          </w:p>
        </w:tc>
        <w:tc>
          <w:tcPr>
            <w:tcW w:w="150"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right"/>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317" w:type="dxa"/>
            <w:tcBorders>
              <w:top w:val="nil"/>
              <w:left w:val="nil"/>
              <w:bottom w:val="nil"/>
              <w:right w:val="single" w:sz="4" w:space="0" w:color="auto"/>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2</w:t>
            </w:r>
          </w:p>
        </w:tc>
        <w:tc>
          <w:tcPr>
            <w:tcW w:w="421" w:type="dxa"/>
            <w:tcBorders>
              <w:top w:val="nil"/>
              <w:left w:val="nil"/>
              <w:bottom w:val="nil"/>
              <w:right w:val="nil"/>
            </w:tcBorders>
            <w:shd w:val="clear" w:color="000000" w:fill="F2DCDB"/>
            <w:noWrap/>
            <w:vAlign w:val="bottom"/>
            <w:hideMark/>
          </w:tcPr>
          <w:p w:rsidR="00D350F7" w:rsidRPr="00D350F7" w:rsidRDefault="00D350F7" w:rsidP="00D350F7">
            <w:pPr>
              <w:spacing w:after="0" w:line="240" w:lineRule="auto"/>
              <w:jc w:val="right"/>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2</w:t>
            </w:r>
          </w:p>
        </w:tc>
        <w:tc>
          <w:tcPr>
            <w:tcW w:w="259" w:type="dxa"/>
            <w:tcBorders>
              <w:top w:val="nil"/>
              <w:left w:val="nil"/>
              <w:bottom w:val="nil"/>
              <w:right w:val="single" w:sz="4" w:space="0" w:color="auto"/>
            </w:tcBorders>
            <w:shd w:val="clear" w:color="000000" w:fill="F2DCDB"/>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 </w:t>
            </w:r>
          </w:p>
        </w:tc>
        <w:tc>
          <w:tcPr>
            <w:tcW w:w="497"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3</w:t>
            </w:r>
          </w:p>
        </w:tc>
        <w:tc>
          <w:tcPr>
            <w:tcW w:w="150"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right"/>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428"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1</w:t>
            </w:r>
          </w:p>
        </w:tc>
        <w:tc>
          <w:tcPr>
            <w:tcW w:w="497"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19</w:t>
            </w:r>
          </w:p>
        </w:tc>
        <w:tc>
          <w:tcPr>
            <w:tcW w:w="150"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right"/>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428" w:type="dxa"/>
            <w:tcBorders>
              <w:top w:val="nil"/>
              <w:left w:val="nil"/>
              <w:bottom w:val="nil"/>
              <w:right w:val="single" w:sz="4" w:space="0" w:color="auto"/>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0.1</w:t>
            </w:r>
          </w:p>
        </w:tc>
        <w:tc>
          <w:tcPr>
            <w:tcW w:w="346" w:type="dxa"/>
            <w:tcBorders>
              <w:top w:val="nil"/>
              <w:left w:val="nil"/>
              <w:bottom w:val="nil"/>
              <w:right w:val="nil"/>
            </w:tcBorders>
            <w:shd w:val="clear" w:color="000000" w:fill="DA9694"/>
            <w:noWrap/>
            <w:vAlign w:val="bottom"/>
            <w:hideMark/>
          </w:tcPr>
          <w:p w:rsidR="00D350F7" w:rsidRPr="00D350F7" w:rsidRDefault="00D350F7" w:rsidP="00D350F7">
            <w:pPr>
              <w:spacing w:after="0" w:line="240" w:lineRule="auto"/>
              <w:jc w:val="right"/>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6</w:t>
            </w:r>
          </w:p>
        </w:tc>
        <w:tc>
          <w:tcPr>
            <w:tcW w:w="368" w:type="dxa"/>
            <w:tcBorders>
              <w:top w:val="nil"/>
              <w:left w:val="nil"/>
              <w:bottom w:val="nil"/>
              <w:right w:val="single" w:sz="4" w:space="0" w:color="auto"/>
            </w:tcBorders>
            <w:shd w:val="clear" w:color="000000" w:fill="DA9694"/>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r>
      <w:tr w:rsidR="00D350F7" w:rsidRPr="00D350F7" w:rsidTr="00D350F7">
        <w:trPr>
          <w:trHeight w:val="300"/>
          <w:jc w:val="center"/>
        </w:trPr>
        <w:tc>
          <w:tcPr>
            <w:tcW w:w="759" w:type="dxa"/>
            <w:tcBorders>
              <w:top w:val="nil"/>
              <w:left w:val="single" w:sz="4" w:space="0" w:color="auto"/>
              <w:bottom w:val="nil"/>
              <w:right w:val="single" w:sz="4" w:space="0" w:color="auto"/>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Pip</w:t>
            </w:r>
          </w:p>
        </w:tc>
        <w:tc>
          <w:tcPr>
            <w:tcW w:w="497"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1</w:t>
            </w:r>
          </w:p>
        </w:tc>
        <w:tc>
          <w:tcPr>
            <w:tcW w:w="150"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right"/>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538"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0.1</w:t>
            </w:r>
          </w:p>
        </w:tc>
        <w:tc>
          <w:tcPr>
            <w:tcW w:w="497"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8</w:t>
            </w:r>
          </w:p>
        </w:tc>
        <w:tc>
          <w:tcPr>
            <w:tcW w:w="150"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right"/>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428" w:type="dxa"/>
            <w:tcBorders>
              <w:top w:val="nil"/>
              <w:left w:val="nil"/>
              <w:bottom w:val="nil"/>
              <w:right w:val="single" w:sz="4" w:space="0" w:color="auto"/>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0.5</w:t>
            </w:r>
          </w:p>
        </w:tc>
        <w:tc>
          <w:tcPr>
            <w:tcW w:w="346" w:type="dxa"/>
            <w:tcBorders>
              <w:top w:val="nil"/>
              <w:left w:val="nil"/>
              <w:bottom w:val="nil"/>
              <w:right w:val="nil"/>
            </w:tcBorders>
            <w:shd w:val="clear" w:color="000000" w:fill="E6B8B7"/>
            <w:noWrap/>
            <w:vAlign w:val="bottom"/>
            <w:hideMark/>
          </w:tcPr>
          <w:p w:rsidR="00D350F7" w:rsidRPr="00D350F7" w:rsidRDefault="00D350F7" w:rsidP="00D350F7">
            <w:pPr>
              <w:spacing w:after="0" w:line="240" w:lineRule="auto"/>
              <w:jc w:val="right"/>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5</w:t>
            </w:r>
          </w:p>
        </w:tc>
        <w:tc>
          <w:tcPr>
            <w:tcW w:w="368" w:type="dxa"/>
            <w:tcBorders>
              <w:top w:val="nil"/>
              <w:left w:val="nil"/>
              <w:bottom w:val="nil"/>
              <w:right w:val="single" w:sz="4" w:space="0" w:color="auto"/>
            </w:tcBorders>
            <w:shd w:val="clear" w:color="000000" w:fill="E6B8B7"/>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497"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1</w:t>
            </w:r>
          </w:p>
        </w:tc>
        <w:tc>
          <w:tcPr>
            <w:tcW w:w="150"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right"/>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428"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0.1</w:t>
            </w:r>
          </w:p>
        </w:tc>
        <w:tc>
          <w:tcPr>
            <w:tcW w:w="497"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1</w:t>
            </w:r>
          </w:p>
        </w:tc>
        <w:tc>
          <w:tcPr>
            <w:tcW w:w="150"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right"/>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428" w:type="dxa"/>
            <w:tcBorders>
              <w:top w:val="nil"/>
              <w:left w:val="nil"/>
              <w:bottom w:val="nil"/>
              <w:right w:val="single" w:sz="4" w:space="0" w:color="auto"/>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0.1</w:t>
            </w:r>
          </w:p>
        </w:tc>
        <w:tc>
          <w:tcPr>
            <w:tcW w:w="346"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right"/>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1</w:t>
            </w:r>
          </w:p>
        </w:tc>
        <w:tc>
          <w:tcPr>
            <w:tcW w:w="368" w:type="dxa"/>
            <w:tcBorders>
              <w:top w:val="nil"/>
              <w:left w:val="nil"/>
              <w:bottom w:val="nil"/>
              <w:right w:val="single" w:sz="4" w:space="0" w:color="auto"/>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 </w:t>
            </w:r>
          </w:p>
        </w:tc>
        <w:tc>
          <w:tcPr>
            <w:tcW w:w="497"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1</w:t>
            </w:r>
          </w:p>
        </w:tc>
        <w:tc>
          <w:tcPr>
            <w:tcW w:w="150"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right"/>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428"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0.3</w:t>
            </w:r>
          </w:p>
        </w:tc>
        <w:tc>
          <w:tcPr>
            <w:tcW w:w="497"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6</w:t>
            </w:r>
          </w:p>
        </w:tc>
        <w:tc>
          <w:tcPr>
            <w:tcW w:w="150"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right"/>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317" w:type="dxa"/>
            <w:tcBorders>
              <w:top w:val="nil"/>
              <w:left w:val="nil"/>
              <w:bottom w:val="nil"/>
              <w:right w:val="single" w:sz="4" w:space="0" w:color="auto"/>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0.5</w:t>
            </w:r>
          </w:p>
        </w:tc>
        <w:tc>
          <w:tcPr>
            <w:tcW w:w="421" w:type="dxa"/>
            <w:tcBorders>
              <w:top w:val="nil"/>
              <w:left w:val="nil"/>
              <w:bottom w:val="nil"/>
              <w:right w:val="nil"/>
            </w:tcBorders>
            <w:shd w:val="clear" w:color="000000" w:fill="DA9694"/>
            <w:noWrap/>
            <w:vAlign w:val="bottom"/>
            <w:hideMark/>
          </w:tcPr>
          <w:p w:rsidR="00D350F7" w:rsidRPr="00D350F7" w:rsidRDefault="00D350F7" w:rsidP="00D350F7">
            <w:pPr>
              <w:spacing w:after="0" w:line="240" w:lineRule="auto"/>
              <w:jc w:val="right"/>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6</w:t>
            </w:r>
          </w:p>
        </w:tc>
        <w:tc>
          <w:tcPr>
            <w:tcW w:w="259" w:type="dxa"/>
            <w:tcBorders>
              <w:top w:val="nil"/>
              <w:left w:val="nil"/>
              <w:bottom w:val="nil"/>
              <w:right w:val="single" w:sz="4" w:space="0" w:color="auto"/>
            </w:tcBorders>
            <w:shd w:val="clear" w:color="000000" w:fill="DA9694"/>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497"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2</w:t>
            </w:r>
          </w:p>
        </w:tc>
        <w:tc>
          <w:tcPr>
            <w:tcW w:w="150"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right"/>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428"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0.2</w:t>
            </w:r>
          </w:p>
        </w:tc>
        <w:tc>
          <w:tcPr>
            <w:tcW w:w="497"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14</w:t>
            </w:r>
          </w:p>
        </w:tc>
        <w:tc>
          <w:tcPr>
            <w:tcW w:w="150"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right"/>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428" w:type="dxa"/>
            <w:tcBorders>
              <w:top w:val="nil"/>
              <w:left w:val="nil"/>
              <w:bottom w:val="nil"/>
              <w:right w:val="single" w:sz="4" w:space="0" w:color="auto"/>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1</w:t>
            </w:r>
          </w:p>
        </w:tc>
        <w:tc>
          <w:tcPr>
            <w:tcW w:w="346" w:type="dxa"/>
            <w:tcBorders>
              <w:top w:val="nil"/>
              <w:left w:val="nil"/>
              <w:bottom w:val="nil"/>
              <w:right w:val="nil"/>
            </w:tcBorders>
            <w:shd w:val="clear" w:color="000000" w:fill="DA9694"/>
            <w:noWrap/>
            <w:vAlign w:val="bottom"/>
            <w:hideMark/>
          </w:tcPr>
          <w:p w:rsidR="00D350F7" w:rsidRPr="00D350F7" w:rsidRDefault="00D350F7" w:rsidP="00D350F7">
            <w:pPr>
              <w:spacing w:after="0" w:line="240" w:lineRule="auto"/>
              <w:jc w:val="right"/>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9</w:t>
            </w:r>
          </w:p>
        </w:tc>
        <w:tc>
          <w:tcPr>
            <w:tcW w:w="368" w:type="dxa"/>
            <w:tcBorders>
              <w:top w:val="nil"/>
              <w:left w:val="nil"/>
              <w:bottom w:val="nil"/>
              <w:right w:val="single" w:sz="4" w:space="0" w:color="auto"/>
            </w:tcBorders>
            <w:shd w:val="clear" w:color="000000" w:fill="DA9694"/>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r>
      <w:tr w:rsidR="00D350F7" w:rsidRPr="00D350F7" w:rsidTr="00D350F7">
        <w:trPr>
          <w:trHeight w:val="300"/>
          <w:jc w:val="center"/>
        </w:trPr>
        <w:tc>
          <w:tcPr>
            <w:tcW w:w="759" w:type="dxa"/>
            <w:tcBorders>
              <w:top w:val="nil"/>
              <w:left w:val="single" w:sz="4" w:space="0" w:color="auto"/>
              <w:bottom w:val="nil"/>
              <w:right w:val="single" w:sz="4" w:space="0" w:color="auto"/>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Pro</w:t>
            </w:r>
          </w:p>
        </w:tc>
        <w:tc>
          <w:tcPr>
            <w:tcW w:w="497"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15</w:t>
            </w:r>
          </w:p>
        </w:tc>
        <w:tc>
          <w:tcPr>
            <w:tcW w:w="150"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right"/>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538"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1</w:t>
            </w:r>
          </w:p>
        </w:tc>
        <w:tc>
          <w:tcPr>
            <w:tcW w:w="497"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66</w:t>
            </w:r>
          </w:p>
        </w:tc>
        <w:tc>
          <w:tcPr>
            <w:tcW w:w="150"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right"/>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428" w:type="dxa"/>
            <w:tcBorders>
              <w:top w:val="nil"/>
              <w:left w:val="nil"/>
              <w:bottom w:val="nil"/>
              <w:right w:val="single" w:sz="4" w:space="0" w:color="auto"/>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5</w:t>
            </w:r>
          </w:p>
        </w:tc>
        <w:tc>
          <w:tcPr>
            <w:tcW w:w="346" w:type="dxa"/>
            <w:tcBorders>
              <w:top w:val="nil"/>
              <w:left w:val="nil"/>
              <w:bottom w:val="nil"/>
              <w:right w:val="nil"/>
            </w:tcBorders>
            <w:shd w:val="clear" w:color="000000" w:fill="E6B8B7"/>
            <w:noWrap/>
            <w:vAlign w:val="bottom"/>
            <w:hideMark/>
          </w:tcPr>
          <w:p w:rsidR="00D350F7" w:rsidRPr="00D350F7" w:rsidRDefault="00D350F7" w:rsidP="00D350F7">
            <w:pPr>
              <w:spacing w:after="0" w:line="240" w:lineRule="auto"/>
              <w:jc w:val="right"/>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4</w:t>
            </w:r>
          </w:p>
        </w:tc>
        <w:tc>
          <w:tcPr>
            <w:tcW w:w="368" w:type="dxa"/>
            <w:tcBorders>
              <w:top w:val="nil"/>
              <w:left w:val="nil"/>
              <w:bottom w:val="nil"/>
              <w:right w:val="single" w:sz="4" w:space="0" w:color="auto"/>
            </w:tcBorders>
            <w:shd w:val="clear" w:color="000000" w:fill="E6B8B7"/>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497"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12</w:t>
            </w:r>
          </w:p>
        </w:tc>
        <w:tc>
          <w:tcPr>
            <w:tcW w:w="150"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right"/>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428"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0.04</w:t>
            </w:r>
          </w:p>
        </w:tc>
        <w:tc>
          <w:tcPr>
            <w:tcW w:w="497"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48</w:t>
            </w:r>
          </w:p>
        </w:tc>
        <w:tc>
          <w:tcPr>
            <w:tcW w:w="150"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right"/>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428" w:type="dxa"/>
            <w:tcBorders>
              <w:top w:val="nil"/>
              <w:left w:val="nil"/>
              <w:bottom w:val="nil"/>
              <w:right w:val="single" w:sz="4" w:space="0" w:color="auto"/>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2</w:t>
            </w:r>
          </w:p>
        </w:tc>
        <w:tc>
          <w:tcPr>
            <w:tcW w:w="346" w:type="dxa"/>
            <w:tcBorders>
              <w:top w:val="nil"/>
              <w:left w:val="nil"/>
              <w:bottom w:val="nil"/>
              <w:right w:val="nil"/>
            </w:tcBorders>
            <w:shd w:val="clear" w:color="000000" w:fill="E6B8B7"/>
            <w:noWrap/>
            <w:vAlign w:val="bottom"/>
            <w:hideMark/>
          </w:tcPr>
          <w:p w:rsidR="00D350F7" w:rsidRPr="00D350F7" w:rsidRDefault="00D350F7" w:rsidP="00D350F7">
            <w:pPr>
              <w:spacing w:after="0" w:line="240" w:lineRule="auto"/>
              <w:jc w:val="right"/>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4</w:t>
            </w:r>
          </w:p>
        </w:tc>
        <w:tc>
          <w:tcPr>
            <w:tcW w:w="368" w:type="dxa"/>
            <w:tcBorders>
              <w:top w:val="nil"/>
              <w:left w:val="nil"/>
              <w:bottom w:val="nil"/>
              <w:right w:val="single" w:sz="4" w:space="0" w:color="auto"/>
            </w:tcBorders>
            <w:shd w:val="clear" w:color="000000" w:fill="E6B8B7"/>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497"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11</w:t>
            </w:r>
          </w:p>
        </w:tc>
        <w:tc>
          <w:tcPr>
            <w:tcW w:w="150"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right"/>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428"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1</w:t>
            </w:r>
          </w:p>
        </w:tc>
        <w:tc>
          <w:tcPr>
            <w:tcW w:w="497"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41</w:t>
            </w:r>
          </w:p>
        </w:tc>
        <w:tc>
          <w:tcPr>
            <w:tcW w:w="150"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right"/>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317" w:type="dxa"/>
            <w:tcBorders>
              <w:top w:val="nil"/>
              <w:left w:val="nil"/>
              <w:bottom w:val="nil"/>
              <w:right w:val="single" w:sz="4" w:space="0" w:color="auto"/>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4</w:t>
            </w:r>
          </w:p>
        </w:tc>
        <w:tc>
          <w:tcPr>
            <w:tcW w:w="421" w:type="dxa"/>
            <w:tcBorders>
              <w:top w:val="nil"/>
              <w:left w:val="nil"/>
              <w:bottom w:val="nil"/>
              <w:right w:val="nil"/>
            </w:tcBorders>
            <w:shd w:val="clear" w:color="000000" w:fill="E6B8B7"/>
            <w:noWrap/>
            <w:vAlign w:val="bottom"/>
            <w:hideMark/>
          </w:tcPr>
          <w:p w:rsidR="00D350F7" w:rsidRPr="00D350F7" w:rsidRDefault="00D350F7" w:rsidP="00D350F7">
            <w:pPr>
              <w:spacing w:after="0" w:line="240" w:lineRule="auto"/>
              <w:jc w:val="right"/>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4</w:t>
            </w:r>
          </w:p>
        </w:tc>
        <w:tc>
          <w:tcPr>
            <w:tcW w:w="259" w:type="dxa"/>
            <w:tcBorders>
              <w:top w:val="nil"/>
              <w:left w:val="nil"/>
              <w:bottom w:val="nil"/>
              <w:right w:val="single" w:sz="4" w:space="0" w:color="auto"/>
            </w:tcBorders>
            <w:shd w:val="clear" w:color="000000" w:fill="E6B8B7"/>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497"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13</w:t>
            </w:r>
          </w:p>
        </w:tc>
        <w:tc>
          <w:tcPr>
            <w:tcW w:w="150"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right"/>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428"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0.5</w:t>
            </w:r>
          </w:p>
        </w:tc>
        <w:tc>
          <w:tcPr>
            <w:tcW w:w="497"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48</w:t>
            </w:r>
          </w:p>
        </w:tc>
        <w:tc>
          <w:tcPr>
            <w:tcW w:w="150"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right"/>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428" w:type="dxa"/>
            <w:tcBorders>
              <w:top w:val="nil"/>
              <w:left w:val="nil"/>
              <w:bottom w:val="nil"/>
              <w:right w:val="single" w:sz="4" w:space="0" w:color="auto"/>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3</w:t>
            </w:r>
          </w:p>
        </w:tc>
        <w:tc>
          <w:tcPr>
            <w:tcW w:w="346" w:type="dxa"/>
            <w:tcBorders>
              <w:top w:val="nil"/>
              <w:left w:val="nil"/>
              <w:bottom w:val="nil"/>
              <w:right w:val="nil"/>
            </w:tcBorders>
            <w:shd w:val="clear" w:color="000000" w:fill="E6B8B7"/>
            <w:noWrap/>
            <w:vAlign w:val="bottom"/>
            <w:hideMark/>
          </w:tcPr>
          <w:p w:rsidR="00D350F7" w:rsidRPr="00D350F7" w:rsidRDefault="00D350F7" w:rsidP="00D350F7">
            <w:pPr>
              <w:spacing w:after="0" w:line="240" w:lineRule="auto"/>
              <w:jc w:val="right"/>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4</w:t>
            </w:r>
          </w:p>
        </w:tc>
        <w:tc>
          <w:tcPr>
            <w:tcW w:w="368" w:type="dxa"/>
            <w:tcBorders>
              <w:top w:val="nil"/>
              <w:left w:val="nil"/>
              <w:bottom w:val="nil"/>
              <w:right w:val="single" w:sz="4" w:space="0" w:color="auto"/>
            </w:tcBorders>
            <w:shd w:val="clear" w:color="000000" w:fill="E6B8B7"/>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r>
      <w:tr w:rsidR="00D350F7" w:rsidRPr="00D350F7" w:rsidTr="00D350F7">
        <w:trPr>
          <w:trHeight w:val="300"/>
          <w:jc w:val="center"/>
        </w:trPr>
        <w:tc>
          <w:tcPr>
            <w:tcW w:w="759" w:type="dxa"/>
            <w:tcBorders>
              <w:top w:val="nil"/>
              <w:left w:val="single" w:sz="4" w:space="0" w:color="auto"/>
              <w:bottom w:val="nil"/>
              <w:right w:val="single" w:sz="4" w:space="0" w:color="auto"/>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Ser</w:t>
            </w:r>
          </w:p>
        </w:tc>
        <w:tc>
          <w:tcPr>
            <w:tcW w:w="497"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39</w:t>
            </w:r>
          </w:p>
        </w:tc>
        <w:tc>
          <w:tcPr>
            <w:tcW w:w="150"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right"/>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538"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6</w:t>
            </w:r>
          </w:p>
        </w:tc>
        <w:tc>
          <w:tcPr>
            <w:tcW w:w="497"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73</w:t>
            </w:r>
          </w:p>
        </w:tc>
        <w:tc>
          <w:tcPr>
            <w:tcW w:w="150"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right"/>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428" w:type="dxa"/>
            <w:tcBorders>
              <w:top w:val="nil"/>
              <w:left w:val="nil"/>
              <w:bottom w:val="nil"/>
              <w:right w:val="single" w:sz="4" w:space="0" w:color="auto"/>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1</w:t>
            </w:r>
          </w:p>
        </w:tc>
        <w:tc>
          <w:tcPr>
            <w:tcW w:w="346" w:type="dxa"/>
            <w:tcBorders>
              <w:top w:val="nil"/>
              <w:left w:val="nil"/>
              <w:bottom w:val="nil"/>
              <w:right w:val="nil"/>
            </w:tcBorders>
            <w:shd w:val="clear" w:color="000000" w:fill="F2DCDB"/>
            <w:noWrap/>
            <w:vAlign w:val="bottom"/>
            <w:hideMark/>
          </w:tcPr>
          <w:p w:rsidR="00D350F7" w:rsidRPr="00D350F7" w:rsidRDefault="00D350F7" w:rsidP="00D350F7">
            <w:pPr>
              <w:spacing w:after="0" w:line="240" w:lineRule="auto"/>
              <w:jc w:val="right"/>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2</w:t>
            </w:r>
          </w:p>
        </w:tc>
        <w:tc>
          <w:tcPr>
            <w:tcW w:w="368" w:type="dxa"/>
            <w:tcBorders>
              <w:top w:val="nil"/>
              <w:left w:val="nil"/>
              <w:bottom w:val="nil"/>
              <w:right w:val="single" w:sz="4" w:space="0" w:color="auto"/>
            </w:tcBorders>
            <w:shd w:val="clear" w:color="000000" w:fill="F2DCDB"/>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497"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44</w:t>
            </w:r>
          </w:p>
        </w:tc>
        <w:tc>
          <w:tcPr>
            <w:tcW w:w="150"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right"/>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428"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5</w:t>
            </w:r>
          </w:p>
        </w:tc>
        <w:tc>
          <w:tcPr>
            <w:tcW w:w="497"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45</w:t>
            </w:r>
          </w:p>
        </w:tc>
        <w:tc>
          <w:tcPr>
            <w:tcW w:w="150"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right"/>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428" w:type="dxa"/>
            <w:tcBorders>
              <w:top w:val="nil"/>
              <w:left w:val="nil"/>
              <w:bottom w:val="nil"/>
              <w:right w:val="single" w:sz="4" w:space="0" w:color="auto"/>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3</w:t>
            </w:r>
          </w:p>
        </w:tc>
        <w:tc>
          <w:tcPr>
            <w:tcW w:w="346"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right"/>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1</w:t>
            </w:r>
          </w:p>
        </w:tc>
        <w:tc>
          <w:tcPr>
            <w:tcW w:w="368" w:type="dxa"/>
            <w:tcBorders>
              <w:top w:val="nil"/>
              <w:left w:val="nil"/>
              <w:bottom w:val="nil"/>
              <w:right w:val="single" w:sz="4" w:space="0" w:color="auto"/>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 </w:t>
            </w:r>
          </w:p>
        </w:tc>
        <w:tc>
          <w:tcPr>
            <w:tcW w:w="497"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44</w:t>
            </w:r>
          </w:p>
        </w:tc>
        <w:tc>
          <w:tcPr>
            <w:tcW w:w="150"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right"/>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428"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6</w:t>
            </w:r>
          </w:p>
        </w:tc>
        <w:tc>
          <w:tcPr>
            <w:tcW w:w="497"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32</w:t>
            </w:r>
          </w:p>
        </w:tc>
        <w:tc>
          <w:tcPr>
            <w:tcW w:w="150"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right"/>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317" w:type="dxa"/>
            <w:tcBorders>
              <w:top w:val="nil"/>
              <w:left w:val="nil"/>
              <w:bottom w:val="nil"/>
              <w:right w:val="single" w:sz="4" w:space="0" w:color="auto"/>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10</w:t>
            </w:r>
          </w:p>
        </w:tc>
        <w:tc>
          <w:tcPr>
            <w:tcW w:w="421"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right"/>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1</w:t>
            </w:r>
          </w:p>
        </w:tc>
        <w:tc>
          <w:tcPr>
            <w:tcW w:w="259" w:type="dxa"/>
            <w:tcBorders>
              <w:top w:val="nil"/>
              <w:left w:val="nil"/>
              <w:bottom w:val="nil"/>
              <w:right w:val="single" w:sz="4" w:space="0" w:color="auto"/>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 </w:t>
            </w:r>
          </w:p>
        </w:tc>
        <w:tc>
          <w:tcPr>
            <w:tcW w:w="497"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54</w:t>
            </w:r>
          </w:p>
        </w:tc>
        <w:tc>
          <w:tcPr>
            <w:tcW w:w="150"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right"/>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428"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23</w:t>
            </w:r>
          </w:p>
        </w:tc>
        <w:tc>
          <w:tcPr>
            <w:tcW w:w="497"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82</w:t>
            </w:r>
          </w:p>
        </w:tc>
        <w:tc>
          <w:tcPr>
            <w:tcW w:w="150"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right"/>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428" w:type="dxa"/>
            <w:tcBorders>
              <w:top w:val="nil"/>
              <w:left w:val="nil"/>
              <w:bottom w:val="nil"/>
              <w:right w:val="single" w:sz="4" w:space="0" w:color="auto"/>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3</w:t>
            </w:r>
          </w:p>
        </w:tc>
        <w:tc>
          <w:tcPr>
            <w:tcW w:w="346" w:type="dxa"/>
            <w:tcBorders>
              <w:top w:val="nil"/>
              <w:left w:val="nil"/>
              <w:bottom w:val="nil"/>
              <w:right w:val="nil"/>
            </w:tcBorders>
            <w:shd w:val="clear" w:color="000000" w:fill="F2DCDB"/>
            <w:noWrap/>
            <w:vAlign w:val="bottom"/>
            <w:hideMark/>
          </w:tcPr>
          <w:p w:rsidR="00D350F7" w:rsidRPr="00D350F7" w:rsidRDefault="00D350F7" w:rsidP="00D350F7">
            <w:pPr>
              <w:spacing w:after="0" w:line="240" w:lineRule="auto"/>
              <w:jc w:val="right"/>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2</w:t>
            </w:r>
          </w:p>
        </w:tc>
        <w:tc>
          <w:tcPr>
            <w:tcW w:w="368" w:type="dxa"/>
            <w:tcBorders>
              <w:top w:val="nil"/>
              <w:left w:val="nil"/>
              <w:bottom w:val="nil"/>
              <w:right w:val="single" w:sz="4" w:space="0" w:color="auto"/>
            </w:tcBorders>
            <w:shd w:val="clear" w:color="000000" w:fill="F2DCDB"/>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 </w:t>
            </w:r>
          </w:p>
        </w:tc>
      </w:tr>
      <w:tr w:rsidR="00D350F7" w:rsidRPr="00D350F7" w:rsidTr="00D350F7">
        <w:trPr>
          <w:trHeight w:val="300"/>
          <w:jc w:val="center"/>
        </w:trPr>
        <w:tc>
          <w:tcPr>
            <w:tcW w:w="759" w:type="dxa"/>
            <w:tcBorders>
              <w:top w:val="nil"/>
              <w:left w:val="single" w:sz="4" w:space="0" w:color="auto"/>
              <w:bottom w:val="nil"/>
              <w:right w:val="single" w:sz="4" w:space="0" w:color="auto"/>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Thr</w:t>
            </w:r>
          </w:p>
        </w:tc>
        <w:tc>
          <w:tcPr>
            <w:tcW w:w="497"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34</w:t>
            </w:r>
          </w:p>
        </w:tc>
        <w:tc>
          <w:tcPr>
            <w:tcW w:w="150"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right"/>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538"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5</w:t>
            </w:r>
          </w:p>
        </w:tc>
        <w:tc>
          <w:tcPr>
            <w:tcW w:w="497"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47</w:t>
            </w:r>
          </w:p>
        </w:tc>
        <w:tc>
          <w:tcPr>
            <w:tcW w:w="150"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right"/>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428" w:type="dxa"/>
            <w:tcBorders>
              <w:top w:val="nil"/>
              <w:left w:val="nil"/>
              <w:bottom w:val="nil"/>
              <w:right w:val="single" w:sz="4" w:space="0" w:color="auto"/>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1</w:t>
            </w:r>
          </w:p>
        </w:tc>
        <w:tc>
          <w:tcPr>
            <w:tcW w:w="346"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right"/>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1</w:t>
            </w:r>
          </w:p>
        </w:tc>
        <w:tc>
          <w:tcPr>
            <w:tcW w:w="368" w:type="dxa"/>
            <w:tcBorders>
              <w:top w:val="nil"/>
              <w:left w:val="nil"/>
              <w:bottom w:val="nil"/>
              <w:right w:val="single" w:sz="4" w:space="0" w:color="auto"/>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 </w:t>
            </w:r>
          </w:p>
        </w:tc>
        <w:tc>
          <w:tcPr>
            <w:tcW w:w="497"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38</w:t>
            </w:r>
          </w:p>
        </w:tc>
        <w:tc>
          <w:tcPr>
            <w:tcW w:w="150"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right"/>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428"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5</w:t>
            </w:r>
          </w:p>
        </w:tc>
        <w:tc>
          <w:tcPr>
            <w:tcW w:w="497"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30</w:t>
            </w:r>
          </w:p>
        </w:tc>
        <w:tc>
          <w:tcPr>
            <w:tcW w:w="150"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right"/>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428" w:type="dxa"/>
            <w:tcBorders>
              <w:top w:val="nil"/>
              <w:left w:val="nil"/>
              <w:bottom w:val="nil"/>
              <w:right w:val="single" w:sz="4" w:space="0" w:color="auto"/>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2</w:t>
            </w:r>
          </w:p>
        </w:tc>
        <w:tc>
          <w:tcPr>
            <w:tcW w:w="346"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right"/>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1</w:t>
            </w:r>
          </w:p>
        </w:tc>
        <w:tc>
          <w:tcPr>
            <w:tcW w:w="368" w:type="dxa"/>
            <w:tcBorders>
              <w:top w:val="nil"/>
              <w:left w:val="nil"/>
              <w:bottom w:val="nil"/>
              <w:right w:val="single" w:sz="4" w:space="0" w:color="auto"/>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 </w:t>
            </w:r>
          </w:p>
        </w:tc>
        <w:tc>
          <w:tcPr>
            <w:tcW w:w="497"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34</w:t>
            </w:r>
          </w:p>
        </w:tc>
        <w:tc>
          <w:tcPr>
            <w:tcW w:w="150"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right"/>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428"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6</w:t>
            </w:r>
          </w:p>
        </w:tc>
        <w:tc>
          <w:tcPr>
            <w:tcW w:w="497"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20</w:t>
            </w:r>
          </w:p>
        </w:tc>
        <w:tc>
          <w:tcPr>
            <w:tcW w:w="150"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right"/>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317" w:type="dxa"/>
            <w:tcBorders>
              <w:top w:val="nil"/>
              <w:left w:val="nil"/>
              <w:bottom w:val="nil"/>
              <w:right w:val="single" w:sz="4" w:space="0" w:color="auto"/>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7</w:t>
            </w:r>
          </w:p>
        </w:tc>
        <w:tc>
          <w:tcPr>
            <w:tcW w:w="421"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right"/>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1</w:t>
            </w:r>
          </w:p>
        </w:tc>
        <w:tc>
          <w:tcPr>
            <w:tcW w:w="259" w:type="dxa"/>
            <w:tcBorders>
              <w:top w:val="nil"/>
              <w:left w:val="nil"/>
              <w:bottom w:val="nil"/>
              <w:right w:val="single" w:sz="4" w:space="0" w:color="auto"/>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 </w:t>
            </w:r>
          </w:p>
        </w:tc>
        <w:tc>
          <w:tcPr>
            <w:tcW w:w="497"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41</w:t>
            </w:r>
          </w:p>
        </w:tc>
        <w:tc>
          <w:tcPr>
            <w:tcW w:w="150"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right"/>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428"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16</w:t>
            </w:r>
          </w:p>
        </w:tc>
        <w:tc>
          <w:tcPr>
            <w:tcW w:w="497"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56</w:t>
            </w:r>
          </w:p>
        </w:tc>
        <w:tc>
          <w:tcPr>
            <w:tcW w:w="150"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right"/>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428" w:type="dxa"/>
            <w:tcBorders>
              <w:top w:val="nil"/>
              <w:left w:val="nil"/>
              <w:bottom w:val="nil"/>
              <w:right w:val="single" w:sz="4" w:space="0" w:color="auto"/>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2</w:t>
            </w:r>
          </w:p>
        </w:tc>
        <w:tc>
          <w:tcPr>
            <w:tcW w:w="346"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right"/>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1</w:t>
            </w:r>
          </w:p>
        </w:tc>
        <w:tc>
          <w:tcPr>
            <w:tcW w:w="368" w:type="dxa"/>
            <w:tcBorders>
              <w:top w:val="nil"/>
              <w:left w:val="nil"/>
              <w:bottom w:val="nil"/>
              <w:right w:val="single" w:sz="4" w:space="0" w:color="auto"/>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 </w:t>
            </w:r>
          </w:p>
        </w:tc>
      </w:tr>
      <w:tr w:rsidR="00D350F7" w:rsidRPr="00D350F7" w:rsidTr="00D350F7">
        <w:trPr>
          <w:trHeight w:val="300"/>
          <w:jc w:val="center"/>
        </w:trPr>
        <w:tc>
          <w:tcPr>
            <w:tcW w:w="759" w:type="dxa"/>
            <w:tcBorders>
              <w:top w:val="nil"/>
              <w:left w:val="single" w:sz="4" w:space="0" w:color="auto"/>
              <w:bottom w:val="nil"/>
              <w:right w:val="single" w:sz="4" w:space="0" w:color="auto"/>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Trp</w:t>
            </w:r>
          </w:p>
        </w:tc>
        <w:tc>
          <w:tcPr>
            <w:tcW w:w="497"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0.3</w:t>
            </w:r>
          </w:p>
        </w:tc>
        <w:tc>
          <w:tcPr>
            <w:tcW w:w="150"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right"/>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538"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0.1</w:t>
            </w:r>
          </w:p>
        </w:tc>
        <w:tc>
          <w:tcPr>
            <w:tcW w:w="497"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5</w:t>
            </w:r>
          </w:p>
        </w:tc>
        <w:tc>
          <w:tcPr>
            <w:tcW w:w="150"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right"/>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428" w:type="dxa"/>
            <w:tcBorders>
              <w:top w:val="nil"/>
              <w:left w:val="nil"/>
              <w:bottom w:val="nil"/>
              <w:right w:val="single" w:sz="4" w:space="0" w:color="auto"/>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0.3</w:t>
            </w:r>
          </w:p>
        </w:tc>
        <w:tc>
          <w:tcPr>
            <w:tcW w:w="346" w:type="dxa"/>
            <w:tcBorders>
              <w:top w:val="nil"/>
              <w:left w:val="nil"/>
              <w:bottom w:val="nil"/>
              <w:right w:val="nil"/>
            </w:tcBorders>
            <w:shd w:val="clear" w:color="000000" w:fill="DA9694"/>
            <w:noWrap/>
            <w:vAlign w:val="bottom"/>
            <w:hideMark/>
          </w:tcPr>
          <w:p w:rsidR="00D350F7" w:rsidRPr="00D350F7" w:rsidRDefault="00D350F7" w:rsidP="00D350F7">
            <w:pPr>
              <w:spacing w:after="0" w:line="240" w:lineRule="auto"/>
              <w:jc w:val="right"/>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16</w:t>
            </w:r>
          </w:p>
        </w:tc>
        <w:tc>
          <w:tcPr>
            <w:tcW w:w="368" w:type="dxa"/>
            <w:tcBorders>
              <w:top w:val="nil"/>
              <w:left w:val="nil"/>
              <w:bottom w:val="nil"/>
              <w:right w:val="single" w:sz="4" w:space="0" w:color="auto"/>
            </w:tcBorders>
            <w:shd w:val="clear" w:color="000000" w:fill="DA9694"/>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497"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0.5</w:t>
            </w:r>
          </w:p>
        </w:tc>
        <w:tc>
          <w:tcPr>
            <w:tcW w:w="150"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right"/>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428"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0.04</w:t>
            </w:r>
          </w:p>
        </w:tc>
        <w:tc>
          <w:tcPr>
            <w:tcW w:w="497"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5</w:t>
            </w:r>
          </w:p>
        </w:tc>
        <w:tc>
          <w:tcPr>
            <w:tcW w:w="150"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right"/>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428" w:type="dxa"/>
            <w:tcBorders>
              <w:top w:val="nil"/>
              <w:left w:val="nil"/>
              <w:bottom w:val="nil"/>
              <w:right w:val="single" w:sz="4" w:space="0" w:color="auto"/>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0.2</w:t>
            </w:r>
          </w:p>
        </w:tc>
        <w:tc>
          <w:tcPr>
            <w:tcW w:w="346" w:type="dxa"/>
            <w:tcBorders>
              <w:top w:val="nil"/>
              <w:left w:val="nil"/>
              <w:bottom w:val="nil"/>
              <w:right w:val="nil"/>
            </w:tcBorders>
            <w:shd w:val="clear" w:color="000000" w:fill="DA9694"/>
            <w:noWrap/>
            <w:vAlign w:val="bottom"/>
            <w:hideMark/>
          </w:tcPr>
          <w:p w:rsidR="00D350F7" w:rsidRPr="00D350F7" w:rsidRDefault="00D350F7" w:rsidP="00D350F7">
            <w:pPr>
              <w:spacing w:after="0" w:line="240" w:lineRule="auto"/>
              <w:jc w:val="right"/>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11</w:t>
            </w:r>
          </w:p>
        </w:tc>
        <w:tc>
          <w:tcPr>
            <w:tcW w:w="368" w:type="dxa"/>
            <w:tcBorders>
              <w:top w:val="nil"/>
              <w:left w:val="nil"/>
              <w:bottom w:val="nil"/>
              <w:right w:val="single" w:sz="4" w:space="0" w:color="auto"/>
            </w:tcBorders>
            <w:shd w:val="clear" w:color="000000" w:fill="DA9694"/>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497"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0.5</w:t>
            </w:r>
          </w:p>
        </w:tc>
        <w:tc>
          <w:tcPr>
            <w:tcW w:w="150"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right"/>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428"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0.01</w:t>
            </w:r>
          </w:p>
        </w:tc>
        <w:tc>
          <w:tcPr>
            <w:tcW w:w="497"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4</w:t>
            </w:r>
          </w:p>
        </w:tc>
        <w:tc>
          <w:tcPr>
            <w:tcW w:w="150"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right"/>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317" w:type="dxa"/>
            <w:tcBorders>
              <w:top w:val="nil"/>
              <w:left w:val="nil"/>
              <w:bottom w:val="nil"/>
              <w:right w:val="single" w:sz="4" w:space="0" w:color="auto"/>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2</w:t>
            </w:r>
          </w:p>
        </w:tc>
        <w:tc>
          <w:tcPr>
            <w:tcW w:w="421" w:type="dxa"/>
            <w:tcBorders>
              <w:top w:val="nil"/>
              <w:left w:val="nil"/>
              <w:bottom w:val="nil"/>
              <w:right w:val="nil"/>
            </w:tcBorders>
            <w:shd w:val="clear" w:color="000000" w:fill="DA9694"/>
            <w:noWrap/>
            <w:vAlign w:val="bottom"/>
            <w:hideMark/>
          </w:tcPr>
          <w:p w:rsidR="00D350F7" w:rsidRPr="00D350F7" w:rsidRDefault="00D350F7" w:rsidP="00D350F7">
            <w:pPr>
              <w:spacing w:after="0" w:line="240" w:lineRule="auto"/>
              <w:jc w:val="right"/>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8</w:t>
            </w:r>
          </w:p>
        </w:tc>
        <w:tc>
          <w:tcPr>
            <w:tcW w:w="259" w:type="dxa"/>
            <w:tcBorders>
              <w:top w:val="nil"/>
              <w:left w:val="nil"/>
              <w:bottom w:val="nil"/>
              <w:right w:val="single" w:sz="4" w:space="0" w:color="auto"/>
            </w:tcBorders>
            <w:shd w:val="clear" w:color="000000" w:fill="DA9694"/>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 </w:t>
            </w:r>
          </w:p>
        </w:tc>
        <w:tc>
          <w:tcPr>
            <w:tcW w:w="497"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0.4</w:t>
            </w:r>
          </w:p>
        </w:tc>
        <w:tc>
          <w:tcPr>
            <w:tcW w:w="150"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right"/>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428"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0.2</w:t>
            </w:r>
          </w:p>
        </w:tc>
        <w:tc>
          <w:tcPr>
            <w:tcW w:w="497"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8</w:t>
            </w:r>
          </w:p>
        </w:tc>
        <w:tc>
          <w:tcPr>
            <w:tcW w:w="150"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right"/>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428" w:type="dxa"/>
            <w:tcBorders>
              <w:top w:val="nil"/>
              <w:left w:val="nil"/>
              <w:bottom w:val="nil"/>
              <w:right w:val="single" w:sz="4" w:space="0" w:color="auto"/>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0.4</w:t>
            </w:r>
          </w:p>
        </w:tc>
        <w:tc>
          <w:tcPr>
            <w:tcW w:w="346" w:type="dxa"/>
            <w:tcBorders>
              <w:top w:val="nil"/>
              <w:left w:val="nil"/>
              <w:bottom w:val="nil"/>
              <w:right w:val="nil"/>
            </w:tcBorders>
            <w:shd w:val="clear" w:color="000000" w:fill="DA9694"/>
            <w:noWrap/>
            <w:vAlign w:val="bottom"/>
            <w:hideMark/>
          </w:tcPr>
          <w:p w:rsidR="00D350F7" w:rsidRPr="00D350F7" w:rsidRDefault="00D350F7" w:rsidP="00D350F7">
            <w:pPr>
              <w:spacing w:after="0" w:line="240" w:lineRule="auto"/>
              <w:jc w:val="right"/>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19</w:t>
            </w:r>
          </w:p>
        </w:tc>
        <w:tc>
          <w:tcPr>
            <w:tcW w:w="368" w:type="dxa"/>
            <w:tcBorders>
              <w:top w:val="nil"/>
              <w:left w:val="nil"/>
              <w:bottom w:val="nil"/>
              <w:right w:val="single" w:sz="4" w:space="0" w:color="auto"/>
            </w:tcBorders>
            <w:shd w:val="clear" w:color="000000" w:fill="DA9694"/>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r>
      <w:tr w:rsidR="00D350F7" w:rsidRPr="00D350F7" w:rsidTr="00D350F7">
        <w:trPr>
          <w:trHeight w:val="300"/>
          <w:jc w:val="center"/>
        </w:trPr>
        <w:tc>
          <w:tcPr>
            <w:tcW w:w="759" w:type="dxa"/>
            <w:tcBorders>
              <w:top w:val="nil"/>
              <w:left w:val="single" w:sz="4" w:space="0" w:color="auto"/>
              <w:bottom w:val="nil"/>
              <w:right w:val="single" w:sz="4" w:space="0" w:color="auto"/>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Tyr</w:t>
            </w:r>
          </w:p>
        </w:tc>
        <w:tc>
          <w:tcPr>
            <w:tcW w:w="497"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1</w:t>
            </w:r>
          </w:p>
        </w:tc>
        <w:tc>
          <w:tcPr>
            <w:tcW w:w="150"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right"/>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538"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0.2</w:t>
            </w:r>
          </w:p>
        </w:tc>
        <w:tc>
          <w:tcPr>
            <w:tcW w:w="497"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12</w:t>
            </w:r>
          </w:p>
        </w:tc>
        <w:tc>
          <w:tcPr>
            <w:tcW w:w="150"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right"/>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428" w:type="dxa"/>
            <w:tcBorders>
              <w:top w:val="nil"/>
              <w:left w:val="nil"/>
              <w:bottom w:val="nil"/>
              <w:right w:val="single" w:sz="4" w:space="0" w:color="auto"/>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0.5</w:t>
            </w:r>
          </w:p>
        </w:tc>
        <w:tc>
          <w:tcPr>
            <w:tcW w:w="346" w:type="dxa"/>
            <w:tcBorders>
              <w:top w:val="nil"/>
              <w:left w:val="nil"/>
              <w:bottom w:val="nil"/>
              <w:right w:val="nil"/>
            </w:tcBorders>
            <w:shd w:val="clear" w:color="000000" w:fill="DA9694"/>
            <w:noWrap/>
            <w:vAlign w:val="bottom"/>
            <w:hideMark/>
          </w:tcPr>
          <w:p w:rsidR="00D350F7" w:rsidRPr="00D350F7" w:rsidRDefault="00D350F7" w:rsidP="00D350F7">
            <w:pPr>
              <w:spacing w:after="0" w:line="240" w:lineRule="auto"/>
              <w:jc w:val="right"/>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9</w:t>
            </w:r>
          </w:p>
        </w:tc>
        <w:tc>
          <w:tcPr>
            <w:tcW w:w="368" w:type="dxa"/>
            <w:tcBorders>
              <w:top w:val="nil"/>
              <w:left w:val="nil"/>
              <w:bottom w:val="nil"/>
              <w:right w:val="single" w:sz="4" w:space="0" w:color="auto"/>
            </w:tcBorders>
            <w:shd w:val="clear" w:color="000000" w:fill="DA9694"/>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497"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1</w:t>
            </w:r>
          </w:p>
        </w:tc>
        <w:tc>
          <w:tcPr>
            <w:tcW w:w="150"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right"/>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428"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0.1</w:t>
            </w:r>
          </w:p>
        </w:tc>
        <w:tc>
          <w:tcPr>
            <w:tcW w:w="497"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13</w:t>
            </w:r>
          </w:p>
        </w:tc>
        <w:tc>
          <w:tcPr>
            <w:tcW w:w="150"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right"/>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428" w:type="dxa"/>
            <w:tcBorders>
              <w:top w:val="nil"/>
              <w:left w:val="nil"/>
              <w:bottom w:val="nil"/>
              <w:right w:val="single" w:sz="4" w:space="0" w:color="auto"/>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1</w:t>
            </w:r>
          </w:p>
        </w:tc>
        <w:tc>
          <w:tcPr>
            <w:tcW w:w="346" w:type="dxa"/>
            <w:tcBorders>
              <w:top w:val="nil"/>
              <w:left w:val="nil"/>
              <w:bottom w:val="nil"/>
              <w:right w:val="nil"/>
            </w:tcBorders>
            <w:shd w:val="clear" w:color="000000" w:fill="DA9694"/>
            <w:noWrap/>
            <w:vAlign w:val="bottom"/>
            <w:hideMark/>
          </w:tcPr>
          <w:p w:rsidR="00D350F7" w:rsidRPr="00D350F7" w:rsidRDefault="00D350F7" w:rsidP="00D350F7">
            <w:pPr>
              <w:spacing w:after="0" w:line="240" w:lineRule="auto"/>
              <w:jc w:val="right"/>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9</w:t>
            </w:r>
          </w:p>
        </w:tc>
        <w:tc>
          <w:tcPr>
            <w:tcW w:w="368" w:type="dxa"/>
            <w:tcBorders>
              <w:top w:val="nil"/>
              <w:left w:val="nil"/>
              <w:bottom w:val="nil"/>
              <w:right w:val="single" w:sz="4" w:space="0" w:color="auto"/>
            </w:tcBorders>
            <w:shd w:val="clear" w:color="000000" w:fill="DA9694"/>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497"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1</w:t>
            </w:r>
          </w:p>
        </w:tc>
        <w:tc>
          <w:tcPr>
            <w:tcW w:w="150"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right"/>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428"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0.2</w:t>
            </w:r>
          </w:p>
        </w:tc>
        <w:tc>
          <w:tcPr>
            <w:tcW w:w="497"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11</w:t>
            </w:r>
          </w:p>
        </w:tc>
        <w:tc>
          <w:tcPr>
            <w:tcW w:w="150"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right"/>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317" w:type="dxa"/>
            <w:tcBorders>
              <w:top w:val="nil"/>
              <w:left w:val="nil"/>
              <w:bottom w:val="nil"/>
              <w:right w:val="single" w:sz="4" w:space="0" w:color="auto"/>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3</w:t>
            </w:r>
          </w:p>
        </w:tc>
        <w:tc>
          <w:tcPr>
            <w:tcW w:w="421" w:type="dxa"/>
            <w:tcBorders>
              <w:top w:val="nil"/>
              <w:left w:val="nil"/>
              <w:bottom w:val="nil"/>
              <w:right w:val="nil"/>
            </w:tcBorders>
            <w:shd w:val="clear" w:color="000000" w:fill="DA9694"/>
            <w:noWrap/>
            <w:vAlign w:val="bottom"/>
            <w:hideMark/>
          </w:tcPr>
          <w:p w:rsidR="00D350F7" w:rsidRPr="00D350F7" w:rsidRDefault="00D350F7" w:rsidP="00D350F7">
            <w:pPr>
              <w:spacing w:after="0" w:line="240" w:lineRule="auto"/>
              <w:jc w:val="right"/>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7</w:t>
            </w:r>
          </w:p>
        </w:tc>
        <w:tc>
          <w:tcPr>
            <w:tcW w:w="259" w:type="dxa"/>
            <w:tcBorders>
              <w:top w:val="nil"/>
              <w:left w:val="nil"/>
              <w:bottom w:val="nil"/>
              <w:right w:val="single" w:sz="4" w:space="0" w:color="auto"/>
            </w:tcBorders>
            <w:shd w:val="clear" w:color="000000" w:fill="DA9694"/>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 </w:t>
            </w:r>
          </w:p>
        </w:tc>
        <w:tc>
          <w:tcPr>
            <w:tcW w:w="497"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2</w:t>
            </w:r>
          </w:p>
        </w:tc>
        <w:tc>
          <w:tcPr>
            <w:tcW w:w="150"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right"/>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428"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0.5</w:t>
            </w:r>
          </w:p>
        </w:tc>
        <w:tc>
          <w:tcPr>
            <w:tcW w:w="497"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30</w:t>
            </w:r>
          </w:p>
        </w:tc>
        <w:tc>
          <w:tcPr>
            <w:tcW w:w="150"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right"/>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428" w:type="dxa"/>
            <w:tcBorders>
              <w:top w:val="nil"/>
              <w:left w:val="nil"/>
              <w:bottom w:val="nil"/>
              <w:right w:val="single" w:sz="4" w:space="0" w:color="auto"/>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1</w:t>
            </w:r>
          </w:p>
        </w:tc>
        <w:tc>
          <w:tcPr>
            <w:tcW w:w="346" w:type="dxa"/>
            <w:tcBorders>
              <w:top w:val="nil"/>
              <w:left w:val="nil"/>
              <w:bottom w:val="nil"/>
              <w:right w:val="nil"/>
            </w:tcBorders>
            <w:shd w:val="clear" w:color="000000" w:fill="963634"/>
            <w:noWrap/>
            <w:vAlign w:val="bottom"/>
            <w:hideMark/>
          </w:tcPr>
          <w:p w:rsidR="00D350F7" w:rsidRPr="00D350F7" w:rsidRDefault="00D350F7" w:rsidP="00D350F7">
            <w:pPr>
              <w:spacing w:after="0" w:line="240" w:lineRule="auto"/>
              <w:jc w:val="right"/>
              <w:rPr>
                <w:rFonts w:ascii="Calibri" w:eastAsia="Times New Roman" w:hAnsi="Calibri" w:cs="Times New Roman"/>
                <w:b/>
                <w:bCs/>
                <w:color w:val="FFFFFF"/>
                <w:lang w:val="de-DE" w:eastAsia="de-DE"/>
              </w:rPr>
            </w:pPr>
            <w:r w:rsidRPr="00D350F7">
              <w:rPr>
                <w:rFonts w:ascii="Calibri" w:eastAsia="Times New Roman" w:hAnsi="Calibri" w:cs="Times New Roman"/>
                <w:b/>
                <w:bCs/>
                <w:color w:val="FFFFFF"/>
                <w:lang w:val="de-DE" w:eastAsia="de-DE"/>
              </w:rPr>
              <w:t>20</w:t>
            </w:r>
          </w:p>
        </w:tc>
        <w:tc>
          <w:tcPr>
            <w:tcW w:w="368" w:type="dxa"/>
            <w:tcBorders>
              <w:top w:val="nil"/>
              <w:left w:val="nil"/>
              <w:bottom w:val="nil"/>
              <w:right w:val="single" w:sz="4" w:space="0" w:color="auto"/>
            </w:tcBorders>
            <w:shd w:val="clear" w:color="000000" w:fill="963634"/>
            <w:noWrap/>
            <w:vAlign w:val="bottom"/>
            <w:hideMark/>
          </w:tcPr>
          <w:p w:rsidR="00D350F7" w:rsidRPr="00D350F7" w:rsidRDefault="00D350F7" w:rsidP="00D350F7">
            <w:pPr>
              <w:spacing w:after="0" w:line="240" w:lineRule="auto"/>
              <w:rPr>
                <w:rFonts w:ascii="Calibri" w:eastAsia="Times New Roman" w:hAnsi="Calibri" w:cs="Times New Roman"/>
                <w:color w:val="FFFFFF"/>
                <w:sz w:val="16"/>
                <w:szCs w:val="16"/>
                <w:lang w:val="de-DE" w:eastAsia="de-DE"/>
              </w:rPr>
            </w:pPr>
            <w:r w:rsidRPr="00D350F7">
              <w:rPr>
                <w:rFonts w:ascii="Calibri" w:eastAsia="Times New Roman" w:hAnsi="Calibri" w:cs="Times New Roman"/>
                <w:color w:val="FFFFFF"/>
                <w:sz w:val="16"/>
                <w:szCs w:val="16"/>
                <w:lang w:val="de-DE" w:eastAsia="de-DE"/>
              </w:rPr>
              <w:t>***</w:t>
            </w:r>
          </w:p>
        </w:tc>
      </w:tr>
      <w:tr w:rsidR="00D350F7" w:rsidRPr="00D350F7" w:rsidTr="00D350F7">
        <w:trPr>
          <w:trHeight w:val="300"/>
          <w:jc w:val="center"/>
        </w:trPr>
        <w:tc>
          <w:tcPr>
            <w:tcW w:w="759" w:type="dxa"/>
            <w:tcBorders>
              <w:top w:val="nil"/>
              <w:left w:val="single" w:sz="4" w:space="0" w:color="auto"/>
              <w:bottom w:val="nil"/>
              <w:right w:val="single" w:sz="4" w:space="0" w:color="auto"/>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lastRenderedPageBreak/>
              <w:t>Val</w:t>
            </w:r>
          </w:p>
        </w:tc>
        <w:tc>
          <w:tcPr>
            <w:tcW w:w="497"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8</w:t>
            </w:r>
          </w:p>
        </w:tc>
        <w:tc>
          <w:tcPr>
            <w:tcW w:w="150"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right"/>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538"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1</w:t>
            </w:r>
          </w:p>
        </w:tc>
        <w:tc>
          <w:tcPr>
            <w:tcW w:w="497"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33</w:t>
            </w:r>
          </w:p>
        </w:tc>
        <w:tc>
          <w:tcPr>
            <w:tcW w:w="150"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right"/>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428" w:type="dxa"/>
            <w:tcBorders>
              <w:top w:val="nil"/>
              <w:left w:val="nil"/>
              <w:bottom w:val="nil"/>
              <w:right w:val="single" w:sz="4" w:space="0" w:color="auto"/>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2</w:t>
            </w:r>
          </w:p>
        </w:tc>
        <w:tc>
          <w:tcPr>
            <w:tcW w:w="346" w:type="dxa"/>
            <w:tcBorders>
              <w:top w:val="nil"/>
              <w:left w:val="nil"/>
              <w:bottom w:val="nil"/>
              <w:right w:val="nil"/>
            </w:tcBorders>
            <w:shd w:val="clear" w:color="000000" w:fill="E6B8B7"/>
            <w:noWrap/>
            <w:vAlign w:val="bottom"/>
            <w:hideMark/>
          </w:tcPr>
          <w:p w:rsidR="00D350F7" w:rsidRPr="00D350F7" w:rsidRDefault="00D350F7" w:rsidP="00D350F7">
            <w:pPr>
              <w:spacing w:after="0" w:line="240" w:lineRule="auto"/>
              <w:jc w:val="right"/>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4</w:t>
            </w:r>
          </w:p>
        </w:tc>
        <w:tc>
          <w:tcPr>
            <w:tcW w:w="368" w:type="dxa"/>
            <w:tcBorders>
              <w:top w:val="nil"/>
              <w:left w:val="nil"/>
              <w:bottom w:val="nil"/>
              <w:right w:val="single" w:sz="4" w:space="0" w:color="auto"/>
            </w:tcBorders>
            <w:shd w:val="clear" w:color="000000" w:fill="E6B8B7"/>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497"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5</w:t>
            </w:r>
          </w:p>
        </w:tc>
        <w:tc>
          <w:tcPr>
            <w:tcW w:w="150"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right"/>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428"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0.3</w:t>
            </w:r>
          </w:p>
        </w:tc>
        <w:tc>
          <w:tcPr>
            <w:tcW w:w="497"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16</w:t>
            </w:r>
          </w:p>
        </w:tc>
        <w:tc>
          <w:tcPr>
            <w:tcW w:w="150"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right"/>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428" w:type="dxa"/>
            <w:tcBorders>
              <w:top w:val="nil"/>
              <w:left w:val="nil"/>
              <w:bottom w:val="nil"/>
              <w:right w:val="single" w:sz="4" w:space="0" w:color="auto"/>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2</w:t>
            </w:r>
          </w:p>
        </w:tc>
        <w:tc>
          <w:tcPr>
            <w:tcW w:w="346" w:type="dxa"/>
            <w:tcBorders>
              <w:top w:val="nil"/>
              <w:left w:val="nil"/>
              <w:bottom w:val="nil"/>
              <w:right w:val="nil"/>
            </w:tcBorders>
            <w:shd w:val="clear" w:color="000000" w:fill="E6B8B7"/>
            <w:noWrap/>
            <w:vAlign w:val="bottom"/>
            <w:hideMark/>
          </w:tcPr>
          <w:p w:rsidR="00D350F7" w:rsidRPr="00D350F7" w:rsidRDefault="00D350F7" w:rsidP="00D350F7">
            <w:pPr>
              <w:spacing w:after="0" w:line="240" w:lineRule="auto"/>
              <w:jc w:val="right"/>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3</w:t>
            </w:r>
          </w:p>
        </w:tc>
        <w:tc>
          <w:tcPr>
            <w:tcW w:w="368" w:type="dxa"/>
            <w:tcBorders>
              <w:top w:val="nil"/>
              <w:left w:val="nil"/>
              <w:bottom w:val="nil"/>
              <w:right w:val="single" w:sz="4" w:space="0" w:color="auto"/>
            </w:tcBorders>
            <w:shd w:val="clear" w:color="000000" w:fill="E6B8B7"/>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497"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5</w:t>
            </w:r>
          </w:p>
        </w:tc>
        <w:tc>
          <w:tcPr>
            <w:tcW w:w="150"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right"/>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428"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0.4</w:t>
            </w:r>
          </w:p>
        </w:tc>
        <w:tc>
          <w:tcPr>
            <w:tcW w:w="497"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16</w:t>
            </w:r>
          </w:p>
        </w:tc>
        <w:tc>
          <w:tcPr>
            <w:tcW w:w="150"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right"/>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317" w:type="dxa"/>
            <w:tcBorders>
              <w:top w:val="nil"/>
              <w:left w:val="nil"/>
              <w:bottom w:val="nil"/>
              <w:right w:val="single" w:sz="4" w:space="0" w:color="auto"/>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3</w:t>
            </w:r>
          </w:p>
        </w:tc>
        <w:tc>
          <w:tcPr>
            <w:tcW w:w="421" w:type="dxa"/>
            <w:tcBorders>
              <w:top w:val="nil"/>
              <w:left w:val="nil"/>
              <w:bottom w:val="nil"/>
              <w:right w:val="nil"/>
            </w:tcBorders>
            <w:shd w:val="clear" w:color="000000" w:fill="E6B8B7"/>
            <w:noWrap/>
            <w:vAlign w:val="bottom"/>
            <w:hideMark/>
          </w:tcPr>
          <w:p w:rsidR="00D350F7" w:rsidRPr="00D350F7" w:rsidRDefault="00D350F7" w:rsidP="00D350F7">
            <w:pPr>
              <w:spacing w:after="0" w:line="240" w:lineRule="auto"/>
              <w:jc w:val="right"/>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3</w:t>
            </w:r>
          </w:p>
        </w:tc>
        <w:tc>
          <w:tcPr>
            <w:tcW w:w="259" w:type="dxa"/>
            <w:tcBorders>
              <w:top w:val="nil"/>
              <w:left w:val="nil"/>
              <w:bottom w:val="nil"/>
              <w:right w:val="single" w:sz="4" w:space="0" w:color="auto"/>
            </w:tcBorders>
            <w:shd w:val="clear" w:color="000000" w:fill="E6B8B7"/>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497"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6</w:t>
            </w:r>
          </w:p>
        </w:tc>
        <w:tc>
          <w:tcPr>
            <w:tcW w:w="150"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right"/>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428"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1</w:t>
            </w:r>
          </w:p>
        </w:tc>
        <w:tc>
          <w:tcPr>
            <w:tcW w:w="497"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14</w:t>
            </w:r>
          </w:p>
        </w:tc>
        <w:tc>
          <w:tcPr>
            <w:tcW w:w="150" w:type="dxa"/>
            <w:tcBorders>
              <w:top w:val="nil"/>
              <w:left w:val="nil"/>
              <w:bottom w:val="nil"/>
              <w:right w:val="nil"/>
            </w:tcBorders>
            <w:shd w:val="clear" w:color="auto" w:fill="auto"/>
            <w:noWrap/>
            <w:vAlign w:val="bottom"/>
            <w:hideMark/>
          </w:tcPr>
          <w:p w:rsidR="00D350F7" w:rsidRPr="00D350F7" w:rsidRDefault="00D350F7" w:rsidP="00D350F7">
            <w:pPr>
              <w:spacing w:after="0" w:line="240" w:lineRule="auto"/>
              <w:jc w:val="right"/>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428" w:type="dxa"/>
            <w:tcBorders>
              <w:top w:val="nil"/>
              <w:left w:val="nil"/>
              <w:bottom w:val="nil"/>
              <w:right w:val="single" w:sz="4" w:space="0" w:color="auto"/>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1</w:t>
            </w:r>
          </w:p>
        </w:tc>
        <w:tc>
          <w:tcPr>
            <w:tcW w:w="346" w:type="dxa"/>
            <w:tcBorders>
              <w:top w:val="nil"/>
              <w:left w:val="nil"/>
              <w:bottom w:val="nil"/>
              <w:right w:val="nil"/>
            </w:tcBorders>
            <w:shd w:val="clear" w:color="000000" w:fill="F2DCDB"/>
            <w:noWrap/>
            <w:vAlign w:val="bottom"/>
            <w:hideMark/>
          </w:tcPr>
          <w:p w:rsidR="00D350F7" w:rsidRPr="00D350F7" w:rsidRDefault="00D350F7" w:rsidP="00D350F7">
            <w:pPr>
              <w:spacing w:after="0" w:line="240" w:lineRule="auto"/>
              <w:jc w:val="right"/>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2</w:t>
            </w:r>
          </w:p>
        </w:tc>
        <w:tc>
          <w:tcPr>
            <w:tcW w:w="368" w:type="dxa"/>
            <w:tcBorders>
              <w:top w:val="nil"/>
              <w:left w:val="nil"/>
              <w:bottom w:val="nil"/>
              <w:right w:val="single" w:sz="4" w:space="0" w:color="auto"/>
            </w:tcBorders>
            <w:shd w:val="clear" w:color="000000" w:fill="F2DCDB"/>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r>
      <w:tr w:rsidR="00D350F7" w:rsidRPr="00D350F7" w:rsidTr="00D350F7">
        <w:trPr>
          <w:trHeight w:val="300"/>
          <w:jc w:val="center"/>
        </w:trPr>
        <w:tc>
          <w:tcPr>
            <w:tcW w:w="759" w:type="dxa"/>
            <w:tcBorders>
              <w:top w:val="nil"/>
              <w:left w:val="single" w:sz="4" w:space="0" w:color="auto"/>
              <w:bottom w:val="single" w:sz="4" w:space="0" w:color="auto"/>
              <w:right w:val="single" w:sz="4" w:space="0" w:color="auto"/>
            </w:tcBorders>
            <w:shd w:val="clear" w:color="auto" w:fill="auto"/>
            <w:noWrap/>
            <w:vAlign w:val="bottom"/>
            <w:hideMark/>
          </w:tcPr>
          <w:p w:rsidR="00D350F7" w:rsidRPr="00D350F7" w:rsidRDefault="00277DCD" w:rsidP="00D350F7">
            <w:pPr>
              <w:spacing w:after="0" w:line="240" w:lineRule="auto"/>
              <w:rPr>
                <w:rFonts w:ascii="Calibri" w:eastAsia="Times New Roman" w:hAnsi="Calibri" w:cs="Times New Roman"/>
                <w:color w:val="000000"/>
                <w:lang w:val="de-DE" w:eastAsia="de-DE"/>
              </w:rPr>
            </w:pPr>
            <w:r>
              <w:rPr>
                <w:rFonts w:ascii="Calibri" w:eastAsia="Times New Roman" w:hAnsi="Calibri" w:cs="Times New Roman"/>
                <w:color w:val="000000"/>
                <w:lang w:val="de-DE" w:eastAsia="de-DE"/>
              </w:rPr>
              <w:t>Aad</w:t>
            </w:r>
          </w:p>
        </w:tc>
        <w:tc>
          <w:tcPr>
            <w:tcW w:w="497" w:type="dxa"/>
            <w:tcBorders>
              <w:top w:val="nil"/>
              <w:left w:val="nil"/>
              <w:bottom w:val="single" w:sz="4" w:space="0" w:color="auto"/>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0.2</w:t>
            </w:r>
          </w:p>
        </w:tc>
        <w:tc>
          <w:tcPr>
            <w:tcW w:w="150" w:type="dxa"/>
            <w:tcBorders>
              <w:top w:val="nil"/>
              <w:left w:val="nil"/>
              <w:bottom w:val="single" w:sz="4" w:space="0" w:color="auto"/>
              <w:right w:val="nil"/>
            </w:tcBorders>
            <w:shd w:val="clear" w:color="auto" w:fill="auto"/>
            <w:noWrap/>
            <w:vAlign w:val="bottom"/>
            <w:hideMark/>
          </w:tcPr>
          <w:p w:rsidR="00D350F7" w:rsidRPr="00D350F7" w:rsidRDefault="00D350F7" w:rsidP="00D350F7">
            <w:pPr>
              <w:spacing w:after="0" w:line="240" w:lineRule="auto"/>
              <w:jc w:val="right"/>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538" w:type="dxa"/>
            <w:tcBorders>
              <w:top w:val="nil"/>
              <w:left w:val="nil"/>
              <w:bottom w:val="single" w:sz="4" w:space="0" w:color="auto"/>
              <w:right w:val="nil"/>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0.02</w:t>
            </w:r>
          </w:p>
        </w:tc>
        <w:tc>
          <w:tcPr>
            <w:tcW w:w="497" w:type="dxa"/>
            <w:tcBorders>
              <w:top w:val="nil"/>
              <w:left w:val="nil"/>
              <w:bottom w:val="single" w:sz="4" w:space="0" w:color="auto"/>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5</w:t>
            </w:r>
          </w:p>
        </w:tc>
        <w:tc>
          <w:tcPr>
            <w:tcW w:w="150" w:type="dxa"/>
            <w:tcBorders>
              <w:top w:val="nil"/>
              <w:left w:val="nil"/>
              <w:bottom w:val="single" w:sz="4" w:space="0" w:color="auto"/>
              <w:right w:val="nil"/>
            </w:tcBorders>
            <w:shd w:val="clear" w:color="auto" w:fill="auto"/>
            <w:noWrap/>
            <w:vAlign w:val="bottom"/>
            <w:hideMark/>
          </w:tcPr>
          <w:p w:rsidR="00D350F7" w:rsidRPr="00D350F7" w:rsidRDefault="00D350F7" w:rsidP="00D350F7">
            <w:pPr>
              <w:spacing w:after="0" w:line="240" w:lineRule="auto"/>
              <w:jc w:val="right"/>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428" w:type="dxa"/>
            <w:tcBorders>
              <w:top w:val="nil"/>
              <w:left w:val="nil"/>
              <w:bottom w:val="single" w:sz="4" w:space="0" w:color="auto"/>
              <w:right w:val="single" w:sz="4" w:space="0" w:color="auto"/>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0.3</w:t>
            </w:r>
          </w:p>
        </w:tc>
        <w:tc>
          <w:tcPr>
            <w:tcW w:w="346" w:type="dxa"/>
            <w:tcBorders>
              <w:top w:val="nil"/>
              <w:left w:val="nil"/>
              <w:bottom w:val="single" w:sz="4" w:space="0" w:color="auto"/>
              <w:right w:val="nil"/>
            </w:tcBorders>
            <w:shd w:val="clear" w:color="000000" w:fill="963634"/>
            <w:noWrap/>
            <w:vAlign w:val="bottom"/>
            <w:hideMark/>
          </w:tcPr>
          <w:p w:rsidR="00D350F7" w:rsidRPr="00D350F7" w:rsidRDefault="00D350F7" w:rsidP="00D350F7">
            <w:pPr>
              <w:spacing w:after="0" w:line="240" w:lineRule="auto"/>
              <w:jc w:val="right"/>
              <w:rPr>
                <w:rFonts w:ascii="Calibri" w:eastAsia="Times New Roman" w:hAnsi="Calibri" w:cs="Times New Roman"/>
                <w:b/>
                <w:bCs/>
                <w:color w:val="FFFFFF"/>
                <w:lang w:val="de-DE" w:eastAsia="de-DE"/>
              </w:rPr>
            </w:pPr>
            <w:r w:rsidRPr="00D350F7">
              <w:rPr>
                <w:rFonts w:ascii="Calibri" w:eastAsia="Times New Roman" w:hAnsi="Calibri" w:cs="Times New Roman"/>
                <w:b/>
                <w:bCs/>
                <w:color w:val="FFFFFF"/>
                <w:lang w:val="de-DE" w:eastAsia="de-DE"/>
              </w:rPr>
              <w:t>29</w:t>
            </w:r>
          </w:p>
        </w:tc>
        <w:tc>
          <w:tcPr>
            <w:tcW w:w="368" w:type="dxa"/>
            <w:tcBorders>
              <w:top w:val="nil"/>
              <w:left w:val="nil"/>
              <w:bottom w:val="single" w:sz="4" w:space="0" w:color="auto"/>
              <w:right w:val="single" w:sz="4" w:space="0" w:color="auto"/>
            </w:tcBorders>
            <w:shd w:val="clear" w:color="000000" w:fill="963634"/>
            <w:noWrap/>
            <w:vAlign w:val="bottom"/>
            <w:hideMark/>
          </w:tcPr>
          <w:p w:rsidR="00D350F7" w:rsidRPr="00D350F7" w:rsidRDefault="00D350F7" w:rsidP="00D350F7">
            <w:pPr>
              <w:spacing w:after="0" w:line="240" w:lineRule="auto"/>
              <w:rPr>
                <w:rFonts w:ascii="Calibri" w:eastAsia="Times New Roman" w:hAnsi="Calibri" w:cs="Times New Roman"/>
                <w:color w:val="FFFFFF"/>
                <w:sz w:val="16"/>
                <w:szCs w:val="16"/>
                <w:lang w:val="de-DE" w:eastAsia="de-DE"/>
              </w:rPr>
            </w:pPr>
            <w:r w:rsidRPr="00D350F7">
              <w:rPr>
                <w:rFonts w:ascii="Calibri" w:eastAsia="Times New Roman" w:hAnsi="Calibri" w:cs="Times New Roman"/>
                <w:color w:val="FFFFFF"/>
                <w:sz w:val="16"/>
                <w:szCs w:val="16"/>
                <w:lang w:val="de-DE" w:eastAsia="de-DE"/>
              </w:rPr>
              <w:t>**</w:t>
            </w:r>
          </w:p>
        </w:tc>
        <w:tc>
          <w:tcPr>
            <w:tcW w:w="497" w:type="dxa"/>
            <w:tcBorders>
              <w:top w:val="nil"/>
              <w:left w:val="nil"/>
              <w:bottom w:val="single" w:sz="4" w:space="0" w:color="auto"/>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0.2</w:t>
            </w:r>
          </w:p>
        </w:tc>
        <w:tc>
          <w:tcPr>
            <w:tcW w:w="150" w:type="dxa"/>
            <w:tcBorders>
              <w:top w:val="nil"/>
              <w:left w:val="nil"/>
              <w:bottom w:val="single" w:sz="4" w:space="0" w:color="auto"/>
              <w:right w:val="nil"/>
            </w:tcBorders>
            <w:shd w:val="clear" w:color="auto" w:fill="auto"/>
            <w:noWrap/>
            <w:vAlign w:val="bottom"/>
            <w:hideMark/>
          </w:tcPr>
          <w:p w:rsidR="00D350F7" w:rsidRPr="00D350F7" w:rsidRDefault="00D350F7" w:rsidP="00D350F7">
            <w:pPr>
              <w:spacing w:after="0" w:line="240" w:lineRule="auto"/>
              <w:jc w:val="right"/>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428" w:type="dxa"/>
            <w:tcBorders>
              <w:top w:val="nil"/>
              <w:left w:val="nil"/>
              <w:bottom w:val="single" w:sz="4" w:space="0" w:color="auto"/>
              <w:right w:val="nil"/>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0.01</w:t>
            </w:r>
          </w:p>
        </w:tc>
        <w:tc>
          <w:tcPr>
            <w:tcW w:w="497" w:type="dxa"/>
            <w:tcBorders>
              <w:top w:val="nil"/>
              <w:left w:val="nil"/>
              <w:bottom w:val="single" w:sz="4" w:space="0" w:color="auto"/>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7</w:t>
            </w:r>
          </w:p>
        </w:tc>
        <w:tc>
          <w:tcPr>
            <w:tcW w:w="150" w:type="dxa"/>
            <w:tcBorders>
              <w:top w:val="nil"/>
              <w:left w:val="nil"/>
              <w:bottom w:val="single" w:sz="4" w:space="0" w:color="auto"/>
              <w:right w:val="nil"/>
            </w:tcBorders>
            <w:shd w:val="clear" w:color="auto" w:fill="auto"/>
            <w:noWrap/>
            <w:vAlign w:val="bottom"/>
            <w:hideMark/>
          </w:tcPr>
          <w:p w:rsidR="00D350F7" w:rsidRPr="00D350F7" w:rsidRDefault="00D350F7" w:rsidP="00D350F7">
            <w:pPr>
              <w:spacing w:after="0" w:line="240" w:lineRule="auto"/>
              <w:jc w:val="right"/>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428" w:type="dxa"/>
            <w:tcBorders>
              <w:top w:val="nil"/>
              <w:left w:val="nil"/>
              <w:bottom w:val="single" w:sz="4" w:space="0" w:color="auto"/>
              <w:right w:val="single" w:sz="4" w:space="0" w:color="auto"/>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0.5</w:t>
            </w:r>
          </w:p>
        </w:tc>
        <w:tc>
          <w:tcPr>
            <w:tcW w:w="346" w:type="dxa"/>
            <w:tcBorders>
              <w:top w:val="nil"/>
              <w:left w:val="nil"/>
              <w:bottom w:val="single" w:sz="4" w:space="0" w:color="auto"/>
              <w:right w:val="nil"/>
            </w:tcBorders>
            <w:shd w:val="clear" w:color="000000" w:fill="963634"/>
            <w:noWrap/>
            <w:vAlign w:val="bottom"/>
            <w:hideMark/>
          </w:tcPr>
          <w:p w:rsidR="00D350F7" w:rsidRPr="00D350F7" w:rsidRDefault="00D350F7" w:rsidP="00D350F7">
            <w:pPr>
              <w:spacing w:after="0" w:line="240" w:lineRule="auto"/>
              <w:jc w:val="right"/>
              <w:rPr>
                <w:rFonts w:ascii="Calibri" w:eastAsia="Times New Roman" w:hAnsi="Calibri" w:cs="Times New Roman"/>
                <w:b/>
                <w:bCs/>
                <w:color w:val="FFFFFF"/>
                <w:lang w:val="de-DE" w:eastAsia="de-DE"/>
              </w:rPr>
            </w:pPr>
            <w:r w:rsidRPr="00D350F7">
              <w:rPr>
                <w:rFonts w:ascii="Calibri" w:eastAsia="Times New Roman" w:hAnsi="Calibri" w:cs="Times New Roman"/>
                <w:b/>
                <w:bCs/>
                <w:color w:val="FFFFFF"/>
                <w:lang w:val="de-DE" w:eastAsia="de-DE"/>
              </w:rPr>
              <w:t>41</w:t>
            </w:r>
          </w:p>
        </w:tc>
        <w:tc>
          <w:tcPr>
            <w:tcW w:w="368" w:type="dxa"/>
            <w:tcBorders>
              <w:top w:val="nil"/>
              <w:left w:val="nil"/>
              <w:bottom w:val="single" w:sz="4" w:space="0" w:color="auto"/>
              <w:right w:val="single" w:sz="4" w:space="0" w:color="auto"/>
            </w:tcBorders>
            <w:shd w:val="clear" w:color="000000" w:fill="963634"/>
            <w:noWrap/>
            <w:vAlign w:val="bottom"/>
            <w:hideMark/>
          </w:tcPr>
          <w:p w:rsidR="00D350F7" w:rsidRPr="00D350F7" w:rsidRDefault="00D350F7" w:rsidP="00D350F7">
            <w:pPr>
              <w:spacing w:after="0" w:line="240" w:lineRule="auto"/>
              <w:rPr>
                <w:rFonts w:ascii="Calibri" w:eastAsia="Times New Roman" w:hAnsi="Calibri" w:cs="Times New Roman"/>
                <w:color w:val="FFFFFF"/>
                <w:sz w:val="16"/>
                <w:szCs w:val="16"/>
                <w:lang w:val="de-DE" w:eastAsia="de-DE"/>
              </w:rPr>
            </w:pPr>
            <w:r w:rsidRPr="00D350F7">
              <w:rPr>
                <w:rFonts w:ascii="Calibri" w:eastAsia="Times New Roman" w:hAnsi="Calibri" w:cs="Times New Roman"/>
                <w:color w:val="FFFFFF"/>
                <w:sz w:val="16"/>
                <w:szCs w:val="16"/>
                <w:lang w:val="de-DE" w:eastAsia="de-DE"/>
              </w:rPr>
              <w:t>**</w:t>
            </w:r>
          </w:p>
        </w:tc>
        <w:tc>
          <w:tcPr>
            <w:tcW w:w="497" w:type="dxa"/>
            <w:tcBorders>
              <w:top w:val="nil"/>
              <w:left w:val="nil"/>
              <w:bottom w:val="single" w:sz="4" w:space="0" w:color="auto"/>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0.2</w:t>
            </w:r>
          </w:p>
        </w:tc>
        <w:tc>
          <w:tcPr>
            <w:tcW w:w="150" w:type="dxa"/>
            <w:tcBorders>
              <w:top w:val="nil"/>
              <w:left w:val="nil"/>
              <w:bottom w:val="single" w:sz="4" w:space="0" w:color="auto"/>
              <w:right w:val="nil"/>
            </w:tcBorders>
            <w:shd w:val="clear" w:color="auto" w:fill="auto"/>
            <w:noWrap/>
            <w:vAlign w:val="bottom"/>
            <w:hideMark/>
          </w:tcPr>
          <w:p w:rsidR="00D350F7" w:rsidRPr="00D350F7" w:rsidRDefault="00D350F7" w:rsidP="00D350F7">
            <w:pPr>
              <w:spacing w:after="0" w:line="240" w:lineRule="auto"/>
              <w:jc w:val="right"/>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428" w:type="dxa"/>
            <w:tcBorders>
              <w:top w:val="nil"/>
              <w:left w:val="nil"/>
              <w:bottom w:val="single" w:sz="4" w:space="0" w:color="auto"/>
              <w:right w:val="nil"/>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0.04</w:t>
            </w:r>
          </w:p>
        </w:tc>
        <w:tc>
          <w:tcPr>
            <w:tcW w:w="497" w:type="dxa"/>
            <w:tcBorders>
              <w:top w:val="nil"/>
              <w:left w:val="nil"/>
              <w:bottom w:val="single" w:sz="4" w:space="0" w:color="auto"/>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5</w:t>
            </w:r>
          </w:p>
        </w:tc>
        <w:tc>
          <w:tcPr>
            <w:tcW w:w="150" w:type="dxa"/>
            <w:tcBorders>
              <w:top w:val="nil"/>
              <w:left w:val="nil"/>
              <w:bottom w:val="single" w:sz="4" w:space="0" w:color="auto"/>
              <w:right w:val="nil"/>
            </w:tcBorders>
            <w:shd w:val="clear" w:color="auto" w:fill="auto"/>
            <w:noWrap/>
            <w:vAlign w:val="bottom"/>
            <w:hideMark/>
          </w:tcPr>
          <w:p w:rsidR="00D350F7" w:rsidRPr="00D350F7" w:rsidRDefault="00D350F7" w:rsidP="00D350F7">
            <w:pPr>
              <w:spacing w:after="0" w:line="240" w:lineRule="auto"/>
              <w:jc w:val="right"/>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317" w:type="dxa"/>
            <w:tcBorders>
              <w:top w:val="nil"/>
              <w:left w:val="nil"/>
              <w:bottom w:val="single" w:sz="4" w:space="0" w:color="auto"/>
              <w:right w:val="single" w:sz="4" w:space="0" w:color="auto"/>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1</w:t>
            </w:r>
          </w:p>
        </w:tc>
        <w:tc>
          <w:tcPr>
            <w:tcW w:w="421" w:type="dxa"/>
            <w:tcBorders>
              <w:top w:val="nil"/>
              <w:left w:val="nil"/>
              <w:bottom w:val="single" w:sz="4" w:space="0" w:color="auto"/>
              <w:right w:val="nil"/>
            </w:tcBorders>
            <w:shd w:val="clear" w:color="000000" w:fill="963634"/>
            <w:noWrap/>
            <w:vAlign w:val="bottom"/>
            <w:hideMark/>
          </w:tcPr>
          <w:p w:rsidR="00D350F7" w:rsidRPr="00D350F7" w:rsidRDefault="00D350F7" w:rsidP="00D350F7">
            <w:pPr>
              <w:spacing w:after="0" w:line="240" w:lineRule="auto"/>
              <w:jc w:val="right"/>
              <w:rPr>
                <w:rFonts w:ascii="Calibri" w:eastAsia="Times New Roman" w:hAnsi="Calibri" w:cs="Times New Roman"/>
                <w:b/>
                <w:bCs/>
                <w:color w:val="FFFFFF"/>
                <w:lang w:val="de-DE" w:eastAsia="de-DE"/>
              </w:rPr>
            </w:pPr>
            <w:r w:rsidRPr="00D350F7">
              <w:rPr>
                <w:rFonts w:ascii="Calibri" w:eastAsia="Times New Roman" w:hAnsi="Calibri" w:cs="Times New Roman"/>
                <w:b/>
                <w:bCs/>
                <w:color w:val="FFFFFF"/>
                <w:lang w:val="de-DE" w:eastAsia="de-DE"/>
              </w:rPr>
              <w:t>26</w:t>
            </w:r>
          </w:p>
        </w:tc>
        <w:tc>
          <w:tcPr>
            <w:tcW w:w="259" w:type="dxa"/>
            <w:tcBorders>
              <w:top w:val="nil"/>
              <w:left w:val="nil"/>
              <w:bottom w:val="single" w:sz="4" w:space="0" w:color="auto"/>
              <w:right w:val="single" w:sz="4" w:space="0" w:color="auto"/>
            </w:tcBorders>
            <w:shd w:val="clear" w:color="000000" w:fill="963634"/>
            <w:noWrap/>
            <w:vAlign w:val="bottom"/>
            <w:hideMark/>
          </w:tcPr>
          <w:p w:rsidR="00D350F7" w:rsidRPr="00D350F7" w:rsidRDefault="00D350F7" w:rsidP="00D350F7">
            <w:pPr>
              <w:spacing w:after="0" w:line="240" w:lineRule="auto"/>
              <w:rPr>
                <w:rFonts w:ascii="Calibri" w:eastAsia="Times New Roman" w:hAnsi="Calibri" w:cs="Times New Roman"/>
                <w:color w:val="FFFFFF"/>
                <w:sz w:val="16"/>
                <w:szCs w:val="16"/>
                <w:lang w:val="de-DE" w:eastAsia="de-DE"/>
              </w:rPr>
            </w:pPr>
            <w:r w:rsidRPr="00D350F7">
              <w:rPr>
                <w:rFonts w:ascii="Calibri" w:eastAsia="Times New Roman" w:hAnsi="Calibri" w:cs="Times New Roman"/>
                <w:color w:val="FFFFFF"/>
                <w:sz w:val="16"/>
                <w:szCs w:val="16"/>
                <w:lang w:val="de-DE" w:eastAsia="de-DE"/>
              </w:rPr>
              <w:t>*</w:t>
            </w:r>
          </w:p>
        </w:tc>
        <w:tc>
          <w:tcPr>
            <w:tcW w:w="497" w:type="dxa"/>
            <w:tcBorders>
              <w:top w:val="nil"/>
              <w:left w:val="nil"/>
              <w:bottom w:val="single" w:sz="4" w:space="0" w:color="auto"/>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0.2</w:t>
            </w:r>
          </w:p>
        </w:tc>
        <w:tc>
          <w:tcPr>
            <w:tcW w:w="150" w:type="dxa"/>
            <w:tcBorders>
              <w:top w:val="nil"/>
              <w:left w:val="nil"/>
              <w:bottom w:val="single" w:sz="4" w:space="0" w:color="auto"/>
              <w:right w:val="nil"/>
            </w:tcBorders>
            <w:shd w:val="clear" w:color="auto" w:fill="auto"/>
            <w:noWrap/>
            <w:vAlign w:val="bottom"/>
            <w:hideMark/>
          </w:tcPr>
          <w:p w:rsidR="00D350F7" w:rsidRPr="00D350F7" w:rsidRDefault="00D350F7" w:rsidP="00D350F7">
            <w:pPr>
              <w:spacing w:after="0" w:line="240" w:lineRule="auto"/>
              <w:jc w:val="right"/>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428" w:type="dxa"/>
            <w:tcBorders>
              <w:top w:val="nil"/>
              <w:left w:val="nil"/>
              <w:bottom w:val="single" w:sz="4" w:space="0" w:color="auto"/>
              <w:right w:val="nil"/>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0.1</w:t>
            </w:r>
          </w:p>
        </w:tc>
        <w:tc>
          <w:tcPr>
            <w:tcW w:w="497" w:type="dxa"/>
            <w:tcBorders>
              <w:top w:val="nil"/>
              <w:left w:val="nil"/>
              <w:bottom w:val="single" w:sz="4" w:space="0" w:color="auto"/>
              <w:right w:val="nil"/>
            </w:tcBorders>
            <w:shd w:val="clear" w:color="auto" w:fill="auto"/>
            <w:noWrap/>
            <w:vAlign w:val="bottom"/>
            <w:hideMark/>
          </w:tcPr>
          <w:p w:rsidR="00D350F7" w:rsidRPr="00D350F7" w:rsidRDefault="00D350F7" w:rsidP="00D350F7">
            <w:pPr>
              <w:spacing w:after="0" w:line="240" w:lineRule="auto"/>
              <w:jc w:val="center"/>
              <w:rPr>
                <w:rFonts w:ascii="Calibri" w:eastAsia="Times New Roman" w:hAnsi="Calibri" w:cs="Times New Roman"/>
                <w:color w:val="000000"/>
                <w:lang w:val="de-DE" w:eastAsia="de-DE"/>
              </w:rPr>
            </w:pPr>
            <w:r w:rsidRPr="00D350F7">
              <w:rPr>
                <w:rFonts w:ascii="Calibri" w:eastAsia="Times New Roman" w:hAnsi="Calibri" w:cs="Times New Roman"/>
                <w:color w:val="000000"/>
                <w:lang w:val="de-DE" w:eastAsia="de-DE"/>
              </w:rPr>
              <w:t>10</w:t>
            </w:r>
          </w:p>
        </w:tc>
        <w:tc>
          <w:tcPr>
            <w:tcW w:w="150" w:type="dxa"/>
            <w:tcBorders>
              <w:top w:val="nil"/>
              <w:left w:val="nil"/>
              <w:bottom w:val="single" w:sz="4" w:space="0" w:color="auto"/>
              <w:right w:val="nil"/>
            </w:tcBorders>
            <w:shd w:val="clear" w:color="auto" w:fill="auto"/>
            <w:noWrap/>
            <w:vAlign w:val="bottom"/>
            <w:hideMark/>
          </w:tcPr>
          <w:p w:rsidR="00D350F7" w:rsidRPr="00D350F7" w:rsidRDefault="00D350F7" w:rsidP="00D350F7">
            <w:pPr>
              <w:spacing w:after="0" w:line="240" w:lineRule="auto"/>
              <w:jc w:val="right"/>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w:t>
            </w:r>
          </w:p>
        </w:tc>
        <w:tc>
          <w:tcPr>
            <w:tcW w:w="428" w:type="dxa"/>
            <w:tcBorders>
              <w:top w:val="nil"/>
              <w:left w:val="nil"/>
              <w:bottom w:val="single" w:sz="4" w:space="0" w:color="auto"/>
              <w:right w:val="single" w:sz="4" w:space="0" w:color="auto"/>
            </w:tcBorders>
            <w:shd w:val="clear" w:color="auto" w:fill="auto"/>
            <w:noWrap/>
            <w:vAlign w:val="bottom"/>
            <w:hideMark/>
          </w:tcPr>
          <w:p w:rsidR="00D350F7" w:rsidRPr="00D350F7" w:rsidRDefault="00D350F7" w:rsidP="00D350F7">
            <w:pPr>
              <w:spacing w:after="0" w:line="240" w:lineRule="auto"/>
              <w:rPr>
                <w:rFonts w:ascii="Calibri" w:eastAsia="Times New Roman" w:hAnsi="Calibri" w:cs="Times New Roman"/>
                <w:color w:val="000000"/>
                <w:sz w:val="16"/>
                <w:szCs w:val="16"/>
                <w:lang w:val="de-DE" w:eastAsia="de-DE"/>
              </w:rPr>
            </w:pPr>
            <w:r w:rsidRPr="00D350F7">
              <w:rPr>
                <w:rFonts w:ascii="Calibri" w:eastAsia="Times New Roman" w:hAnsi="Calibri" w:cs="Times New Roman"/>
                <w:color w:val="000000"/>
                <w:sz w:val="16"/>
                <w:szCs w:val="16"/>
                <w:lang w:val="de-DE" w:eastAsia="de-DE"/>
              </w:rPr>
              <w:t>1</w:t>
            </w:r>
          </w:p>
        </w:tc>
        <w:tc>
          <w:tcPr>
            <w:tcW w:w="346" w:type="dxa"/>
            <w:tcBorders>
              <w:top w:val="nil"/>
              <w:left w:val="nil"/>
              <w:bottom w:val="single" w:sz="4" w:space="0" w:color="auto"/>
              <w:right w:val="nil"/>
            </w:tcBorders>
            <w:shd w:val="clear" w:color="000000" w:fill="963634"/>
            <w:noWrap/>
            <w:vAlign w:val="bottom"/>
            <w:hideMark/>
          </w:tcPr>
          <w:p w:rsidR="00D350F7" w:rsidRPr="00D350F7" w:rsidRDefault="00D350F7" w:rsidP="00D350F7">
            <w:pPr>
              <w:spacing w:after="0" w:line="240" w:lineRule="auto"/>
              <w:jc w:val="right"/>
              <w:rPr>
                <w:rFonts w:ascii="Calibri" w:eastAsia="Times New Roman" w:hAnsi="Calibri" w:cs="Times New Roman"/>
                <w:b/>
                <w:bCs/>
                <w:color w:val="FFFFFF"/>
                <w:lang w:val="de-DE" w:eastAsia="de-DE"/>
              </w:rPr>
            </w:pPr>
            <w:r w:rsidRPr="00D350F7">
              <w:rPr>
                <w:rFonts w:ascii="Calibri" w:eastAsia="Times New Roman" w:hAnsi="Calibri" w:cs="Times New Roman"/>
                <w:b/>
                <w:bCs/>
                <w:color w:val="FFFFFF"/>
                <w:lang w:val="de-DE" w:eastAsia="de-DE"/>
              </w:rPr>
              <w:t>50</w:t>
            </w:r>
          </w:p>
        </w:tc>
        <w:tc>
          <w:tcPr>
            <w:tcW w:w="368" w:type="dxa"/>
            <w:tcBorders>
              <w:top w:val="nil"/>
              <w:left w:val="nil"/>
              <w:bottom w:val="single" w:sz="4" w:space="0" w:color="auto"/>
              <w:right w:val="single" w:sz="4" w:space="0" w:color="auto"/>
            </w:tcBorders>
            <w:shd w:val="clear" w:color="000000" w:fill="963634"/>
            <w:noWrap/>
            <w:vAlign w:val="bottom"/>
            <w:hideMark/>
          </w:tcPr>
          <w:p w:rsidR="00D350F7" w:rsidRPr="00D350F7" w:rsidRDefault="00D350F7" w:rsidP="00D350F7">
            <w:pPr>
              <w:spacing w:after="0" w:line="240" w:lineRule="auto"/>
              <w:rPr>
                <w:rFonts w:ascii="Calibri" w:eastAsia="Times New Roman" w:hAnsi="Calibri" w:cs="Times New Roman"/>
                <w:color w:val="FFFFFF"/>
                <w:sz w:val="16"/>
                <w:szCs w:val="16"/>
                <w:lang w:val="de-DE" w:eastAsia="de-DE"/>
              </w:rPr>
            </w:pPr>
            <w:r w:rsidRPr="00D350F7">
              <w:rPr>
                <w:rFonts w:ascii="Calibri" w:eastAsia="Times New Roman" w:hAnsi="Calibri" w:cs="Times New Roman"/>
                <w:color w:val="FFFFFF"/>
                <w:sz w:val="16"/>
                <w:szCs w:val="16"/>
                <w:lang w:val="de-DE" w:eastAsia="de-DE"/>
              </w:rPr>
              <w:t>***</w:t>
            </w:r>
          </w:p>
        </w:tc>
      </w:tr>
    </w:tbl>
    <w:p w:rsidR="00054E1D" w:rsidRDefault="00054E1D" w:rsidP="004D29A0">
      <w:pPr>
        <w:sectPr w:rsidR="00054E1D" w:rsidSect="001D7E05">
          <w:pgSz w:w="16838" w:h="11906" w:orient="landscape"/>
          <w:pgMar w:top="1417" w:right="1417" w:bottom="1417" w:left="1134" w:header="708" w:footer="708" w:gutter="0"/>
          <w:cols w:space="708"/>
          <w:titlePg/>
          <w:docGrid w:linePitch="360"/>
        </w:sectPr>
      </w:pPr>
    </w:p>
    <w:p w:rsidR="001D7E05" w:rsidRDefault="001D7E05" w:rsidP="004D29A0">
      <w:pPr>
        <w:sectPr w:rsidR="001D7E05" w:rsidSect="00DA6C6F">
          <w:pgSz w:w="11906" w:h="16838"/>
          <w:pgMar w:top="1417" w:right="1417" w:bottom="1134" w:left="1417" w:header="708" w:footer="708" w:gutter="0"/>
          <w:cols w:space="708"/>
          <w:titlePg/>
          <w:docGrid w:linePitch="360"/>
        </w:sectPr>
      </w:pPr>
    </w:p>
    <w:p w:rsidR="004D29A0" w:rsidRPr="004D29A0" w:rsidRDefault="004D29A0" w:rsidP="004D29A0"/>
    <w:p w:rsidR="00B92F09" w:rsidRDefault="00B92F09" w:rsidP="00B92F09">
      <w:pPr>
        <w:keepNext/>
      </w:pPr>
      <w:r>
        <w:rPr>
          <w:noProof/>
          <w:lang w:val="de-DE" w:eastAsia="de-DE"/>
        </w:rPr>
        <w:drawing>
          <wp:anchor distT="0" distB="0" distL="114300" distR="114300" simplePos="0" relativeHeight="251735040" behindDoc="0" locked="0" layoutInCell="1" allowOverlap="1">
            <wp:simplePos x="914400" y="1543050"/>
            <wp:positionH relativeFrom="page">
              <wp:align>center</wp:align>
            </wp:positionH>
            <wp:positionV relativeFrom="paragraph">
              <wp:posOffset>21590</wp:posOffset>
            </wp:positionV>
            <wp:extent cx="3600000" cy="2214000"/>
            <wp:effectExtent l="19050" t="19050" r="19685" b="15240"/>
            <wp:wrapTopAndBottom/>
            <wp:docPr id="75" name="Grafik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p-IR vs Hpa Noco.png"/>
                    <pic:cNvPicPr/>
                  </pic:nvPicPr>
                  <pic:blipFill>
                    <a:blip r:embed="rId125">
                      <a:extLst>
                        <a:ext uri="{28A0092B-C50C-407E-A947-70E740481C1C}">
                          <a14:useLocalDpi xmlns:a14="http://schemas.microsoft.com/office/drawing/2010/main" val="0"/>
                        </a:ext>
                      </a:extLst>
                    </a:blip>
                    <a:stretch>
                      <a:fillRect/>
                    </a:stretch>
                  </pic:blipFill>
                  <pic:spPr>
                    <a:xfrm>
                      <a:off x="0" y="0"/>
                      <a:ext cx="3600000" cy="2214000"/>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p>
    <w:p w:rsidR="002B03E0" w:rsidRPr="00C40615" w:rsidRDefault="00B92F09" w:rsidP="000B3BC2">
      <w:pPr>
        <w:pStyle w:val="Beschriftung"/>
        <w:spacing w:after="0" w:line="360" w:lineRule="auto"/>
        <w:jc w:val="both"/>
        <w:rPr>
          <w:color w:val="auto"/>
        </w:rPr>
      </w:pPr>
      <w:bookmarkStart w:id="143" w:name="_Toc435621181"/>
      <w:proofErr w:type="gramStart"/>
      <w:r w:rsidRPr="00C40615">
        <w:rPr>
          <w:color w:val="auto"/>
        </w:rPr>
        <w:t xml:space="preserve">Supplemental figure </w:t>
      </w:r>
      <w:r w:rsidRPr="00C40615">
        <w:rPr>
          <w:color w:val="auto"/>
        </w:rPr>
        <w:fldChar w:fldCharType="begin"/>
      </w:r>
      <w:r w:rsidRPr="00C40615">
        <w:rPr>
          <w:color w:val="auto"/>
        </w:rPr>
        <w:instrText xml:space="preserve"> SEQ Supplemental_figure \* ARABIC </w:instrText>
      </w:r>
      <w:r w:rsidRPr="00C40615">
        <w:rPr>
          <w:color w:val="auto"/>
        </w:rPr>
        <w:fldChar w:fldCharType="separate"/>
      </w:r>
      <w:r w:rsidR="00CB17FE">
        <w:rPr>
          <w:noProof/>
          <w:color w:val="auto"/>
        </w:rPr>
        <w:t>16</w:t>
      </w:r>
      <w:r w:rsidRPr="00C40615">
        <w:rPr>
          <w:color w:val="auto"/>
        </w:rPr>
        <w:fldChar w:fldCharType="end"/>
      </w:r>
      <w:r w:rsidR="000B319C">
        <w:rPr>
          <w:color w:val="auto"/>
        </w:rPr>
        <w:t>.</w:t>
      </w:r>
      <w:proofErr w:type="gramEnd"/>
      <w:r w:rsidR="00CE18A4">
        <w:rPr>
          <w:color w:val="auto"/>
        </w:rPr>
        <w:t xml:space="preserve"> Exogeno</w:t>
      </w:r>
      <w:r w:rsidRPr="00C40615">
        <w:rPr>
          <w:color w:val="auto"/>
        </w:rPr>
        <w:t>us</w:t>
      </w:r>
      <w:r w:rsidR="00CE18A4">
        <w:rPr>
          <w:color w:val="auto"/>
        </w:rPr>
        <w:t>ly applied</w:t>
      </w:r>
      <w:r w:rsidRPr="00C40615">
        <w:rPr>
          <w:color w:val="auto"/>
        </w:rPr>
        <w:t xml:space="preserve"> Pip induces resistance against the virulent </w:t>
      </w:r>
      <w:r w:rsidR="00CE18A4">
        <w:rPr>
          <w:i/>
          <w:color w:val="auto"/>
        </w:rPr>
        <w:t>Hpa</w:t>
      </w:r>
      <w:r w:rsidRPr="00C40615">
        <w:rPr>
          <w:color w:val="auto"/>
        </w:rPr>
        <w:t xml:space="preserve"> isolate Noco2 in Col-0 and </w:t>
      </w:r>
      <w:r w:rsidRPr="00C40615">
        <w:rPr>
          <w:i/>
          <w:color w:val="auto"/>
        </w:rPr>
        <w:t>ald1</w:t>
      </w:r>
      <w:r w:rsidRPr="00C40615">
        <w:rPr>
          <w:color w:val="auto"/>
        </w:rPr>
        <w:t xml:space="preserve">, but not in </w:t>
      </w:r>
      <w:r w:rsidRPr="00C40615">
        <w:rPr>
          <w:i/>
          <w:color w:val="auto"/>
        </w:rPr>
        <w:t>fmo1</w:t>
      </w:r>
      <w:r w:rsidRPr="00C40615">
        <w:rPr>
          <w:color w:val="auto"/>
        </w:rPr>
        <w:t xml:space="preserve"> and </w:t>
      </w:r>
      <w:r w:rsidRPr="00C40615">
        <w:rPr>
          <w:i/>
          <w:color w:val="auto"/>
        </w:rPr>
        <w:t>sid2</w:t>
      </w:r>
      <w:r w:rsidRPr="00C40615">
        <w:rPr>
          <w:color w:val="auto"/>
        </w:rPr>
        <w:t>.</w:t>
      </w:r>
      <w:bookmarkEnd w:id="143"/>
      <w:r w:rsidR="002B03E0" w:rsidRPr="00C40615">
        <w:rPr>
          <w:color w:val="auto"/>
        </w:rPr>
        <w:t xml:space="preserve"> </w:t>
      </w:r>
    </w:p>
    <w:p w:rsidR="00CF1491" w:rsidRPr="00C40615" w:rsidRDefault="002B03E0" w:rsidP="002B03E0">
      <w:pPr>
        <w:pStyle w:val="Beschriftung"/>
        <w:spacing w:after="0"/>
        <w:jc w:val="both"/>
        <w:rPr>
          <w:b w:val="0"/>
          <w:color w:val="auto"/>
        </w:rPr>
      </w:pPr>
      <w:r w:rsidRPr="00C40615">
        <w:rPr>
          <w:b w:val="0"/>
          <w:color w:val="auto"/>
        </w:rPr>
        <w:t>Plants were treated and analysed as described in figure 41.</w:t>
      </w:r>
    </w:p>
    <w:p w:rsidR="00AA6928" w:rsidRDefault="00AA6928" w:rsidP="00AA6928"/>
    <w:p w:rsidR="002B03E0" w:rsidRDefault="002B03E0" w:rsidP="00AA6928"/>
    <w:p w:rsidR="002B03E0" w:rsidRDefault="002B03E0" w:rsidP="00AA6928"/>
    <w:p w:rsidR="00AA6928" w:rsidRPr="00AA6928" w:rsidRDefault="00AA6928" w:rsidP="00AA6928"/>
    <w:p w:rsidR="00DA74F8" w:rsidRDefault="00DA74F8" w:rsidP="00DA74F8">
      <w:pPr>
        <w:keepNext/>
      </w:pPr>
      <w:r>
        <w:rPr>
          <w:noProof/>
          <w:lang w:val="de-DE" w:eastAsia="de-DE"/>
        </w:rPr>
        <w:lastRenderedPageBreak/>
        <w:drawing>
          <wp:anchor distT="0" distB="0" distL="114300" distR="114300" simplePos="0" relativeHeight="251736064" behindDoc="0" locked="0" layoutInCell="1" allowOverlap="1">
            <wp:simplePos x="914400" y="914400"/>
            <wp:positionH relativeFrom="page">
              <wp:align>center</wp:align>
            </wp:positionH>
            <wp:positionV relativeFrom="paragraph">
              <wp:posOffset>14605</wp:posOffset>
            </wp:positionV>
            <wp:extent cx="5400000" cy="7976570"/>
            <wp:effectExtent l="19050" t="19050" r="10795" b="24765"/>
            <wp:wrapTopAndBottom/>
            <wp:docPr id="76" name="Grafik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p-IR vs Hpa Noco TB.png"/>
                    <pic:cNvPicPr/>
                  </pic:nvPicPr>
                  <pic:blipFill>
                    <a:blip r:embed="rId126" cstate="print">
                      <a:extLst>
                        <a:ext uri="{28A0092B-C50C-407E-A947-70E740481C1C}">
                          <a14:useLocalDpi xmlns:a14="http://schemas.microsoft.com/office/drawing/2010/main" val="0"/>
                        </a:ext>
                      </a:extLst>
                    </a:blip>
                    <a:stretch>
                      <a:fillRect/>
                    </a:stretch>
                  </pic:blipFill>
                  <pic:spPr>
                    <a:xfrm>
                      <a:off x="0" y="0"/>
                      <a:ext cx="5400000" cy="7976570"/>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p>
    <w:p w:rsidR="002B03E0" w:rsidRPr="00C40615" w:rsidRDefault="00DA74F8" w:rsidP="000B3BC2">
      <w:pPr>
        <w:pStyle w:val="Beschriftung"/>
        <w:spacing w:after="0" w:line="360" w:lineRule="auto"/>
        <w:jc w:val="both"/>
        <w:rPr>
          <w:color w:val="auto"/>
        </w:rPr>
      </w:pPr>
      <w:bookmarkStart w:id="144" w:name="_Toc435621182"/>
      <w:proofErr w:type="gramStart"/>
      <w:r w:rsidRPr="00C40615">
        <w:rPr>
          <w:color w:val="auto"/>
        </w:rPr>
        <w:t xml:space="preserve">Supplemental figure </w:t>
      </w:r>
      <w:r w:rsidRPr="00C40615">
        <w:rPr>
          <w:color w:val="auto"/>
        </w:rPr>
        <w:fldChar w:fldCharType="begin"/>
      </w:r>
      <w:r w:rsidRPr="00C40615">
        <w:rPr>
          <w:color w:val="auto"/>
        </w:rPr>
        <w:instrText xml:space="preserve"> SEQ Supplemental_figure \* ARABIC </w:instrText>
      </w:r>
      <w:r w:rsidRPr="00C40615">
        <w:rPr>
          <w:color w:val="auto"/>
        </w:rPr>
        <w:fldChar w:fldCharType="separate"/>
      </w:r>
      <w:r w:rsidR="00CB17FE">
        <w:rPr>
          <w:noProof/>
          <w:color w:val="auto"/>
        </w:rPr>
        <w:t>17</w:t>
      </w:r>
      <w:r w:rsidRPr="00C40615">
        <w:rPr>
          <w:color w:val="auto"/>
        </w:rPr>
        <w:fldChar w:fldCharType="end"/>
      </w:r>
      <w:r w:rsidR="000B319C">
        <w:rPr>
          <w:color w:val="auto"/>
        </w:rPr>
        <w:t>.</w:t>
      </w:r>
      <w:proofErr w:type="gramEnd"/>
      <w:r w:rsidRPr="00C40615">
        <w:rPr>
          <w:color w:val="auto"/>
        </w:rPr>
        <w:t xml:space="preserve"> </w:t>
      </w:r>
      <w:proofErr w:type="gramStart"/>
      <w:r w:rsidR="00CE18A4">
        <w:rPr>
          <w:color w:val="auto"/>
        </w:rPr>
        <w:t xml:space="preserve">Pip-induced </w:t>
      </w:r>
      <w:r w:rsidRPr="00C40615">
        <w:rPr>
          <w:color w:val="auto"/>
        </w:rPr>
        <w:t xml:space="preserve">resistance against </w:t>
      </w:r>
      <w:r w:rsidR="00CE18A4">
        <w:rPr>
          <w:i/>
          <w:color w:val="auto"/>
        </w:rPr>
        <w:t>Hpa</w:t>
      </w:r>
      <w:r w:rsidRPr="00C40615">
        <w:rPr>
          <w:color w:val="auto"/>
        </w:rPr>
        <w:t xml:space="preserve"> Noco2.</w:t>
      </w:r>
      <w:bookmarkEnd w:id="144"/>
      <w:proofErr w:type="gramEnd"/>
      <w:r w:rsidR="002B03E0" w:rsidRPr="00C40615">
        <w:rPr>
          <w:color w:val="auto"/>
        </w:rPr>
        <w:t xml:space="preserve"> </w:t>
      </w:r>
    </w:p>
    <w:p w:rsidR="002B03E0" w:rsidRPr="00C40615" w:rsidRDefault="002B03E0" w:rsidP="002B03E0">
      <w:pPr>
        <w:pStyle w:val="Beschriftung"/>
        <w:spacing w:after="0"/>
        <w:jc w:val="both"/>
        <w:rPr>
          <w:b w:val="0"/>
          <w:color w:val="auto"/>
          <w:lang w:val="en-US"/>
        </w:rPr>
      </w:pPr>
      <w:r w:rsidRPr="00C40615">
        <w:rPr>
          <w:b w:val="0"/>
          <w:color w:val="auto"/>
          <w:lang w:val="en-US"/>
        </w:rPr>
        <w:t xml:space="preserve">Plants were treated and analysed as described in figure 39. Shown are representative detail views of </w:t>
      </w:r>
      <w:r w:rsidRPr="00C40615">
        <w:rPr>
          <w:b w:val="0"/>
          <w:i/>
          <w:color w:val="auto"/>
          <w:lang w:val="en-US"/>
        </w:rPr>
        <w:t>A.</w:t>
      </w:r>
      <w:r w:rsidR="00CE18A4">
        <w:rPr>
          <w:b w:val="0"/>
          <w:i/>
          <w:color w:val="auto"/>
          <w:lang w:val="en-US"/>
        </w:rPr>
        <w:t xml:space="preserve"> </w:t>
      </w:r>
      <w:r w:rsidRPr="00C40615">
        <w:rPr>
          <w:b w:val="0"/>
          <w:i/>
          <w:color w:val="auto"/>
          <w:lang w:val="en-US"/>
        </w:rPr>
        <w:t>thaliana</w:t>
      </w:r>
      <w:r w:rsidRPr="00C40615">
        <w:rPr>
          <w:b w:val="0"/>
          <w:color w:val="auto"/>
          <w:lang w:val="en-US"/>
        </w:rPr>
        <w:t xml:space="preserve"> Col-0 (A) as well as the mutant lines </w:t>
      </w:r>
      <w:r w:rsidRPr="00C40615">
        <w:rPr>
          <w:b w:val="0"/>
          <w:i/>
          <w:color w:val="auto"/>
          <w:lang w:val="en-US"/>
        </w:rPr>
        <w:t>ald1</w:t>
      </w:r>
      <w:r w:rsidRPr="00C40615">
        <w:rPr>
          <w:b w:val="0"/>
          <w:color w:val="auto"/>
          <w:lang w:val="en-US"/>
        </w:rPr>
        <w:t xml:space="preserve"> (B), </w:t>
      </w:r>
      <w:r w:rsidRPr="00C40615">
        <w:rPr>
          <w:b w:val="0"/>
          <w:i/>
          <w:color w:val="auto"/>
          <w:lang w:val="en-US"/>
        </w:rPr>
        <w:t>fmo1</w:t>
      </w:r>
      <w:r w:rsidRPr="00C40615">
        <w:rPr>
          <w:b w:val="0"/>
          <w:color w:val="auto"/>
          <w:lang w:val="en-US"/>
        </w:rPr>
        <w:t xml:space="preserve"> (C), and </w:t>
      </w:r>
      <w:r w:rsidRPr="00C40615">
        <w:rPr>
          <w:b w:val="0"/>
          <w:i/>
          <w:color w:val="auto"/>
          <w:lang w:val="en-US"/>
        </w:rPr>
        <w:t>sid2</w:t>
      </w:r>
      <w:r w:rsidRPr="00C40615">
        <w:rPr>
          <w:b w:val="0"/>
          <w:color w:val="auto"/>
          <w:lang w:val="en-US"/>
        </w:rPr>
        <w:t xml:space="preserve"> (D). </w:t>
      </w:r>
      <w:proofErr w:type="gramStart"/>
      <w:r w:rsidRPr="00C40615">
        <w:rPr>
          <w:b w:val="0"/>
          <w:color w:val="auto"/>
          <w:lang w:val="en-US"/>
        </w:rPr>
        <w:t>Cp, conidiophore; HR, hypersensitive response; hy, hyphae; oo, oospore.</w:t>
      </w:r>
      <w:proofErr w:type="gramEnd"/>
    </w:p>
    <w:p w:rsidR="00B92F09" w:rsidRDefault="00B92F09" w:rsidP="00DA74F8">
      <w:pPr>
        <w:pStyle w:val="Beschriftung"/>
      </w:pPr>
    </w:p>
    <w:p w:rsidR="00A66E40" w:rsidRDefault="00A66E40" w:rsidP="00A66E40">
      <w:pPr>
        <w:keepNext/>
      </w:pPr>
      <w:r>
        <w:rPr>
          <w:noProof/>
          <w:lang w:val="de-DE" w:eastAsia="de-DE"/>
        </w:rPr>
        <w:drawing>
          <wp:anchor distT="0" distB="0" distL="114300" distR="114300" simplePos="0" relativeHeight="251737088" behindDoc="0" locked="0" layoutInCell="1" allowOverlap="1">
            <wp:simplePos x="914400" y="914400"/>
            <wp:positionH relativeFrom="page">
              <wp:align>center</wp:align>
            </wp:positionH>
            <wp:positionV relativeFrom="paragraph">
              <wp:posOffset>14605</wp:posOffset>
            </wp:positionV>
            <wp:extent cx="5760000" cy="3776920"/>
            <wp:effectExtent l="19050" t="19050" r="12700" b="14605"/>
            <wp:wrapTopAndBottom/>
            <wp:docPr id="79" name="Grafik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t acc Go inf.png"/>
                    <pic:cNvPicPr/>
                  </pic:nvPicPr>
                  <pic:blipFill>
                    <a:blip r:embed="rId127">
                      <a:extLst>
                        <a:ext uri="{28A0092B-C50C-407E-A947-70E740481C1C}">
                          <a14:useLocalDpi xmlns:a14="http://schemas.microsoft.com/office/drawing/2010/main" val="0"/>
                        </a:ext>
                      </a:extLst>
                    </a:blip>
                    <a:stretch>
                      <a:fillRect/>
                    </a:stretch>
                  </pic:blipFill>
                  <pic:spPr>
                    <a:xfrm>
                      <a:off x="0" y="0"/>
                      <a:ext cx="5760000" cy="3776920"/>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p>
    <w:p w:rsidR="00A8044E" w:rsidRPr="00C40615" w:rsidRDefault="00A66E40" w:rsidP="000B3BC2">
      <w:pPr>
        <w:pStyle w:val="Beschriftung"/>
        <w:spacing w:after="0" w:line="360" w:lineRule="auto"/>
        <w:jc w:val="both"/>
        <w:rPr>
          <w:i/>
          <w:color w:val="auto"/>
        </w:rPr>
      </w:pPr>
      <w:bookmarkStart w:id="145" w:name="_Toc435621183"/>
      <w:proofErr w:type="gramStart"/>
      <w:r w:rsidRPr="00C40615">
        <w:rPr>
          <w:color w:val="auto"/>
        </w:rPr>
        <w:t xml:space="preserve">Supplemental figure </w:t>
      </w:r>
      <w:r w:rsidRPr="00C40615">
        <w:rPr>
          <w:color w:val="auto"/>
        </w:rPr>
        <w:fldChar w:fldCharType="begin"/>
      </w:r>
      <w:r w:rsidRPr="00C40615">
        <w:rPr>
          <w:color w:val="auto"/>
        </w:rPr>
        <w:instrText xml:space="preserve"> SEQ Supplemental_figure \* ARABIC </w:instrText>
      </w:r>
      <w:r w:rsidRPr="00C40615">
        <w:rPr>
          <w:color w:val="auto"/>
        </w:rPr>
        <w:fldChar w:fldCharType="separate"/>
      </w:r>
      <w:r w:rsidR="00CB17FE">
        <w:rPr>
          <w:noProof/>
          <w:color w:val="auto"/>
        </w:rPr>
        <w:t>18</w:t>
      </w:r>
      <w:r w:rsidRPr="00C40615">
        <w:rPr>
          <w:color w:val="auto"/>
        </w:rPr>
        <w:fldChar w:fldCharType="end"/>
      </w:r>
      <w:r w:rsidR="000B319C">
        <w:rPr>
          <w:color w:val="auto"/>
        </w:rPr>
        <w:t>.</w:t>
      </w:r>
      <w:proofErr w:type="gramEnd"/>
      <w:r w:rsidR="000E38E0" w:rsidRPr="00C40615">
        <w:rPr>
          <w:color w:val="auto"/>
        </w:rPr>
        <w:t xml:space="preserve"> Metabolic profile of </w:t>
      </w:r>
      <w:r w:rsidR="000E38E0" w:rsidRPr="00C40615">
        <w:rPr>
          <w:i/>
          <w:color w:val="auto"/>
        </w:rPr>
        <w:t>Arabidopsis</w:t>
      </w:r>
      <w:r w:rsidR="000E38E0" w:rsidRPr="00C40615">
        <w:rPr>
          <w:color w:val="auto"/>
        </w:rPr>
        <w:t xml:space="preserve"> plants infected with the powdery mildew fungus </w:t>
      </w:r>
      <w:r w:rsidR="000E38E0" w:rsidRPr="00C40615">
        <w:rPr>
          <w:i/>
          <w:color w:val="auto"/>
        </w:rPr>
        <w:t>G.</w:t>
      </w:r>
      <w:r w:rsidR="00CE18A4">
        <w:rPr>
          <w:i/>
          <w:color w:val="auto"/>
        </w:rPr>
        <w:t xml:space="preserve"> o</w:t>
      </w:r>
      <w:r w:rsidR="000E38E0" w:rsidRPr="00C40615">
        <w:rPr>
          <w:i/>
          <w:color w:val="auto"/>
        </w:rPr>
        <w:t>rontii.</w:t>
      </w:r>
      <w:bookmarkEnd w:id="145"/>
      <w:r w:rsidR="00862CFF" w:rsidRPr="00C40615">
        <w:rPr>
          <w:i/>
          <w:color w:val="auto"/>
        </w:rPr>
        <w:t xml:space="preserve"> </w:t>
      </w:r>
    </w:p>
    <w:p w:rsidR="00AA6928" w:rsidRPr="005C487B" w:rsidRDefault="00862CFF" w:rsidP="005C487B">
      <w:pPr>
        <w:pStyle w:val="Beschriftung"/>
        <w:spacing w:after="0"/>
        <w:jc w:val="both"/>
        <w:rPr>
          <w:b w:val="0"/>
          <w:i/>
          <w:color w:val="auto"/>
          <w:sz w:val="16"/>
          <w:szCs w:val="16"/>
        </w:rPr>
      </w:pPr>
      <w:r w:rsidRPr="00C40615">
        <w:rPr>
          <w:b w:val="0"/>
          <w:color w:val="auto"/>
        </w:rPr>
        <w:t xml:space="preserve">The experimental setup was similar to the one described in figure 46. </w:t>
      </w:r>
      <w:proofErr w:type="gramStart"/>
      <w:r w:rsidRPr="00C40615">
        <w:rPr>
          <w:b w:val="0"/>
          <w:color w:val="auto"/>
        </w:rPr>
        <w:t xml:space="preserve">Accumulation of free </w:t>
      </w:r>
      <w:r w:rsidR="00CE18A4">
        <w:rPr>
          <w:b w:val="0"/>
          <w:color w:val="auto"/>
        </w:rPr>
        <w:t>SA</w:t>
      </w:r>
      <w:r w:rsidRPr="00C40615">
        <w:rPr>
          <w:b w:val="0"/>
          <w:color w:val="auto"/>
        </w:rPr>
        <w:t xml:space="preserve"> (A), </w:t>
      </w:r>
      <w:r w:rsidR="00CE18A4">
        <w:rPr>
          <w:b w:val="0"/>
          <w:color w:val="auto"/>
        </w:rPr>
        <w:t>Pip</w:t>
      </w:r>
      <w:r w:rsidRPr="00C40615">
        <w:rPr>
          <w:b w:val="0"/>
          <w:color w:val="auto"/>
        </w:rPr>
        <w:t xml:space="preserve"> (B), and eicosanoic acid (C).</w:t>
      </w:r>
      <w:proofErr w:type="gramEnd"/>
      <w:r w:rsidRPr="00C40615">
        <w:rPr>
          <w:b w:val="0"/>
          <w:color w:val="auto"/>
        </w:rPr>
        <w:t xml:space="preserve"> </w:t>
      </w:r>
      <w:r w:rsidRPr="00C40615">
        <w:rPr>
          <w:b w:val="0"/>
          <w:color w:val="auto"/>
          <w:lang w:val="en-US"/>
        </w:rPr>
        <w:t xml:space="preserve">Asterisks above the bars show significant statistical differences between non-infected and infected plants (two-tailed </w:t>
      </w:r>
      <w:r w:rsidRPr="00C40615">
        <w:rPr>
          <w:b w:val="0"/>
          <w:i/>
          <w:color w:val="auto"/>
          <w:lang w:val="en-US"/>
        </w:rPr>
        <w:t>t</w:t>
      </w:r>
      <w:r w:rsidRPr="00C40615">
        <w:rPr>
          <w:b w:val="0"/>
          <w:color w:val="auto"/>
          <w:lang w:val="en-US"/>
        </w:rPr>
        <w:t xml:space="preserve"> test; *, P&lt; 0.05; **, P&lt; 0.01; ***, P&lt; 0.001). In contrast to the experiment depicted in figure 46, camalexin accumulation was not detected in this experiment. This experiment was done in collaboration with Dr Michaela Kopischke (University Göttingen; now TSL).</w:t>
      </w:r>
    </w:p>
    <w:p w:rsidR="00AA6928" w:rsidRPr="00AA6928" w:rsidRDefault="00AA6928" w:rsidP="00AA6928"/>
    <w:p w:rsidR="00A334C1" w:rsidRDefault="00A334C1" w:rsidP="00A334C1">
      <w:pPr>
        <w:keepNext/>
      </w:pPr>
      <w:r>
        <w:rPr>
          <w:noProof/>
          <w:lang w:val="de-DE" w:eastAsia="de-DE"/>
        </w:rPr>
        <w:lastRenderedPageBreak/>
        <w:drawing>
          <wp:anchor distT="0" distB="0" distL="114300" distR="114300" simplePos="0" relativeHeight="251738112" behindDoc="0" locked="0" layoutInCell="1" allowOverlap="1">
            <wp:simplePos x="914400" y="6438900"/>
            <wp:positionH relativeFrom="page">
              <wp:align>center</wp:align>
            </wp:positionH>
            <wp:positionV relativeFrom="paragraph">
              <wp:posOffset>25400</wp:posOffset>
            </wp:positionV>
            <wp:extent cx="5040000" cy="2919000"/>
            <wp:effectExtent l="19050" t="19050" r="27305" b="15240"/>
            <wp:wrapTopAndBottom/>
            <wp:docPr id="80" name="Grafik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p-IR vs Go.png"/>
                    <pic:cNvPicPr/>
                  </pic:nvPicPr>
                  <pic:blipFill>
                    <a:blip r:embed="rId128">
                      <a:extLst>
                        <a:ext uri="{28A0092B-C50C-407E-A947-70E740481C1C}">
                          <a14:useLocalDpi xmlns:a14="http://schemas.microsoft.com/office/drawing/2010/main" val="0"/>
                        </a:ext>
                      </a:extLst>
                    </a:blip>
                    <a:stretch>
                      <a:fillRect/>
                    </a:stretch>
                  </pic:blipFill>
                  <pic:spPr>
                    <a:xfrm>
                      <a:off x="0" y="0"/>
                      <a:ext cx="5040000" cy="2919000"/>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p>
    <w:p w:rsidR="00862CFF" w:rsidRPr="00C40615" w:rsidRDefault="00A334C1" w:rsidP="000B3BC2">
      <w:pPr>
        <w:pStyle w:val="Beschriftung"/>
        <w:spacing w:after="0" w:line="360" w:lineRule="auto"/>
        <w:jc w:val="both"/>
        <w:rPr>
          <w:color w:val="auto"/>
        </w:rPr>
      </w:pPr>
      <w:bookmarkStart w:id="146" w:name="_Toc435621184"/>
      <w:proofErr w:type="gramStart"/>
      <w:r w:rsidRPr="00C40615">
        <w:rPr>
          <w:color w:val="auto"/>
        </w:rPr>
        <w:t xml:space="preserve">Supplemental figure </w:t>
      </w:r>
      <w:r w:rsidRPr="00C40615">
        <w:rPr>
          <w:color w:val="auto"/>
        </w:rPr>
        <w:fldChar w:fldCharType="begin"/>
      </w:r>
      <w:r w:rsidRPr="00C40615">
        <w:rPr>
          <w:color w:val="auto"/>
        </w:rPr>
        <w:instrText xml:space="preserve"> SEQ Supplemental_figure \* ARABIC </w:instrText>
      </w:r>
      <w:r w:rsidRPr="00C40615">
        <w:rPr>
          <w:color w:val="auto"/>
        </w:rPr>
        <w:fldChar w:fldCharType="separate"/>
      </w:r>
      <w:r w:rsidR="00CB17FE">
        <w:rPr>
          <w:noProof/>
          <w:color w:val="auto"/>
        </w:rPr>
        <w:t>19</w:t>
      </w:r>
      <w:r w:rsidRPr="00C40615">
        <w:rPr>
          <w:color w:val="auto"/>
        </w:rPr>
        <w:fldChar w:fldCharType="end"/>
      </w:r>
      <w:r w:rsidR="005C487B">
        <w:rPr>
          <w:color w:val="auto"/>
        </w:rPr>
        <w:t>.</w:t>
      </w:r>
      <w:proofErr w:type="gramEnd"/>
      <w:r w:rsidRPr="00C40615">
        <w:rPr>
          <w:color w:val="auto"/>
        </w:rPr>
        <w:t xml:space="preserve"> Exogenous</w:t>
      </w:r>
      <w:r w:rsidR="00CE18A4">
        <w:rPr>
          <w:color w:val="auto"/>
        </w:rPr>
        <w:t>ly</w:t>
      </w:r>
      <w:r w:rsidRPr="00C40615">
        <w:rPr>
          <w:color w:val="auto"/>
        </w:rPr>
        <w:t xml:space="preserve"> applied Pip induces resistance against </w:t>
      </w:r>
      <w:r w:rsidRPr="00C40615">
        <w:rPr>
          <w:i/>
          <w:color w:val="auto"/>
        </w:rPr>
        <w:t>G.</w:t>
      </w:r>
      <w:r w:rsidR="00641EBA">
        <w:rPr>
          <w:i/>
          <w:color w:val="auto"/>
        </w:rPr>
        <w:t xml:space="preserve"> </w:t>
      </w:r>
      <w:r w:rsidRPr="00C40615">
        <w:rPr>
          <w:i/>
          <w:color w:val="auto"/>
        </w:rPr>
        <w:t>orontii</w:t>
      </w:r>
      <w:r w:rsidRPr="00C40615">
        <w:rPr>
          <w:color w:val="auto"/>
        </w:rPr>
        <w:t xml:space="preserve"> in plants impaired in penetration resistance and SA-signalling.</w:t>
      </w:r>
      <w:bookmarkEnd w:id="146"/>
      <w:r w:rsidR="00862CFF" w:rsidRPr="00C40615">
        <w:rPr>
          <w:color w:val="auto"/>
        </w:rPr>
        <w:t xml:space="preserve"> </w:t>
      </w:r>
    </w:p>
    <w:p w:rsidR="00862CFF" w:rsidRPr="002F653F" w:rsidRDefault="00862CFF" w:rsidP="00862CFF">
      <w:pPr>
        <w:pStyle w:val="Beschriftung"/>
        <w:spacing w:after="0"/>
        <w:jc w:val="both"/>
        <w:rPr>
          <w:b w:val="0"/>
        </w:rPr>
      </w:pPr>
      <w:r w:rsidRPr="00C40615">
        <w:rPr>
          <w:b w:val="0"/>
          <w:color w:val="auto"/>
        </w:rPr>
        <w:t xml:space="preserve">Analysis of Pip-induced resistance against </w:t>
      </w:r>
      <w:r w:rsidRPr="00C40615">
        <w:rPr>
          <w:b w:val="0"/>
          <w:i/>
          <w:color w:val="auto"/>
        </w:rPr>
        <w:t>G.</w:t>
      </w:r>
      <w:r w:rsidR="00641EBA">
        <w:rPr>
          <w:b w:val="0"/>
          <w:i/>
          <w:color w:val="auto"/>
        </w:rPr>
        <w:t xml:space="preserve"> </w:t>
      </w:r>
      <w:r w:rsidRPr="00C40615">
        <w:rPr>
          <w:b w:val="0"/>
          <w:i/>
          <w:color w:val="auto"/>
        </w:rPr>
        <w:t>orontii</w:t>
      </w:r>
      <w:r w:rsidRPr="00C40615">
        <w:rPr>
          <w:b w:val="0"/>
          <w:color w:val="auto"/>
        </w:rPr>
        <w:t xml:space="preserve"> was performed as delineated in figure 47. </w:t>
      </w:r>
      <w:r w:rsidRPr="00C40615">
        <w:rPr>
          <w:b w:val="0"/>
          <w:color w:val="auto"/>
          <w:lang w:val="en-US"/>
        </w:rPr>
        <w:t xml:space="preserve">Asterisks above the bars show significant statistical differences between non-infected and infected plants (two-tailed </w:t>
      </w:r>
      <w:r w:rsidRPr="00C40615">
        <w:rPr>
          <w:b w:val="0"/>
          <w:i/>
          <w:color w:val="auto"/>
          <w:lang w:val="en-US"/>
        </w:rPr>
        <w:t>t</w:t>
      </w:r>
      <w:r w:rsidRPr="00C40615">
        <w:rPr>
          <w:b w:val="0"/>
          <w:color w:val="auto"/>
          <w:lang w:val="en-US"/>
        </w:rPr>
        <w:t xml:space="preserve"> test; *, P&lt; 0.05; **, P&lt; 0.01; ***, P&lt; 0.001). This experiment was done in collaboration with Dr Michaela Kopischke (University Göttingen; now TSL).</w:t>
      </w:r>
    </w:p>
    <w:p w:rsidR="00A334C1" w:rsidRPr="00A334C1" w:rsidRDefault="00A334C1" w:rsidP="00A334C1">
      <w:pPr>
        <w:pStyle w:val="Beschriftung"/>
        <w:jc w:val="both"/>
      </w:pPr>
    </w:p>
    <w:p w:rsidR="007C7E65" w:rsidRDefault="00F115C8" w:rsidP="007C7E65">
      <w:pPr>
        <w:keepNext/>
        <w:spacing w:line="360" w:lineRule="auto"/>
        <w:jc w:val="both"/>
      </w:pPr>
      <w:r w:rsidRPr="00F115C8">
        <w:rPr>
          <w:noProof/>
          <w:lang w:val="de-DE" w:eastAsia="de-DE"/>
        </w:rPr>
        <w:drawing>
          <wp:inline distT="0" distB="0" distL="0" distR="0" wp14:anchorId="781F2840" wp14:editId="5E580800">
            <wp:extent cx="5760000" cy="2831726"/>
            <wp:effectExtent l="19050" t="19050" r="12700" b="26035"/>
            <wp:docPr id="43" name="Grafik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ss spec hydroxyterephthalic acid.png"/>
                    <pic:cNvPicPr/>
                  </pic:nvPicPr>
                  <pic:blipFill rotWithShape="1">
                    <a:blip r:embed="rId129">
                      <a:extLst>
                        <a:ext uri="{28A0092B-C50C-407E-A947-70E740481C1C}">
                          <a14:useLocalDpi xmlns:a14="http://schemas.microsoft.com/office/drawing/2010/main" val="0"/>
                        </a:ext>
                      </a:extLst>
                    </a:blip>
                    <a:srcRect l="4463" r="6776" b="9225"/>
                    <a:stretch/>
                  </pic:blipFill>
                  <pic:spPr bwMode="auto">
                    <a:xfrm>
                      <a:off x="0" y="0"/>
                      <a:ext cx="5760000" cy="2831726"/>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rsidR="00862CFF" w:rsidRPr="00C40615" w:rsidRDefault="007C7E65" w:rsidP="000B3BC2">
      <w:pPr>
        <w:pStyle w:val="Beschriftung"/>
        <w:spacing w:after="0" w:line="360" w:lineRule="auto"/>
        <w:jc w:val="both"/>
        <w:rPr>
          <w:color w:val="auto"/>
        </w:rPr>
      </w:pPr>
      <w:bookmarkStart w:id="147" w:name="_Toc435621185"/>
      <w:proofErr w:type="gramStart"/>
      <w:r w:rsidRPr="00C40615">
        <w:rPr>
          <w:color w:val="auto"/>
        </w:rPr>
        <w:t xml:space="preserve">Supplemental figure </w:t>
      </w:r>
      <w:r w:rsidRPr="00C40615">
        <w:rPr>
          <w:color w:val="auto"/>
        </w:rPr>
        <w:fldChar w:fldCharType="begin"/>
      </w:r>
      <w:r w:rsidRPr="00C40615">
        <w:rPr>
          <w:color w:val="auto"/>
        </w:rPr>
        <w:instrText xml:space="preserve"> SEQ Supplemental_figure \* ARABIC </w:instrText>
      </w:r>
      <w:r w:rsidRPr="00C40615">
        <w:rPr>
          <w:color w:val="auto"/>
        </w:rPr>
        <w:fldChar w:fldCharType="separate"/>
      </w:r>
      <w:r w:rsidR="00CB17FE">
        <w:rPr>
          <w:noProof/>
          <w:color w:val="auto"/>
        </w:rPr>
        <w:t>20</w:t>
      </w:r>
      <w:r w:rsidRPr="00C40615">
        <w:rPr>
          <w:color w:val="auto"/>
        </w:rPr>
        <w:fldChar w:fldCharType="end"/>
      </w:r>
      <w:r w:rsidR="005C487B">
        <w:rPr>
          <w:color w:val="auto"/>
        </w:rPr>
        <w:t>.</w:t>
      </w:r>
      <w:proofErr w:type="gramEnd"/>
      <w:r w:rsidRPr="00C40615">
        <w:rPr>
          <w:color w:val="auto"/>
        </w:rPr>
        <w:t xml:space="preserve"> </w:t>
      </w:r>
      <w:proofErr w:type="gramStart"/>
      <w:r w:rsidRPr="00C40615">
        <w:rPr>
          <w:color w:val="auto"/>
        </w:rPr>
        <w:t>Mass spectrum for hydroxyterephthalic acid.</w:t>
      </w:r>
      <w:bookmarkEnd w:id="147"/>
      <w:proofErr w:type="gramEnd"/>
      <w:r w:rsidRPr="00C40615">
        <w:rPr>
          <w:color w:val="auto"/>
        </w:rPr>
        <w:t xml:space="preserve"> </w:t>
      </w:r>
    </w:p>
    <w:p w:rsidR="0086329D" w:rsidRPr="00C40615" w:rsidRDefault="007C7E65" w:rsidP="00862CFF">
      <w:pPr>
        <w:pStyle w:val="Beschriftung"/>
        <w:spacing w:after="0"/>
        <w:jc w:val="both"/>
        <w:rPr>
          <w:b w:val="0"/>
        </w:rPr>
      </w:pPr>
      <w:r w:rsidRPr="00C40615">
        <w:rPr>
          <w:b w:val="0"/>
          <w:color w:val="auto"/>
        </w:rPr>
        <w:t xml:space="preserve">This substance was first detected in extracts from </w:t>
      </w:r>
      <w:r w:rsidRPr="00C40615">
        <w:rPr>
          <w:b w:val="0"/>
          <w:i/>
          <w:color w:val="auto"/>
        </w:rPr>
        <w:t>B.</w:t>
      </w:r>
      <w:r w:rsidR="00641EBA">
        <w:rPr>
          <w:b w:val="0"/>
          <w:i/>
          <w:color w:val="auto"/>
        </w:rPr>
        <w:t xml:space="preserve"> </w:t>
      </w:r>
      <w:r w:rsidRPr="00C40615">
        <w:rPr>
          <w:b w:val="0"/>
          <w:i/>
          <w:color w:val="auto"/>
        </w:rPr>
        <w:t>cinerea</w:t>
      </w:r>
      <w:r w:rsidRPr="00C40615">
        <w:rPr>
          <w:b w:val="0"/>
          <w:color w:val="auto"/>
        </w:rPr>
        <w:t xml:space="preserve">-infected </w:t>
      </w:r>
      <w:r w:rsidR="00641EBA">
        <w:rPr>
          <w:b w:val="0"/>
          <w:i/>
          <w:color w:val="auto"/>
        </w:rPr>
        <w:t>A.</w:t>
      </w:r>
      <w:r w:rsidRPr="00C40615">
        <w:rPr>
          <w:b w:val="0"/>
          <w:i/>
          <w:color w:val="auto"/>
        </w:rPr>
        <w:t xml:space="preserve"> thaliana</w:t>
      </w:r>
      <w:r w:rsidRPr="00C40615">
        <w:rPr>
          <w:b w:val="0"/>
          <w:color w:val="auto"/>
        </w:rPr>
        <w:t xml:space="preserve"> plants. The extraction was done with the VPE method, the substance had a retention time of 18.10 minutes and as internal standard for quantification dihydrojasmonic acid was used.                                                                                                                    </w:t>
      </w:r>
    </w:p>
    <w:p w:rsidR="00715B10" w:rsidRDefault="00715B10" w:rsidP="0086329D"/>
    <w:p w:rsidR="00715B10" w:rsidRPr="0086329D" w:rsidRDefault="00715B10" w:rsidP="0086329D"/>
    <w:p w:rsidR="007C7E65" w:rsidRDefault="00CB556F" w:rsidP="007C7E65">
      <w:pPr>
        <w:keepNext/>
        <w:spacing w:line="360" w:lineRule="auto"/>
        <w:jc w:val="both"/>
      </w:pPr>
      <w:r>
        <w:rPr>
          <w:noProof/>
          <w:lang w:val="de-DE" w:eastAsia="de-DE"/>
        </w:rPr>
        <w:lastRenderedPageBreak/>
        <w:drawing>
          <wp:inline distT="0" distB="0" distL="0" distR="0" wp14:anchorId="7237BF70" wp14:editId="5FB82AEA">
            <wp:extent cx="5760000" cy="2856508"/>
            <wp:effectExtent l="19050" t="19050" r="12700" b="20320"/>
            <wp:docPr id="35" name="Grafik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ss spec neophytadien.png"/>
                    <pic:cNvPicPr/>
                  </pic:nvPicPr>
                  <pic:blipFill>
                    <a:blip r:embed="rId130">
                      <a:extLst>
                        <a:ext uri="{28A0092B-C50C-407E-A947-70E740481C1C}">
                          <a14:useLocalDpi xmlns:a14="http://schemas.microsoft.com/office/drawing/2010/main" val="0"/>
                        </a:ext>
                      </a:extLst>
                    </a:blip>
                    <a:stretch>
                      <a:fillRect/>
                    </a:stretch>
                  </pic:blipFill>
                  <pic:spPr>
                    <a:xfrm>
                      <a:off x="0" y="0"/>
                      <a:ext cx="5760000" cy="2856508"/>
                    </a:xfrm>
                    <a:prstGeom prst="rect">
                      <a:avLst/>
                    </a:prstGeom>
                    <a:ln>
                      <a:solidFill>
                        <a:schemeClr val="tx1"/>
                      </a:solidFill>
                    </a:ln>
                  </pic:spPr>
                </pic:pic>
              </a:graphicData>
            </a:graphic>
          </wp:inline>
        </w:drawing>
      </w:r>
    </w:p>
    <w:p w:rsidR="00A8044E" w:rsidRPr="00C40615" w:rsidRDefault="007C7E65" w:rsidP="000B3BC2">
      <w:pPr>
        <w:pStyle w:val="Beschriftung"/>
        <w:spacing w:after="0" w:line="360" w:lineRule="auto"/>
        <w:jc w:val="both"/>
        <w:rPr>
          <w:color w:val="auto"/>
        </w:rPr>
      </w:pPr>
      <w:bookmarkStart w:id="148" w:name="_Toc435621186"/>
      <w:proofErr w:type="gramStart"/>
      <w:r w:rsidRPr="00C40615">
        <w:rPr>
          <w:color w:val="auto"/>
        </w:rPr>
        <w:t xml:space="preserve">Supplemental figure </w:t>
      </w:r>
      <w:r w:rsidRPr="00C40615">
        <w:rPr>
          <w:color w:val="auto"/>
        </w:rPr>
        <w:fldChar w:fldCharType="begin"/>
      </w:r>
      <w:r w:rsidRPr="00C40615">
        <w:rPr>
          <w:color w:val="auto"/>
        </w:rPr>
        <w:instrText xml:space="preserve"> SEQ Supplemental_figure \* ARABIC </w:instrText>
      </w:r>
      <w:r w:rsidRPr="00C40615">
        <w:rPr>
          <w:color w:val="auto"/>
        </w:rPr>
        <w:fldChar w:fldCharType="separate"/>
      </w:r>
      <w:r w:rsidR="00CB17FE">
        <w:rPr>
          <w:noProof/>
          <w:color w:val="auto"/>
        </w:rPr>
        <w:t>21</w:t>
      </w:r>
      <w:r w:rsidRPr="00C40615">
        <w:rPr>
          <w:color w:val="auto"/>
        </w:rPr>
        <w:fldChar w:fldCharType="end"/>
      </w:r>
      <w:r w:rsidR="005C487B">
        <w:rPr>
          <w:color w:val="auto"/>
        </w:rPr>
        <w:t>.</w:t>
      </w:r>
      <w:proofErr w:type="gramEnd"/>
      <w:r w:rsidR="00A8044E" w:rsidRPr="00C40615">
        <w:rPr>
          <w:color w:val="auto"/>
        </w:rPr>
        <w:t xml:space="preserve"> </w:t>
      </w:r>
      <w:proofErr w:type="gramStart"/>
      <w:r w:rsidR="00A8044E" w:rsidRPr="00C40615">
        <w:rPr>
          <w:color w:val="auto"/>
        </w:rPr>
        <w:t>Mass spectrum for neophytadien.</w:t>
      </w:r>
      <w:bookmarkEnd w:id="148"/>
      <w:proofErr w:type="gramEnd"/>
    </w:p>
    <w:p w:rsidR="007C7E65" w:rsidRPr="00C40615" w:rsidRDefault="00A8044E" w:rsidP="007C7E65">
      <w:pPr>
        <w:pStyle w:val="Beschriftung"/>
        <w:jc w:val="both"/>
        <w:rPr>
          <w:b w:val="0"/>
          <w:color w:val="auto"/>
        </w:rPr>
      </w:pPr>
      <w:r w:rsidRPr="00C40615">
        <w:rPr>
          <w:b w:val="0"/>
          <w:color w:val="auto"/>
        </w:rPr>
        <w:t>This substance</w:t>
      </w:r>
      <w:r w:rsidR="007C7E65" w:rsidRPr="00C40615">
        <w:rPr>
          <w:b w:val="0"/>
          <w:color w:val="auto"/>
        </w:rPr>
        <w:t xml:space="preserve"> was first detected in </w:t>
      </w:r>
      <w:r w:rsidR="007C7E65" w:rsidRPr="00C40615">
        <w:rPr>
          <w:b w:val="0"/>
          <w:i/>
          <w:color w:val="auto"/>
        </w:rPr>
        <w:t>B.</w:t>
      </w:r>
      <w:r w:rsidR="00641EBA">
        <w:rPr>
          <w:b w:val="0"/>
          <w:i/>
          <w:color w:val="auto"/>
        </w:rPr>
        <w:t xml:space="preserve"> </w:t>
      </w:r>
      <w:r w:rsidR="007C7E65" w:rsidRPr="00C40615">
        <w:rPr>
          <w:b w:val="0"/>
          <w:i/>
          <w:color w:val="auto"/>
        </w:rPr>
        <w:t>cinerea</w:t>
      </w:r>
      <w:r w:rsidR="007C7E65" w:rsidRPr="00C40615">
        <w:rPr>
          <w:b w:val="0"/>
          <w:color w:val="auto"/>
        </w:rPr>
        <w:t xml:space="preserve">-infected </w:t>
      </w:r>
      <w:r w:rsidR="007C7E65" w:rsidRPr="00C40615">
        <w:rPr>
          <w:b w:val="0"/>
          <w:i/>
          <w:color w:val="auto"/>
        </w:rPr>
        <w:t>A.thaliana</w:t>
      </w:r>
      <w:r w:rsidR="007C7E65" w:rsidRPr="00C40615">
        <w:rPr>
          <w:b w:val="0"/>
          <w:color w:val="auto"/>
        </w:rPr>
        <w:t xml:space="preserve"> samples, extracted with the VPE method. The retention time was 21.17 minutes and as internal standard for quantification IPA was used.</w:t>
      </w:r>
    </w:p>
    <w:p w:rsidR="007D7B73" w:rsidRDefault="007D7B73" w:rsidP="007C7E65">
      <w:pPr>
        <w:pStyle w:val="Beschriftung"/>
        <w:jc w:val="both"/>
      </w:pPr>
    </w:p>
    <w:p w:rsidR="00F115C8" w:rsidRPr="007D7B73" w:rsidRDefault="00F115C8" w:rsidP="007D7B73">
      <w:pPr>
        <w:pStyle w:val="Beschriftung"/>
        <w:jc w:val="both"/>
        <w:rPr>
          <w:color w:val="000000" w:themeColor="text1"/>
        </w:rPr>
      </w:pPr>
    </w:p>
    <w:p w:rsidR="00F115C8" w:rsidRPr="00F115C8" w:rsidRDefault="00F115C8" w:rsidP="00F115C8">
      <w:pPr>
        <w:spacing w:line="360" w:lineRule="auto"/>
        <w:jc w:val="both"/>
      </w:pPr>
    </w:p>
    <w:p w:rsidR="00715B10" w:rsidRPr="00DF1EB0" w:rsidRDefault="00715B10" w:rsidP="00DF1EB0"/>
    <w:p w:rsidR="007C7E65" w:rsidRDefault="00F115C8" w:rsidP="007C7E65">
      <w:pPr>
        <w:keepNext/>
        <w:spacing w:line="360" w:lineRule="auto"/>
        <w:jc w:val="both"/>
      </w:pPr>
      <w:r w:rsidRPr="00F115C8">
        <w:rPr>
          <w:noProof/>
          <w:lang w:val="de-DE" w:eastAsia="de-DE"/>
        </w:rPr>
        <w:drawing>
          <wp:inline distT="0" distB="0" distL="0" distR="0" wp14:anchorId="37533D55" wp14:editId="0F64B60E">
            <wp:extent cx="5760000" cy="2903492"/>
            <wp:effectExtent l="19050" t="19050" r="12700" b="11430"/>
            <wp:docPr id="46" name="Grafik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ss spec u1.png"/>
                    <pic:cNvPicPr/>
                  </pic:nvPicPr>
                  <pic:blipFill>
                    <a:blip r:embed="rId131">
                      <a:extLst>
                        <a:ext uri="{28A0092B-C50C-407E-A947-70E740481C1C}">
                          <a14:useLocalDpi xmlns:a14="http://schemas.microsoft.com/office/drawing/2010/main" val="0"/>
                        </a:ext>
                      </a:extLst>
                    </a:blip>
                    <a:stretch>
                      <a:fillRect/>
                    </a:stretch>
                  </pic:blipFill>
                  <pic:spPr>
                    <a:xfrm>
                      <a:off x="0" y="0"/>
                      <a:ext cx="5760000" cy="2903492"/>
                    </a:xfrm>
                    <a:prstGeom prst="rect">
                      <a:avLst/>
                    </a:prstGeom>
                    <a:ln>
                      <a:solidFill>
                        <a:schemeClr val="tx1"/>
                      </a:solidFill>
                    </a:ln>
                  </pic:spPr>
                </pic:pic>
              </a:graphicData>
            </a:graphic>
          </wp:inline>
        </w:drawing>
      </w:r>
    </w:p>
    <w:p w:rsidR="00862CFF" w:rsidRPr="00C40615" w:rsidRDefault="007C7E65" w:rsidP="000B3BC2">
      <w:pPr>
        <w:pStyle w:val="Beschriftung"/>
        <w:spacing w:after="0" w:line="360" w:lineRule="auto"/>
        <w:jc w:val="both"/>
        <w:rPr>
          <w:color w:val="auto"/>
        </w:rPr>
      </w:pPr>
      <w:bookmarkStart w:id="149" w:name="_Toc435621187"/>
      <w:proofErr w:type="gramStart"/>
      <w:r w:rsidRPr="00C40615">
        <w:rPr>
          <w:color w:val="auto"/>
        </w:rPr>
        <w:t xml:space="preserve">Supplemental figure </w:t>
      </w:r>
      <w:r w:rsidRPr="00C40615">
        <w:rPr>
          <w:color w:val="auto"/>
        </w:rPr>
        <w:fldChar w:fldCharType="begin"/>
      </w:r>
      <w:r w:rsidRPr="00C40615">
        <w:rPr>
          <w:color w:val="auto"/>
        </w:rPr>
        <w:instrText xml:space="preserve"> SEQ Supplemental_figure \* ARABIC </w:instrText>
      </w:r>
      <w:r w:rsidRPr="00C40615">
        <w:rPr>
          <w:color w:val="auto"/>
        </w:rPr>
        <w:fldChar w:fldCharType="separate"/>
      </w:r>
      <w:r w:rsidR="00CB17FE">
        <w:rPr>
          <w:noProof/>
          <w:color w:val="auto"/>
        </w:rPr>
        <w:t>22</w:t>
      </w:r>
      <w:r w:rsidRPr="00C40615">
        <w:rPr>
          <w:color w:val="auto"/>
        </w:rPr>
        <w:fldChar w:fldCharType="end"/>
      </w:r>
      <w:r w:rsidR="005C487B">
        <w:rPr>
          <w:color w:val="auto"/>
        </w:rPr>
        <w:t>.</w:t>
      </w:r>
      <w:proofErr w:type="gramEnd"/>
      <w:r w:rsidRPr="00C40615">
        <w:rPr>
          <w:color w:val="auto"/>
        </w:rPr>
        <w:t xml:space="preserve"> </w:t>
      </w:r>
      <w:proofErr w:type="gramStart"/>
      <w:r w:rsidRPr="00C40615">
        <w:rPr>
          <w:color w:val="auto"/>
        </w:rPr>
        <w:t xml:space="preserve">Mass spectrum for </w:t>
      </w:r>
      <w:r w:rsidR="00D23D9F">
        <w:rPr>
          <w:color w:val="auto"/>
        </w:rPr>
        <w:t>“unknown</w:t>
      </w:r>
      <w:r w:rsidRPr="00C40615">
        <w:rPr>
          <w:color w:val="auto"/>
        </w:rPr>
        <w:t xml:space="preserve"> 1</w:t>
      </w:r>
      <w:r w:rsidR="00D23D9F">
        <w:rPr>
          <w:color w:val="auto"/>
        </w:rPr>
        <w:t>”</w:t>
      </w:r>
      <w:r w:rsidRPr="00C40615">
        <w:rPr>
          <w:color w:val="auto"/>
        </w:rPr>
        <w:t>.</w:t>
      </w:r>
      <w:bookmarkEnd w:id="149"/>
      <w:proofErr w:type="gramEnd"/>
      <w:r w:rsidRPr="00C40615">
        <w:rPr>
          <w:color w:val="auto"/>
        </w:rPr>
        <w:t xml:space="preserve"> </w:t>
      </w:r>
    </w:p>
    <w:p w:rsidR="007C7E65" w:rsidRPr="00C40615" w:rsidRDefault="007C7E65" w:rsidP="00862CFF">
      <w:pPr>
        <w:pStyle w:val="Beschriftung"/>
        <w:spacing w:after="0"/>
        <w:jc w:val="both"/>
        <w:rPr>
          <w:b w:val="0"/>
          <w:color w:val="auto"/>
        </w:rPr>
      </w:pPr>
      <w:r w:rsidRPr="00C40615">
        <w:rPr>
          <w:b w:val="0"/>
          <w:color w:val="auto"/>
        </w:rPr>
        <w:t xml:space="preserve">This substance was extracted first from </w:t>
      </w:r>
      <w:r w:rsidRPr="00C40615">
        <w:rPr>
          <w:b w:val="0"/>
          <w:i/>
          <w:color w:val="auto"/>
        </w:rPr>
        <w:t>B.</w:t>
      </w:r>
      <w:r w:rsidR="00641EBA">
        <w:rPr>
          <w:b w:val="0"/>
          <w:i/>
          <w:color w:val="auto"/>
        </w:rPr>
        <w:t xml:space="preserve"> </w:t>
      </w:r>
      <w:r w:rsidRPr="00C40615">
        <w:rPr>
          <w:b w:val="0"/>
          <w:i/>
          <w:color w:val="auto"/>
        </w:rPr>
        <w:t>cinerea</w:t>
      </w:r>
      <w:r w:rsidRPr="00C40615">
        <w:rPr>
          <w:b w:val="0"/>
          <w:color w:val="auto"/>
        </w:rPr>
        <w:t xml:space="preserve">-infected </w:t>
      </w:r>
      <w:r w:rsidRPr="00C40615">
        <w:rPr>
          <w:b w:val="0"/>
          <w:i/>
          <w:color w:val="auto"/>
        </w:rPr>
        <w:t>Arabidopis</w:t>
      </w:r>
      <w:r w:rsidRPr="00C40615">
        <w:rPr>
          <w:b w:val="0"/>
          <w:color w:val="auto"/>
        </w:rPr>
        <w:t xml:space="preserve"> plants, had a retention time of 24.40 minutes and IPA was used as internal standard for quantification of the substance.</w:t>
      </w:r>
    </w:p>
    <w:p w:rsidR="005C1DD0" w:rsidRDefault="005C1DD0" w:rsidP="007C7E65">
      <w:pPr>
        <w:pStyle w:val="Beschriftung"/>
        <w:jc w:val="both"/>
      </w:pPr>
    </w:p>
    <w:p w:rsidR="00F115C8" w:rsidRDefault="00F115C8" w:rsidP="005C1DD0">
      <w:pPr>
        <w:pStyle w:val="Beschriftung"/>
        <w:jc w:val="both"/>
        <w:rPr>
          <w:color w:val="000000" w:themeColor="text1"/>
        </w:rPr>
      </w:pPr>
    </w:p>
    <w:p w:rsidR="005C1DD0" w:rsidRPr="005C1DD0" w:rsidRDefault="005C1DD0" w:rsidP="005C1DD0"/>
    <w:p w:rsidR="007C7E65" w:rsidRDefault="002724BE" w:rsidP="007C7E65">
      <w:pPr>
        <w:keepNext/>
        <w:spacing w:line="360" w:lineRule="auto"/>
        <w:jc w:val="both"/>
      </w:pPr>
      <w:r>
        <w:rPr>
          <w:noProof/>
          <w:lang w:val="de-DE" w:eastAsia="de-DE"/>
        </w:rPr>
        <w:drawing>
          <wp:inline distT="0" distB="0" distL="0" distR="0" wp14:anchorId="25A8F833" wp14:editId="5E469072">
            <wp:extent cx="5760000" cy="3018536"/>
            <wp:effectExtent l="19050" t="19050" r="12700" b="10795"/>
            <wp:docPr id="36" name="Grafik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ss spec u2.png"/>
                    <pic:cNvPicPr/>
                  </pic:nvPicPr>
                  <pic:blipFill rotWithShape="1">
                    <a:blip r:embed="rId132">
                      <a:extLst>
                        <a:ext uri="{28A0092B-C50C-407E-A947-70E740481C1C}">
                          <a14:useLocalDpi xmlns:a14="http://schemas.microsoft.com/office/drawing/2010/main" val="0"/>
                        </a:ext>
                      </a:extLst>
                    </a:blip>
                    <a:srcRect l="7934"/>
                    <a:stretch/>
                  </pic:blipFill>
                  <pic:spPr bwMode="auto">
                    <a:xfrm>
                      <a:off x="0" y="0"/>
                      <a:ext cx="5760000" cy="3018536"/>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rsidR="00A8044E" w:rsidRPr="00C40615" w:rsidRDefault="007C7E65" w:rsidP="000B3BC2">
      <w:pPr>
        <w:pStyle w:val="Beschriftung"/>
        <w:spacing w:after="0" w:line="360" w:lineRule="auto"/>
        <w:jc w:val="both"/>
        <w:rPr>
          <w:color w:val="auto"/>
        </w:rPr>
      </w:pPr>
      <w:bookmarkStart w:id="150" w:name="_Toc435621188"/>
      <w:proofErr w:type="gramStart"/>
      <w:r w:rsidRPr="00C40615">
        <w:rPr>
          <w:color w:val="auto"/>
        </w:rPr>
        <w:t xml:space="preserve">Supplemental figure </w:t>
      </w:r>
      <w:r w:rsidRPr="00C40615">
        <w:rPr>
          <w:color w:val="auto"/>
        </w:rPr>
        <w:fldChar w:fldCharType="begin"/>
      </w:r>
      <w:r w:rsidRPr="00C40615">
        <w:rPr>
          <w:color w:val="auto"/>
        </w:rPr>
        <w:instrText xml:space="preserve"> SEQ Supplemental_figure \* ARABIC </w:instrText>
      </w:r>
      <w:r w:rsidRPr="00C40615">
        <w:rPr>
          <w:color w:val="auto"/>
        </w:rPr>
        <w:fldChar w:fldCharType="separate"/>
      </w:r>
      <w:r w:rsidR="00CB17FE">
        <w:rPr>
          <w:noProof/>
          <w:color w:val="auto"/>
        </w:rPr>
        <w:t>23</w:t>
      </w:r>
      <w:r w:rsidRPr="00C40615">
        <w:rPr>
          <w:color w:val="auto"/>
        </w:rPr>
        <w:fldChar w:fldCharType="end"/>
      </w:r>
      <w:r w:rsidR="005C487B">
        <w:rPr>
          <w:color w:val="auto"/>
        </w:rPr>
        <w:t>.</w:t>
      </w:r>
      <w:proofErr w:type="gramEnd"/>
      <w:r w:rsidRPr="00C40615">
        <w:rPr>
          <w:color w:val="auto"/>
        </w:rPr>
        <w:t xml:space="preserve"> </w:t>
      </w:r>
      <w:proofErr w:type="gramStart"/>
      <w:r w:rsidRPr="00C40615">
        <w:rPr>
          <w:color w:val="auto"/>
        </w:rPr>
        <w:t>Mass s</w:t>
      </w:r>
      <w:r w:rsidR="00A8044E" w:rsidRPr="00C40615">
        <w:rPr>
          <w:color w:val="auto"/>
        </w:rPr>
        <w:t xml:space="preserve">pectrum for </w:t>
      </w:r>
      <w:r w:rsidR="00D23D9F">
        <w:rPr>
          <w:color w:val="auto"/>
        </w:rPr>
        <w:t>“unknown</w:t>
      </w:r>
      <w:r w:rsidR="00A8044E" w:rsidRPr="00C40615">
        <w:rPr>
          <w:color w:val="auto"/>
        </w:rPr>
        <w:t xml:space="preserve"> 2</w:t>
      </w:r>
      <w:r w:rsidR="00D23D9F">
        <w:rPr>
          <w:color w:val="auto"/>
        </w:rPr>
        <w:t>”</w:t>
      </w:r>
      <w:r w:rsidR="00A8044E" w:rsidRPr="00C40615">
        <w:rPr>
          <w:color w:val="auto"/>
        </w:rPr>
        <w:t>.</w:t>
      </w:r>
      <w:bookmarkEnd w:id="150"/>
      <w:proofErr w:type="gramEnd"/>
    </w:p>
    <w:p w:rsidR="007C7E65" w:rsidRPr="00C40615" w:rsidRDefault="00A8044E" w:rsidP="007C7E65">
      <w:pPr>
        <w:pStyle w:val="Beschriftung"/>
        <w:jc w:val="both"/>
        <w:rPr>
          <w:b w:val="0"/>
          <w:color w:val="auto"/>
        </w:rPr>
      </w:pPr>
      <w:proofErr w:type="gramStart"/>
      <w:r w:rsidRPr="00C40615">
        <w:rPr>
          <w:b w:val="0"/>
          <w:color w:val="auto"/>
        </w:rPr>
        <w:t>F</w:t>
      </w:r>
      <w:r w:rsidR="007C7E65" w:rsidRPr="00C40615">
        <w:rPr>
          <w:b w:val="0"/>
          <w:color w:val="auto"/>
        </w:rPr>
        <w:t xml:space="preserve">irst detected in VPE extracts of </w:t>
      </w:r>
      <w:r w:rsidR="007C7E65" w:rsidRPr="00C40615">
        <w:rPr>
          <w:b w:val="0"/>
          <w:i/>
          <w:color w:val="auto"/>
        </w:rPr>
        <w:t>B.</w:t>
      </w:r>
      <w:r w:rsidR="00641EBA">
        <w:rPr>
          <w:b w:val="0"/>
          <w:i/>
          <w:color w:val="auto"/>
        </w:rPr>
        <w:t xml:space="preserve"> </w:t>
      </w:r>
      <w:r w:rsidR="007C7E65" w:rsidRPr="00C40615">
        <w:rPr>
          <w:b w:val="0"/>
          <w:i/>
          <w:color w:val="auto"/>
        </w:rPr>
        <w:t>cinerea</w:t>
      </w:r>
      <w:r w:rsidR="007C7E65" w:rsidRPr="00C40615">
        <w:rPr>
          <w:b w:val="0"/>
          <w:color w:val="auto"/>
        </w:rPr>
        <w:t xml:space="preserve">-infected </w:t>
      </w:r>
      <w:r w:rsidR="007C7E65" w:rsidRPr="00C40615">
        <w:rPr>
          <w:b w:val="0"/>
          <w:i/>
          <w:color w:val="auto"/>
        </w:rPr>
        <w:t>A.</w:t>
      </w:r>
      <w:r w:rsidR="00641EBA">
        <w:rPr>
          <w:b w:val="0"/>
          <w:i/>
          <w:color w:val="auto"/>
        </w:rPr>
        <w:t xml:space="preserve"> </w:t>
      </w:r>
      <w:r w:rsidR="007C7E65" w:rsidRPr="00C40615">
        <w:rPr>
          <w:b w:val="0"/>
          <w:i/>
          <w:color w:val="auto"/>
        </w:rPr>
        <w:t>thaliana</w:t>
      </w:r>
      <w:r w:rsidR="007C7E65" w:rsidRPr="00C40615">
        <w:rPr>
          <w:b w:val="0"/>
          <w:color w:val="auto"/>
        </w:rPr>
        <w:t xml:space="preserve"> plants.</w:t>
      </w:r>
      <w:proofErr w:type="gramEnd"/>
      <w:r w:rsidR="007C7E65" w:rsidRPr="00C40615">
        <w:rPr>
          <w:b w:val="0"/>
          <w:color w:val="auto"/>
        </w:rPr>
        <w:t xml:space="preserve"> The retention time for this substance was 24.30 minutes and IPA was used as internal standard for quantification. </w:t>
      </w:r>
    </w:p>
    <w:p w:rsidR="00986CE8" w:rsidRDefault="00986CE8" w:rsidP="007C7E65">
      <w:pPr>
        <w:pStyle w:val="Beschriftung"/>
        <w:jc w:val="both"/>
      </w:pPr>
    </w:p>
    <w:p w:rsidR="00F115C8" w:rsidRPr="00986CE8" w:rsidRDefault="00F115C8" w:rsidP="00986CE8">
      <w:pPr>
        <w:pStyle w:val="Beschriftung"/>
        <w:jc w:val="both"/>
        <w:rPr>
          <w:color w:val="000000" w:themeColor="text1"/>
        </w:rPr>
      </w:pPr>
    </w:p>
    <w:p w:rsidR="00715B10" w:rsidRPr="00F115C8" w:rsidRDefault="00715B10" w:rsidP="00F115C8">
      <w:pPr>
        <w:spacing w:line="360" w:lineRule="auto"/>
        <w:jc w:val="both"/>
      </w:pPr>
    </w:p>
    <w:p w:rsidR="007C7E65" w:rsidRDefault="002724BE" w:rsidP="007C7E65">
      <w:pPr>
        <w:keepNext/>
        <w:spacing w:line="360" w:lineRule="auto"/>
        <w:jc w:val="both"/>
      </w:pPr>
      <w:r>
        <w:rPr>
          <w:noProof/>
          <w:lang w:val="de-DE" w:eastAsia="de-DE"/>
        </w:rPr>
        <w:drawing>
          <wp:inline distT="0" distB="0" distL="0" distR="0" wp14:anchorId="54205009" wp14:editId="76AB5550">
            <wp:extent cx="5760720" cy="2887980"/>
            <wp:effectExtent l="19050" t="19050" r="11430" b="26670"/>
            <wp:docPr id="37" name="Grafik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ss spec u3.png"/>
                    <pic:cNvPicPr/>
                  </pic:nvPicPr>
                  <pic:blipFill>
                    <a:blip r:embed="rId133">
                      <a:extLst>
                        <a:ext uri="{28A0092B-C50C-407E-A947-70E740481C1C}">
                          <a14:useLocalDpi xmlns:a14="http://schemas.microsoft.com/office/drawing/2010/main" val="0"/>
                        </a:ext>
                      </a:extLst>
                    </a:blip>
                    <a:stretch>
                      <a:fillRect/>
                    </a:stretch>
                  </pic:blipFill>
                  <pic:spPr>
                    <a:xfrm>
                      <a:off x="0" y="0"/>
                      <a:ext cx="5760720" cy="2887980"/>
                    </a:xfrm>
                    <a:prstGeom prst="rect">
                      <a:avLst/>
                    </a:prstGeom>
                    <a:ln>
                      <a:solidFill>
                        <a:schemeClr val="tx1"/>
                      </a:solidFill>
                    </a:ln>
                  </pic:spPr>
                </pic:pic>
              </a:graphicData>
            </a:graphic>
          </wp:inline>
        </w:drawing>
      </w:r>
    </w:p>
    <w:p w:rsidR="00A8044E" w:rsidRPr="00C40615" w:rsidRDefault="007C7E65" w:rsidP="000B3BC2">
      <w:pPr>
        <w:pStyle w:val="Beschriftung"/>
        <w:spacing w:after="0" w:line="360" w:lineRule="auto"/>
        <w:jc w:val="both"/>
        <w:rPr>
          <w:color w:val="auto"/>
        </w:rPr>
      </w:pPr>
      <w:bookmarkStart w:id="151" w:name="_Toc435621189"/>
      <w:proofErr w:type="gramStart"/>
      <w:r w:rsidRPr="00C40615">
        <w:rPr>
          <w:color w:val="auto"/>
        </w:rPr>
        <w:t xml:space="preserve">Supplemental figure </w:t>
      </w:r>
      <w:r w:rsidRPr="00C40615">
        <w:rPr>
          <w:color w:val="auto"/>
        </w:rPr>
        <w:fldChar w:fldCharType="begin"/>
      </w:r>
      <w:r w:rsidRPr="00C40615">
        <w:rPr>
          <w:color w:val="auto"/>
        </w:rPr>
        <w:instrText xml:space="preserve"> SEQ Supplemental_figure \* ARABIC </w:instrText>
      </w:r>
      <w:r w:rsidRPr="00C40615">
        <w:rPr>
          <w:color w:val="auto"/>
        </w:rPr>
        <w:fldChar w:fldCharType="separate"/>
      </w:r>
      <w:r w:rsidR="00CB17FE">
        <w:rPr>
          <w:noProof/>
          <w:color w:val="auto"/>
        </w:rPr>
        <w:t>24</w:t>
      </w:r>
      <w:r w:rsidRPr="00C40615">
        <w:rPr>
          <w:color w:val="auto"/>
        </w:rPr>
        <w:fldChar w:fldCharType="end"/>
      </w:r>
      <w:r w:rsidR="005C487B">
        <w:rPr>
          <w:color w:val="auto"/>
        </w:rPr>
        <w:t>.</w:t>
      </w:r>
      <w:proofErr w:type="gramEnd"/>
      <w:r w:rsidR="00D23D9F">
        <w:rPr>
          <w:color w:val="auto"/>
        </w:rPr>
        <w:t xml:space="preserve"> </w:t>
      </w:r>
      <w:proofErr w:type="gramStart"/>
      <w:r w:rsidR="00D23D9F">
        <w:rPr>
          <w:color w:val="auto"/>
        </w:rPr>
        <w:t>Mass spectrum for</w:t>
      </w:r>
      <w:r w:rsidRPr="00C40615">
        <w:rPr>
          <w:color w:val="auto"/>
        </w:rPr>
        <w:t xml:space="preserve"> </w:t>
      </w:r>
      <w:r w:rsidR="00D23D9F">
        <w:rPr>
          <w:color w:val="auto"/>
        </w:rPr>
        <w:t>“unknown</w:t>
      </w:r>
      <w:r w:rsidRPr="00C40615">
        <w:rPr>
          <w:color w:val="auto"/>
        </w:rPr>
        <w:t xml:space="preserve"> 3</w:t>
      </w:r>
      <w:r w:rsidR="00D23D9F">
        <w:rPr>
          <w:color w:val="auto"/>
        </w:rPr>
        <w:t>”</w:t>
      </w:r>
      <w:r w:rsidR="00A8044E" w:rsidRPr="00C40615">
        <w:rPr>
          <w:color w:val="auto"/>
        </w:rPr>
        <w:t>.</w:t>
      </w:r>
      <w:bookmarkEnd w:id="151"/>
      <w:proofErr w:type="gramEnd"/>
    </w:p>
    <w:p w:rsidR="007C7E65" w:rsidRPr="00C40615" w:rsidRDefault="00A8044E" w:rsidP="007C7E65">
      <w:pPr>
        <w:pStyle w:val="Beschriftung"/>
        <w:jc w:val="both"/>
        <w:rPr>
          <w:b w:val="0"/>
          <w:color w:val="auto"/>
        </w:rPr>
      </w:pPr>
      <w:proofErr w:type="gramStart"/>
      <w:r w:rsidRPr="00C40615">
        <w:rPr>
          <w:b w:val="0"/>
          <w:color w:val="auto"/>
        </w:rPr>
        <w:t>D</w:t>
      </w:r>
      <w:r w:rsidR="007C7E65" w:rsidRPr="00C40615">
        <w:rPr>
          <w:b w:val="0"/>
          <w:color w:val="auto"/>
        </w:rPr>
        <w:t xml:space="preserve">etected in vapour phase-extracted </w:t>
      </w:r>
      <w:r w:rsidR="007C7E65" w:rsidRPr="00C40615">
        <w:rPr>
          <w:b w:val="0"/>
          <w:i/>
          <w:color w:val="auto"/>
        </w:rPr>
        <w:t>A.</w:t>
      </w:r>
      <w:r w:rsidR="00641EBA">
        <w:rPr>
          <w:b w:val="0"/>
          <w:i/>
          <w:color w:val="auto"/>
        </w:rPr>
        <w:t xml:space="preserve"> </w:t>
      </w:r>
      <w:r w:rsidR="007C7E65" w:rsidRPr="00C40615">
        <w:rPr>
          <w:b w:val="0"/>
          <w:i/>
          <w:color w:val="auto"/>
        </w:rPr>
        <w:t>thaliana</w:t>
      </w:r>
      <w:r w:rsidR="007C7E65" w:rsidRPr="00C40615">
        <w:rPr>
          <w:b w:val="0"/>
          <w:color w:val="auto"/>
        </w:rPr>
        <w:t xml:space="preserve"> leaves infected with </w:t>
      </w:r>
      <w:r w:rsidR="007C7E65" w:rsidRPr="00C40615">
        <w:rPr>
          <w:b w:val="0"/>
          <w:i/>
          <w:color w:val="auto"/>
        </w:rPr>
        <w:t>B</w:t>
      </w:r>
      <w:r w:rsidR="00641EBA">
        <w:rPr>
          <w:b w:val="0"/>
          <w:i/>
          <w:color w:val="auto"/>
        </w:rPr>
        <w:t>.</w:t>
      </w:r>
      <w:r w:rsidR="007C7E65" w:rsidRPr="00C40615">
        <w:rPr>
          <w:b w:val="0"/>
          <w:i/>
          <w:color w:val="auto"/>
        </w:rPr>
        <w:t xml:space="preserve"> cinerea</w:t>
      </w:r>
      <w:r w:rsidR="007C7E65" w:rsidRPr="00C40615">
        <w:rPr>
          <w:b w:val="0"/>
          <w:color w:val="auto"/>
        </w:rPr>
        <w:t>.</w:t>
      </w:r>
      <w:proofErr w:type="gramEnd"/>
      <w:r w:rsidR="007C7E65" w:rsidRPr="00C40615">
        <w:rPr>
          <w:b w:val="0"/>
          <w:color w:val="auto"/>
        </w:rPr>
        <w:t xml:space="preserve"> The substance had a retention time of 24.17 minutes and IPA was used as internal standard for quantification.</w:t>
      </w:r>
    </w:p>
    <w:p w:rsidR="00016B1C" w:rsidRDefault="00016B1C" w:rsidP="007C7E65">
      <w:pPr>
        <w:pStyle w:val="Beschriftung"/>
        <w:jc w:val="both"/>
      </w:pPr>
    </w:p>
    <w:p w:rsidR="00F115C8" w:rsidRDefault="00F115C8" w:rsidP="00016B1C">
      <w:pPr>
        <w:pStyle w:val="Beschriftung"/>
        <w:jc w:val="both"/>
        <w:rPr>
          <w:color w:val="000000" w:themeColor="text1"/>
        </w:rPr>
      </w:pPr>
    </w:p>
    <w:p w:rsidR="00016B1C" w:rsidRPr="00016B1C" w:rsidRDefault="00016B1C" w:rsidP="00016B1C"/>
    <w:p w:rsidR="007C7E65" w:rsidRDefault="002724BE" w:rsidP="007C7E65">
      <w:pPr>
        <w:keepNext/>
        <w:spacing w:line="360" w:lineRule="auto"/>
        <w:jc w:val="both"/>
      </w:pPr>
      <w:r>
        <w:rPr>
          <w:noProof/>
          <w:lang w:val="de-DE" w:eastAsia="de-DE"/>
        </w:rPr>
        <w:drawing>
          <wp:inline distT="0" distB="0" distL="0" distR="0" wp14:anchorId="25F4DB6B" wp14:editId="3D926D5D">
            <wp:extent cx="5760720" cy="2965450"/>
            <wp:effectExtent l="19050" t="19050" r="11430" b="25400"/>
            <wp:docPr id="38" name="Grafik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ss spec u9.png"/>
                    <pic:cNvPicPr/>
                  </pic:nvPicPr>
                  <pic:blipFill>
                    <a:blip r:embed="rId134">
                      <a:extLst>
                        <a:ext uri="{28A0092B-C50C-407E-A947-70E740481C1C}">
                          <a14:useLocalDpi xmlns:a14="http://schemas.microsoft.com/office/drawing/2010/main" val="0"/>
                        </a:ext>
                      </a:extLst>
                    </a:blip>
                    <a:stretch>
                      <a:fillRect/>
                    </a:stretch>
                  </pic:blipFill>
                  <pic:spPr>
                    <a:xfrm>
                      <a:off x="0" y="0"/>
                      <a:ext cx="5760720" cy="2965450"/>
                    </a:xfrm>
                    <a:prstGeom prst="rect">
                      <a:avLst/>
                    </a:prstGeom>
                    <a:ln>
                      <a:solidFill>
                        <a:schemeClr val="tx1"/>
                      </a:solidFill>
                    </a:ln>
                  </pic:spPr>
                </pic:pic>
              </a:graphicData>
            </a:graphic>
          </wp:inline>
        </w:drawing>
      </w:r>
    </w:p>
    <w:p w:rsidR="00862CFF" w:rsidRPr="00C40615" w:rsidRDefault="007C7E65" w:rsidP="000B3BC2">
      <w:pPr>
        <w:pStyle w:val="Beschriftung"/>
        <w:spacing w:after="0" w:line="360" w:lineRule="auto"/>
        <w:jc w:val="both"/>
        <w:rPr>
          <w:color w:val="auto"/>
        </w:rPr>
      </w:pPr>
      <w:bookmarkStart w:id="152" w:name="_Toc435621190"/>
      <w:proofErr w:type="gramStart"/>
      <w:r w:rsidRPr="00C40615">
        <w:rPr>
          <w:color w:val="auto"/>
        </w:rPr>
        <w:t xml:space="preserve">Supplemental figure </w:t>
      </w:r>
      <w:r w:rsidRPr="00C40615">
        <w:rPr>
          <w:color w:val="auto"/>
        </w:rPr>
        <w:fldChar w:fldCharType="begin"/>
      </w:r>
      <w:r w:rsidRPr="00C40615">
        <w:rPr>
          <w:color w:val="auto"/>
        </w:rPr>
        <w:instrText xml:space="preserve"> SEQ Supplemental_figure \* ARABIC </w:instrText>
      </w:r>
      <w:r w:rsidRPr="00C40615">
        <w:rPr>
          <w:color w:val="auto"/>
        </w:rPr>
        <w:fldChar w:fldCharType="separate"/>
      </w:r>
      <w:r w:rsidR="00CB17FE">
        <w:rPr>
          <w:noProof/>
          <w:color w:val="auto"/>
        </w:rPr>
        <w:t>25</w:t>
      </w:r>
      <w:r w:rsidRPr="00C40615">
        <w:rPr>
          <w:color w:val="auto"/>
        </w:rPr>
        <w:fldChar w:fldCharType="end"/>
      </w:r>
      <w:r w:rsidR="005C487B">
        <w:rPr>
          <w:color w:val="auto"/>
        </w:rPr>
        <w:t>.</w:t>
      </w:r>
      <w:proofErr w:type="gramEnd"/>
      <w:r w:rsidR="00D23D9F">
        <w:rPr>
          <w:color w:val="auto"/>
        </w:rPr>
        <w:t xml:space="preserve"> </w:t>
      </w:r>
      <w:proofErr w:type="gramStart"/>
      <w:r w:rsidR="00D23D9F">
        <w:rPr>
          <w:color w:val="auto"/>
        </w:rPr>
        <w:t>Mass spectrum for</w:t>
      </w:r>
      <w:r w:rsidRPr="00C40615">
        <w:rPr>
          <w:color w:val="auto"/>
        </w:rPr>
        <w:t xml:space="preserve"> </w:t>
      </w:r>
      <w:r w:rsidR="00D23D9F">
        <w:rPr>
          <w:color w:val="auto"/>
        </w:rPr>
        <w:t>“unknown</w:t>
      </w:r>
      <w:r w:rsidRPr="00C40615">
        <w:rPr>
          <w:color w:val="auto"/>
        </w:rPr>
        <w:t xml:space="preserve"> 9</w:t>
      </w:r>
      <w:r w:rsidR="00D23D9F">
        <w:rPr>
          <w:color w:val="auto"/>
        </w:rPr>
        <w:t>”</w:t>
      </w:r>
      <w:r w:rsidRPr="00C40615">
        <w:rPr>
          <w:color w:val="auto"/>
        </w:rPr>
        <w:t>.</w:t>
      </w:r>
      <w:bookmarkEnd w:id="152"/>
      <w:proofErr w:type="gramEnd"/>
      <w:r w:rsidRPr="00C40615">
        <w:rPr>
          <w:color w:val="auto"/>
        </w:rPr>
        <w:t xml:space="preserve"> </w:t>
      </w:r>
    </w:p>
    <w:p w:rsidR="007C7E65" w:rsidRPr="00C40615" w:rsidRDefault="007C7E65" w:rsidP="00862CFF">
      <w:pPr>
        <w:pStyle w:val="Beschriftung"/>
        <w:spacing w:after="0"/>
        <w:jc w:val="both"/>
        <w:rPr>
          <w:b w:val="0"/>
          <w:color w:val="auto"/>
        </w:rPr>
      </w:pPr>
      <w:r w:rsidRPr="00C40615">
        <w:rPr>
          <w:b w:val="0"/>
          <w:color w:val="auto"/>
        </w:rPr>
        <w:t xml:space="preserve">This substance was first identified in vapour phase-extracted samples of </w:t>
      </w:r>
      <w:r w:rsidRPr="00C40615">
        <w:rPr>
          <w:b w:val="0"/>
          <w:i/>
          <w:color w:val="auto"/>
        </w:rPr>
        <w:t>B.</w:t>
      </w:r>
      <w:r w:rsidR="00641EBA">
        <w:rPr>
          <w:b w:val="0"/>
          <w:i/>
          <w:color w:val="auto"/>
        </w:rPr>
        <w:t xml:space="preserve"> </w:t>
      </w:r>
      <w:r w:rsidRPr="00C40615">
        <w:rPr>
          <w:b w:val="0"/>
          <w:i/>
          <w:color w:val="auto"/>
        </w:rPr>
        <w:t>cinerea</w:t>
      </w:r>
      <w:r w:rsidRPr="00C40615">
        <w:rPr>
          <w:b w:val="0"/>
          <w:color w:val="auto"/>
        </w:rPr>
        <w:t xml:space="preserve">-infected </w:t>
      </w:r>
      <w:r w:rsidRPr="00C40615">
        <w:rPr>
          <w:b w:val="0"/>
          <w:i/>
          <w:color w:val="auto"/>
        </w:rPr>
        <w:t>Arabidopsis</w:t>
      </w:r>
      <w:r w:rsidRPr="00C40615">
        <w:rPr>
          <w:b w:val="0"/>
          <w:color w:val="auto"/>
        </w:rPr>
        <w:t xml:space="preserve"> plants, had a retention time of 22.48 minutes and was quatnified using IPA as internal standard.</w:t>
      </w:r>
    </w:p>
    <w:p w:rsidR="00715B10" w:rsidRDefault="007C7E65" w:rsidP="00AA6928">
      <w:pPr>
        <w:pStyle w:val="Beschriftung"/>
        <w:jc w:val="both"/>
      </w:pPr>
      <w:r>
        <w:t xml:space="preserve"> </w:t>
      </w:r>
    </w:p>
    <w:p w:rsidR="00715B10" w:rsidRPr="00F06C14" w:rsidRDefault="00715B10" w:rsidP="00F06C14"/>
    <w:p w:rsidR="007C7E65" w:rsidRDefault="002724BE" w:rsidP="007C7E65">
      <w:pPr>
        <w:keepNext/>
        <w:spacing w:line="360" w:lineRule="auto"/>
        <w:jc w:val="both"/>
      </w:pPr>
      <w:r>
        <w:rPr>
          <w:noProof/>
          <w:lang w:val="de-DE" w:eastAsia="de-DE"/>
        </w:rPr>
        <w:drawing>
          <wp:inline distT="0" distB="0" distL="0" distR="0" wp14:anchorId="357A6C4A" wp14:editId="3499351D">
            <wp:extent cx="5760000" cy="3092034"/>
            <wp:effectExtent l="19050" t="19050" r="12700" b="13335"/>
            <wp:docPr id="39" name="Grafik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ss spec u13.png"/>
                    <pic:cNvPicPr/>
                  </pic:nvPicPr>
                  <pic:blipFill rotWithShape="1">
                    <a:blip r:embed="rId135">
                      <a:extLst>
                        <a:ext uri="{28A0092B-C50C-407E-A947-70E740481C1C}">
                          <a14:useLocalDpi xmlns:a14="http://schemas.microsoft.com/office/drawing/2010/main" val="0"/>
                        </a:ext>
                      </a:extLst>
                    </a:blip>
                    <a:srcRect l="7781"/>
                    <a:stretch/>
                  </pic:blipFill>
                  <pic:spPr bwMode="auto">
                    <a:xfrm>
                      <a:off x="0" y="0"/>
                      <a:ext cx="5760000" cy="3092034"/>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rsidR="00A8044E" w:rsidRPr="00C40615" w:rsidRDefault="007C7E65" w:rsidP="000B3BC2">
      <w:pPr>
        <w:pStyle w:val="Beschriftung"/>
        <w:spacing w:after="0" w:line="360" w:lineRule="auto"/>
        <w:jc w:val="both"/>
        <w:rPr>
          <w:color w:val="auto"/>
        </w:rPr>
      </w:pPr>
      <w:bookmarkStart w:id="153" w:name="_Toc435621191"/>
      <w:proofErr w:type="gramStart"/>
      <w:r w:rsidRPr="00C40615">
        <w:rPr>
          <w:color w:val="auto"/>
        </w:rPr>
        <w:t xml:space="preserve">Supplemental figure </w:t>
      </w:r>
      <w:r w:rsidRPr="00C40615">
        <w:rPr>
          <w:color w:val="auto"/>
        </w:rPr>
        <w:fldChar w:fldCharType="begin"/>
      </w:r>
      <w:r w:rsidRPr="00C40615">
        <w:rPr>
          <w:color w:val="auto"/>
        </w:rPr>
        <w:instrText xml:space="preserve"> SEQ Supplemental_figure \* ARABIC </w:instrText>
      </w:r>
      <w:r w:rsidRPr="00C40615">
        <w:rPr>
          <w:color w:val="auto"/>
        </w:rPr>
        <w:fldChar w:fldCharType="separate"/>
      </w:r>
      <w:r w:rsidR="00CB17FE">
        <w:rPr>
          <w:noProof/>
          <w:color w:val="auto"/>
        </w:rPr>
        <w:t>26</w:t>
      </w:r>
      <w:r w:rsidRPr="00C40615">
        <w:rPr>
          <w:color w:val="auto"/>
        </w:rPr>
        <w:fldChar w:fldCharType="end"/>
      </w:r>
      <w:r w:rsidR="005C487B">
        <w:rPr>
          <w:color w:val="auto"/>
        </w:rPr>
        <w:t>.</w:t>
      </w:r>
      <w:proofErr w:type="gramEnd"/>
      <w:r w:rsidRPr="00C40615">
        <w:rPr>
          <w:color w:val="auto"/>
        </w:rPr>
        <w:t xml:space="preserve"> </w:t>
      </w:r>
      <w:proofErr w:type="gramStart"/>
      <w:r w:rsidRPr="00C40615">
        <w:rPr>
          <w:color w:val="auto"/>
        </w:rPr>
        <w:t>Mass spectr</w:t>
      </w:r>
      <w:r w:rsidR="00D23D9F">
        <w:rPr>
          <w:color w:val="auto"/>
        </w:rPr>
        <w:t>um for</w:t>
      </w:r>
      <w:r w:rsidR="00A8044E" w:rsidRPr="00C40615">
        <w:rPr>
          <w:color w:val="auto"/>
        </w:rPr>
        <w:t xml:space="preserve"> </w:t>
      </w:r>
      <w:r w:rsidR="00D23D9F">
        <w:rPr>
          <w:color w:val="auto"/>
        </w:rPr>
        <w:t>“unknown</w:t>
      </w:r>
      <w:r w:rsidR="00A8044E" w:rsidRPr="00C40615">
        <w:rPr>
          <w:color w:val="auto"/>
        </w:rPr>
        <w:t xml:space="preserve"> 13</w:t>
      </w:r>
      <w:r w:rsidR="00D23D9F">
        <w:rPr>
          <w:color w:val="auto"/>
        </w:rPr>
        <w:t>”</w:t>
      </w:r>
      <w:r w:rsidR="00A8044E" w:rsidRPr="00C40615">
        <w:rPr>
          <w:color w:val="auto"/>
        </w:rPr>
        <w:t>.</w:t>
      </w:r>
      <w:bookmarkEnd w:id="153"/>
      <w:proofErr w:type="gramEnd"/>
    </w:p>
    <w:p w:rsidR="007C7E65" w:rsidRPr="00C40615" w:rsidRDefault="00A8044E" w:rsidP="007C7E65">
      <w:pPr>
        <w:pStyle w:val="Beschriftung"/>
        <w:jc w:val="both"/>
        <w:rPr>
          <w:b w:val="0"/>
          <w:color w:val="auto"/>
        </w:rPr>
      </w:pPr>
      <w:r w:rsidRPr="00C40615">
        <w:rPr>
          <w:b w:val="0"/>
          <w:color w:val="auto"/>
        </w:rPr>
        <w:t>This compound was</w:t>
      </w:r>
      <w:r w:rsidR="007C7E65" w:rsidRPr="00C40615">
        <w:rPr>
          <w:b w:val="0"/>
          <w:color w:val="auto"/>
        </w:rPr>
        <w:t xml:space="preserve"> gained by extracting </w:t>
      </w:r>
      <w:r w:rsidR="007C7E65" w:rsidRPr="00C40615">
        <w:rPr>
          <w:b w:val="0"/>
          <w:i/>
          <w:color w:val="auto"/>
        </w:rPr>
        <w:t>B.</w:t>
      </w:r>
      <w:r w:rsidR="00641EBA">
        <w:rPr>
          <w:b w:val="0"/>
          <w:i/>
          <w:color w:val="auto"/>
        </w:rPr>
        <w:t xml:space="preserve"> </w:t>
      </w:r>
      <w:r w:rsidR="007C7E65" w:rsidRPr="00C40615">
        <w:rPr>
          <w:b w:val="0"/>
          <w:i/>
          <w:color w:val="auto"/>
        </w:rPr>
        <w:t>cinerea</w:t>
      </w:r>
      <w:r w:rsidR="007C7E65" w:rsidRPr="00C40615">
        <w:rPr>
          <w:b w:val="0"/>
          <w:color w:val="auto"/>
        </w:rPr>
        <w:t xml:space="preserve">-infected </w:t>
      </w:r>
      <w:r w:rsidR="007C7E65" w:rsidRPr="00C40615">
        <w:rPr>
          <w:b w:val="0"/>
          <w:i/>
          <w:color w:val="auto"/>
        </w:rPr>
        <w:t>A.</w:t>
      </w:r>
      <w:r w:rsidR="00641EBA">
        <w:rPr>
          <w:b w:val="0"/>
          <w:i/>
          <w:color w:val="auto"/>
        </w:rPr>
        <w:t xml:space="preserve"> </w:t>
      </w:r>
      <w:r w:rsidR="007C7E65" w:rsidRPr="00C40615">
        <w:rPr>
          <w:b w:val="0"/>
          <w:i/>
          <w:color w:val="auto"/>
        </w:rPr>
        <w:t>thaliana</w:t>
      </w:r>
      <w:r w:rsidR="007C7E65" w:rsidRPr="00C40615">
        <w:rPr>
          <w:b w:val="0"/>
          <w:color w:val="auto"/>
        </w:rPr>
        <w:t xml:space="preserve"> leaves with the EZ</w:t>
      </w:r>
      <w:proofErr w:type="gramStart"/>
      <w:r w:rsidR="007C7E65" w:rsidRPr="00C40615">
        <w:rPr>
          <w:b w:val="0"/>
          <w:color w:val="auto"/>
        </w:rPr>
        <w:t>:faast</w:t>
      </w:r>
      <w:proofErr w:type="gramEnd"/>
      <w:r w:rsidR="007C7E65" w:rsidRPr="00C40615">
        <w:rPr>
          <w:b w:val="0"/>
          <w:color w:val="auto"/>
        </w:rPr>
        <w:t xml:space="preserve"> extraction kit for free physiological amino acids. The retention time for this substance was 18.16 minutes.</w:t>
      </w:r>
    </w:p>
    <w:p w:rsidR="00AA7A76" w:rsidRDefault="00AA7A76" w:rsidP="007C7E65">
      <w:pPr>
        <w:pStyle w:val="Beschriftung"/>
        <w:jc w:val="both"/>
      </w:pPr>
    </w:p>
    <w:p w:rsidR="00F115C8" w:rsidRDefault="00F115C8" w:rsidP="00AA7A76">
      <w:pPr>
        <w:pStyle w:val="Beschriftung"/>
        <w:jc w:val="both"/>
        <w:rPr>
          <w:color w:val="000000" w:themeColor="text1"/>
        </w:rPr>
      </w:pPr>
    </w:p>
    <w:p w:rsidR="00AA7A76" w:rsidRPr="00AA7A76" w:rsidRDefault="00AA7A76" w:rsidP="00AA7A76"/>
    <w:p w:rsidR="007C7E65" w:rsidRDefault="002724BE" w:rsidP="007C7E65">
      <w:pPr>
        <w:keepNext/>
        <w:spacing w:line="360" w:lineRule="auto"/>
        <w:jc w:val="both"/>
      </w:pPr>
      <w:r>
        <w:rPr>
          <w:noProof/>
          <w:lang w:val="de-DE" w:eastAsia="de-DE"/>
        </w:rPr>
        <w:drawing>
          <wp:inline distT="0" distB="0" distL="0" distR="0" wp14:anchorId="74977864" wp14:editId="71F292E1">
            <wp:extent cx="5760000" cy="2936185"/>
            <wp:effectExtent l="19050" t="19050" r="12700" b="17145"/>
            <wp:docPr id="40" name="Grafik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ss spec u15.png"/>
                    <pic:cNvPicPr/>
                  </pic:nvPicPr>
                  <pic:blipFill rotWithShape="1">
                    <a:blip r:embed="rId136">
                      <a:extLst>
                        <a:ext uri="{28A0092B-C50C-407E-A947-70E740481C1C}">
                          <a14:useLocalDpi xmlns:a14="http://schemas.microsoft.com/office/drawing/2010/main" val="0"/>
                        </a:ext>
                      </a:extLst>
                    </a:blip>
                    <a:srcRect l="6281"/>
                    <a:stretch/>
                  </pic:blipFill>
                  <pic:spPr bwMode="auto">
                    <a:xfrm>
                      <a:off x="0" y="0"/>
                      <a:ext cx="5760000" cy="2936185"/>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rsidR="00A8044E" w:rsidRPr="00C40615" w:rsidRDefault="007C7E65" w:rsidP="000B3BC2">
      <w:pPr>
        <w:pStyle w:val="Beschriftung"/>
        <w:spacing w:after="0" w:line="360" w:lineRule="auto"/>
        <w:jc w:val="both"/>
        <w:rPr>
          <w:color w:val="auto"/>
        </w:rPr>
      </w:pPr>
      <w:bookmarkStart w:id="154" w:name="_Toc435621192"/>
      <w:proofErr w:type="gramStart"/>
      <w:r w:rsidRPr="00C40615">
        <w:rPr>
          <w:color w:val="auto"/>
        </w:rPr>
        <w:t xml:space="preserve">Supplemental figure </w:t>
      </w:r>
      <w:r w:rsidRPr="00C40615">
        <w:rPr>
          <w:color w:val="auto"/>
        </w:rPr>
        <w:fldChar w:fldCharType="begin"/>
      </w:r>
      <w:r w:rsidRPr="00C40615">
        <w:rPr>
          <w:color w:val="auto"/>
        </w:rPr>
        <w:instrText xml:space="preserve"> SEQ Supplemental_figure \* ARABIC </w:instrText>
      </w:r>
      <w:r w:rsidRPr="00C40615">
        <w:rPr>
          <w:color w:val="auto"/>
        </w:rPr>
        <w:fldChar w:fldCharType="separate"/>
      </w:r>
      <w:r w:rsidR="00CB17FE">
        <w:rPr>
          <w:noProof/>
          <w:color w:val="auto"/>
        </w:rPr>
        <w:t>27</w:t>
      </w:r>
      <w:r w:rsidRPr="00C40615">
        <w:rPr>
          <w:color w:val="auto"/>
        </w:rPr>
        <w:fldChar w:fldCharType="end"/>
      </w:r>
      <w:r w:rsidR="005C487B">
        <w:rPr>
          <w:color w:val="auto"/>
        </w:rPr>
        <w:t>.</w:t>
      </w:r>
      <w:proofErr w:type="gramEnd"/>
      <w:r w:rsidRPr="00C40615">
        <w:rPr>
          <w:color w:val="auto"/>
        </w:rPr>
        <w:t xml:space="preserve"> </w:t>
      </w:r>
      <w:proofErr w:type="gramStart"/>
      <w:r w:rsidRPr="00C40615">
        <w:rPr>
          <w:color w:val="auto"/>
        </w:rPr>
        <w:t>Mass sp</w:t>
      </w:r>
      <w:r w:rsidR="00A8044E" w:rsidRPr="00C40615">
        <w:rPr>
          <w:color w:val="auto"/>
        </w:rPr>
        <w:t xml:space="preserve">ectrum for </w:t>
      </w:r>
      <w:r w:rsidR="00D23D9F">
        <w:rPr>
          <w:color w:val="auto"/>
        </w:rPr>
        <w:t>“unknown</w:t>
      </w:r>
      <w:r w:rsidR="00A8044E" w:rsidRPr="00C40615">
        <w:rPr>
          <w:color w:val="auto"/>
        </w:rPr>
        <w:t xml:space="preserve"> 15</w:t>
      </w:r>
      <w:r w:rsidR="00D23D9F">
        <w:rPr>
          <w:color w:val="auto"/>
        </w:rPr>
        <w:t>”</w:t>
      </w:r>
      <w:r w:rsidR="00A8044E" w:rsidRPr="00C40615">
        <w:rPr>
          <w:color w:val="auto"/>
        </w:rPr>
        <w:t>.</w:t>
      </w:r>
      <w:bookmarkEnd w:id="154"/>
      <w:proofErr w:type="gramEnd"/>
    </w:p>
    <w:p w:rsidR="007C7E65" w:rsidRPr="00C40615" w:rsidRDefault="00A8044E" w:rsidP="007C7E65">
      <w:pPr>
        <w:pStyle w:val="Beschriftung"/>
        <w:jc w:val="both"/>
        <w:rPr>
          <w:b w:val="0"/>
          <w:color w:val="auto"/>
        </w:rPr>
      </w:pPr>
      <w:r w:rsidRPr="00C40615">
        <w:rPr>
          <w:b w:val="0"/>
          <w:color w:val="auto"/>
        </w:rPr>
        <w:t>This metabolite was first</w:t>
      </w:r>
      <w:r w:rsidR="007C7E65" w:rsidRPr="00C40615">
        <w:rPr>
          <w:b w:val="0"/>
          <w:color w:val="auto"/>
        </w:rPr>
        <w:t xml:space="preserve"> found in </w:t>
      </w:r>
      <w:r w:rsidR="007C7E65" w:rsidRPr="00C40615">
        <w:rPr>
          <w:b w:val="0"/>
          <w:i/>
          <w:color w:val="auto"/>
        </w:rPr>
        <w:t>B.</w:t>
      </w:r>
      <w:r w:rsidR="00641EBA">
        <w:rPr>
          <w:b w:val="0"/>
          <w:i/>
          <w:color w:val="auto"/>
        </w:rPr>
        <w:t xml:space="preserve"> </w:t>
      </w:r>
      <w:r w:rsidR="007C7E65" w:rsidRPr="00C40615">
        <w:rPr>
          <w:b w:val="0"/>
          <w:i/>
          <w:color w:val="auto"/>
        </w:rPr>
        <w:t>cinerea</w:t>
      </w:r>
      <w:r w:rsidR="007C7E65" w:rsidRPr="00C40615">
        <w:rPr>
          <w:b w:val="0"/>
          <w:color w:val="auto"/>
        </w:rPr>
        <w:t xml:space="preserve">-infected </w:t>
      </w:r>
      <w:r w:rsidR="007C7E65" w:rsidRPr="00C40615">
        <w:rPr>
          <w:b w:val="0"/>
          <w:i/>
          <w:color w:val="auto"/>
        </w:rPr>
        <w:t>Arabidopsis</w:t>
      </w:r>
      <w:r w:rsidR="007C7E65" w:rsidRPr="00C40615">
        <w:rPr>
          <w:b w:val="0"/>
          <w:color w:val="auto"/>
        </w:rPr>
        <w:t xml:space="preserve"> leaf extracts gained with the EZ</w:t>
      </w:r>
      <w:proofErr w:type="gramStart"/>
      <w:r w:rsidR="007C7E65" w:rsidRPr="00C40615">
        <w:rPr>
          <w:b w:val="0"/>
          <w:color w:val="auto"/>
        </w:rPr>
        <w:t>:faast</w:t>
      </w:r>
      <w:proofErr w:type="gramEnd"/>
      <w:r w:rsidR="007C7E65" w:rsidRPr="00C40615">
        <w:rPr>
          <w:b w:val="0"/>
          <w:color w:val="auto"/>
        </w:rPr>
        <w:t xml:space="preserve"> amino extraction kit. This metabolite had a retention time of 15.58 minutes.</w:t>
      </w:r>
    </w:p>
    <w:p w:rsidR="008E2E45" w:rsidRDefault="008E2E45" w:rsidP="007C7E65">
      <w:pPr>
        <w:pStyle w:val="Beschriftung"/>
        <w:jc w:val="both"/>
      </w:pPr>
    </w:p>
    <w:p w:rsidR="00715B10" w:rsidRPr="008E2E45" w:rsidRDefault="00715B10" w:rsidP="008E2E45"/>
    <w:p w:rsidR="007C7E65" w:rsidRDefault="002724BE" w:rsidP="007C7E65">
      <w:pPr>
        <w:keepNext/>
        <w:spacing w:line="360" w:lineRule="auto"/>
        <w:jc w:val="both"/>
      </w:pPr>
      <w:r>
        <w:rPr>
          <w:noProof/>
          <w:lang w:val="de-DE" w:eastAsia="de-DE"/>
        </w:rPr>
        <w:drawing>
          <wp:inline distT="0" distB="0" distL="0" distR="0" wp14:anchorId="01F9BA01" wp14:editId="64615A01">
            <wp:extent cx="5760000" cy="2902833"/>
            <wp:effectExtent l="19050" t="19050" r="12700" b="12065"/>
            <wp:docPr id="41" name="Grafik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ss spec u21.png"/>
                    <pic:cNvPicPr/>
                  </pic:nvPicPr>
                  <pic:blipFill rotWithShape="1">
                    <a:blip r:embed="rId137">
                      <a:extLst>
                        <a:ext uri="{28A0092B-C50C-407E-A947-70E740481C1C}">
                          <a14:useLocalDpi xmlns:a14="http://schemas.microsoft.com/office/drawing/2010/main" val="0"/>
                        </a:ext>
                      </a:extLst>
                    </a:blip>
                    <a:srcRect l="6451"/>
                    <a:stretch/>
                  </pic:blipFill>
                  <pic:spPr bwMode="auto">
                    <a:xfrm>
                      <a:off x="0" y="0"/>
                      <a:ext cx="5760000" cy="2902833"/>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rsidR="00A8044E" w:rsidRPr="00C40615" w:rsidRDefault="007C7E65" w:rsidP="000B3BC2">
      <w:pPr>
        <w:pStyle w:val="Beschriftung"/>
        <w:spacing w:after="0" w:line="360" w:lineRule="auto"/>
        <w:jc w:val="both"/>
        <w:rPr>
          <w:color w:val="auto"/>
        </w:rPr>
      </w:pPr>
      <w:bookmarkStart w:id="155" w:name="_Toc435621193"/>
      <w:proofErr w:type="gramStart"/>
      <w:r w:rsidRPr="00C40615">
        <w:rPr>
          <w:color w:val="auto"/>
        </w:rPr>
        <w:t xml:space="preserve">Supplemental figure </w:t>
      </w:r>
      <w:r w:rsidRPr="00C40615">
        <w:rPr>
          <w:color w:val="auto"/>
        </w:rPr>
        <w:fldChar w:fldCharType="begin"/>
      </w:r>
      <w:r w:rsidRPr="00C40615">
        <w:rPr>
          <w:color w:val="auto"/>
        </w:rPr>
        <w:instrText xml:space="preserve"> SEQ Supplemental_figure \* ARABIC </w:instrText>
      </w:r>
      <w:r w:rsidRPr="00C40615">
        <w:rPr>
          <w:color w:val="auto"/>
        </w:rPr>
        <w:fldChar w:fldCharType="separate"/>
      </w:r>
      <w:r w:rsidR="00CB17FE">
        <w:rPr>
          <w:noProof/>
          <w:color w:val="auto"/>
        </w:rPr>
        <w:t>28</w:t>
      </w:r>
      <w:r w:rsidRPr="00C40615">
        <w:rPr>
          <w:color w:val="auto"/>
        </w:rPr>
        <w:fldChar w:fldCharType="end"/>
      </w:r>
      <w:r w:rsidR="005C487B">
        <w:rPr>
          <w:color w:val="auto"/>
        </w:rPr>
        <w:t>.</w:t>
      </w:r>
      <w:proofErr w:type="gramEnd"/>
      <w:r w:rsidRPr="00C40615">
        <w:rPr>
          <w:color w:val="auto"/>
        </w:rPr>
        <w:t xml:space="preserve"> </w:t>
      </w:r>
      <w:proofErr w:type="gramStart"/>
      <w:r w:rsidRPr="00C40615">
        <w:rPr>
          <w:color w:val="auto"/>
        </w:rPr>
        <w:t>Mass spectrum of eicosanoic acid</w:t>
      </w:r>
      <w:r w:rsidR="00A8044E" w:rsidRPr="00C40615">
        <w:rPr>
          <w:color w:val="auto"/>
        </w:rPr>
        <w:t>.</w:t>
      </w:r>
      <w:bookmarkEnd w:id="155"/>
      <w:proofErr w:type="gramEnd"/>
    </w:p>
    <w:p w:rsidR="007C7E65" w:rsidRPr="00C40615" w:rsidRDefault="00A8044E" w:rsidP="007C7E65">
      <w:pPr>
        <w:pStyle w:val="Beschriftung"/>
        <w:jc w:val="both"/>
        <w:rPr>
          <w:b w:val="0"/>
          <w:color w:val="auto"/>
        </w:rPr>
      </w:pPr>
      <w:r w:rsidRPr="00C40615">
        <w:rPr>
          <w:b w:val="0"/>
          <w:color w:val="auto"/>
        </w:rPr>
        <w:t>F</w:t>
      </w:r>
      <w:r w:rsidR="007C7E65" w:rsidRPr="00C40615">
        <w:rPr>
          <w:b w:val="0"/>
          <w:color w:val="auto"/>
        </w:rPr>
        <w:t>irst found in v</w:t>
      </w:r>
      <w:r w:rsidRPr="00C40615">
        <w:rPr>
          <w:b w:val="0"/>
          <w:color w:val="auto"/>
        </w:rPr>
        <w:t>apour pha</w:t>
      </w:r>
      <w:r w:rsidR="007C7E65" w:rsidRPr="00C40615">
        <w:rPr>
          <w:b w:val="0"/>
          <w:color w:val="auto"/>
        </w:rPr>
        <w:t xml:space="preserve">se-extracted </w:t>
      </w:r>
      <w:r w:rsidR="00641EBA">
        <w:rPr>
          <w:b w:val="0"/>
          <w:i/>
          <w:color w:val="auto"/>
        </w:rPr>
        <w:t>A.</w:t>
      </w:r>
      <w:r w:rsidR="007C7E65" w:rsidRPr="00C40615">
        <w:rPr>
          <w:b w:val="0"/>
          <w:i/>
          <w:color w:val="auto"/>
        </w:rPr>
        <w:t xml:space="preserve"> thaliana</w:t>
      </w:r>
      <w:r w:rsidR="007C7E65" w:rsidRPr="00C40615">
        <w:rPr>
          <w:b w:val="0"/>
          <w:color w:val="auto"/>
        </w:rPr>
        <w:t xml:space="preserve"> leaf samples infected with </w:t>
      </w:r>
      <w:r w:rsidR="007C7E65" w:rsidRPr="00C40615">
        <w:rPr>
          <w:b w:val="0"/>
          <w:i/>
          <w:color w:val="auto"/>
        </w:rPr>
        <w:t>G.</w:t>
      </w:r>
      <w:r w:rsidR="00641EBA">
        <w:rPr>
          <w:b w:val="0"/>
          <w:i/>
          <w:color w:val="auto"/>
        </w:rPr>
        <w:t xml:space="preserve"> </w:t>
      </w:r>
      <w:r w:rsidR="007C7E65" w:rsidRPr="00C40615">
        <w:rPr>
          <w:b w:val="0"/>
          <w:i/>
          <w:color w:val="auto"/>
        </w:rPr>
        <w:t>orontii</w:t>
      </w:r>
      <w:r w:rsidR="007C7E65" w:rsidRPr="00C40615">
        <w:rPr>
          <w:b w:val="0"/>
          <w:color w:val="auto"/>
        </w:rPr>
        <w:t>. This substance had a retention time of 26.60 minutes and was quantified using IPA as internal standard.</w:t>
      </w:r>
    </w:p>
    <w:p w:rsidR="0006014D" w:rsidRDefault="0006014D" w:rsidP="007C7E65">
      <w:pPr>
        <w:pStyle w:val="Beschriftung"/>
        <w:jc w:val="both"/>
      </w:pPr>
    </w:p>
    <w:p w:rsidR="00F115C8" w:rsidRPr="0006014D" w:rsidRDefault="00F115C8" w:rsidP="0006014D">
      <w:pPr>
        <w:pStyle w:val="Beschriftung"/>
        <w:jc w:val="both"/>
        <w:rPr>
          <w:color w:val="000000" w:themeColor="text1"/>
        </w:rPr>
      </w:pPr>
    </w:p>
    <w:p w:rsidR="00F115C8" w:rsidRPr="00F115C8" w:rsidRDefault="00F115C8" w:rsidP="00F115C8">
      <w:pPr>
        <w:spacing w:line="360" w:lineRule="auto"/>
        <w:jc w:val="both"/>
      </w:pPr>
    </w:p>
    <w:p w:rsidR="007C7E65" w:rsidRDefault="002724BE" w:rsidP="007C7E65">
      <w:pPr>
        <w:keepNext/>
        <w:spacing w:line="360" w:lineRule="auto"/>
        <w:jc w:val="both"/>
      </w:pPr>
      <w:r>
        <w:rPr>
          <w:noProof/>
          <w:lang w:val="de-DE" w:eastAsia="de-DE"/>
        </w:rPr>
        <w:drawing>
          <wp:inline distT="0" distB="0" distL="0" distR="0" wp14:anchorId="05C6C790" wp14:editId="35E298B5">
            <wp:extent cx="5760000" cy="2813111"/>
            <wp:effectExtent l="19050" t="19050" r="12700" b="25400"/>
            <wp:docPr id="45" name="Grafik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ss spec u22.png"/>
                    <pic:cNvPicPr/>
                  </pic:nvPicPr>
                  <pic:blipFill rotWithShape="1">
                    <a:blip r:embed="rId138">
                      <a:extLst>
                        <a:ext uri="{28A0092B-C50C-407E-A947-70E740481C1C}">
                          <a14:useLocalDpi xmlns:a14="http://schemas.microsoft.com/office/drawing/2010/main" val="0"/>
                        </a:ext>
                      </a:extLst>
                    </a:blip>
                    <a:srcRect l="5792"/>
                    <a:stretch/>
                  </pic:blipFill>
                  <pic:spPr bwMode="auto">
                    <a:xfrm>
                      <a:off x="0" y="0"/>
                      <a:ext cx="5760000" cy="2813111"/>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rsidR="00A8044E" w:rsidRPr="00C40615" w:rsidRDefault="007C7E65" w:rsidP="000B3BC2">
      <w:pPr>
        <w:pStyle w:val="Beschriftung"/>
        <w:spacing w:after="0" w:line="360" w:lineRule="auto"/>
        <w:jc w:val="both"/>
        <w:rPr>
          <w:color w:val="auto"/>
        </w:rPr>
      </w:pPr>
      <w:bookmarkStart w:id="156" w:name="_Toc435621194"/>
      <w:proofErr w:type="gramStart"/>
      <w:r w:rsidRPr="00C40615">
        <w:rPr>
          <w:color w:val="auto"/>
        </w:rPr>
        <w:t xml:space="preserve">Supplemental figure </w:t>
      </w:r>
      <w:r w:rsidRPr="00C40615">
        <w:rPr>
          <w:color w:val="auto"/>
        </w:rPr>
        <w:fldChar w:fldCharType="begin"/>
      </w:r>
      <w:r w:rsidRPr="00C40615">
        <w:rPr>
          <w:color w:val="auto"/>
        </w:rPr>
        <w:instrText xml:space="preserve"> SEQ Supplemental_figure \* ARABIC </w:instrText>
      </w:r>
      <w:r w:rsidRPr="00C40615">
        <w:rPr>
          <w:color w:val="auto"/>
        </w:rPr>
        <w:fldChar w:fldCharType="separate"/>
      </w:r>
      <w:r w:rsidR="00CB17FE">
        <w:rPr>
          <w:noProof/>
          <w:color w:val="auto"/>
        </w:rPr>
        <w:t>29</w:t>
      </w:r>
      <w:r w:rsidRPr="00C40615">
        <w:rPr>
          <w:color w:val="auto"/>
        </w:rPr>
        <w:fldChar w:fldCharType="end"/>
      </w:r>
      <w:r w:rsidR="005C487B">
        <w:rPr>
          <w:color w:val="auto"/>
        </w:rPr>
        <w:t>.</w:t>
      </w:r>
      <w:proofErr w:type="gramEnd"/>
      <w:r w:rsidRPr="00C40615">
        <w:rPr>
          <w:color w:val="auto"/>
        </w:rPr>
        <w:t xml:space="preserve"> </w:t>
      </w:r>
      <w:proofErr w:type="gramStart"/>
      <w:r w:rsidRPr="00C40615">
        <w:rPr>
          <w:color w:val="auto"/>
        </w:rPr>
        <w:t>Mass sp</w:t>
      </w:r>
      <w:r w:rsidR="00D23D9F">
        <w:rPr>
          <w:color w:val="auto"/>
        </w:rPr>
        <w:t>ectrum for</w:t>
      </w:r>
      <w:r w:rsidR="00A8044E" w:rsidRPr="00C40615">
        <w:rPr>
          <w:color w:val="auto"/>
        </w:rPr>
        <w:t xml:space="preserve"> </w:t>
      </w:r>
      <w:r w:rsidR="00D23D9F">
        <w:rPr>
          <w:color w:val="auto"/>
        </w:rPr>
        <w:t>“unknown</w:t>
      </w:r>
      <w:r w:rsidR="00A8044E" w:rsidRPr="00C40615">
        <w:rPr>
          <w:color w:val="auto"/>
        </w:rPr>
        <w:t xml:space="preserve"> 22</w:t>
      </w:r>
      <w:r w:rsidR="00D23D9F">
        <w:rPr>
          <w:color w:val="auto"/>
        </w:rPr>
        <w:t>”</w:t>
      </w:r>
      <w:r w:rsidR="00A8044E" w:rsidRPr="00C40615">
        <w:rPr>
          <w:color w:val="auto"/>
        </w:rPr>
        <w:t>.</w:t>
      </w:r>
      <w:bookmarkEnd w:id="156"/>
      <w:proofErr w:type="gramEnd"/>
    </w:p>
    <w:p w:rsidR="007C7E65" w:rsidRPr="00C40615" w:rsidRDefault="00A8044E" w:rsidP="007C7E65">
      <w:pPr>
        <w:pStyle w:val="Beschriftung"/>
        <w:jc w:val="both"/>
        <w:rPr>
          <w:b w:val="0"/>
          <w:color w:val="auto"/>
        </w:rPr>
      </w:pPr>
      <w:r w:rsidRPr="00C40615">
        <w:rPr>
          <w:b w:val="0"/>
          <w:color w:val="auto"/>
        </w:rPr>
        <w:t>Unknown 22</w:t>
      </w:r>
      <w:r w:rsidR="007C7E65" w:rsidRPr="00C40615">
        <w:rPr>
          <w:b w:val="0"/>
          <w:color w:val="auto"/>
        </w:rPr>
        <w:t xml:space="preserve"> was first vapour phase extracted from </w:t>
      </w:r>
      <w:r w:rsidR="007C7E65" w:rsidRPr="00C40615">
        <w:rPr>
          <w:b w:val="0"/>
          <w:i/>
          <w:color w:val="auto"/>
        </w:rPr>
        <w:t>G.</w:t>
      </w:r>
      <w:r w:rsidR="00641EBA">
        <w:rPr>
          <w:b w:val="0"/>
          <w:i/>
          <w:color w:val="auto"/>
        </w:rPr>
        <w:t xml:space="preserve"> </w:t>
      </w:r>
      <w:r w:rsidR="007C7E65" w:rsidRPr="00C40615">
        <w:rPr>
          <w:b w:val="0"/>
          <w:i/>
          <w:color w:val="auto"/>
        </w:rPr>
        <w:t>orontii</w:t>
      </w:r>
      <w:r w:rsidR="007C7E65" w:rsidRPr="00C40615">
        <w:rPr>
          <w:b w:val="0"/>
          <w:color w:val="auto"/>
        </w:rPr>
        <w:t xml:space="preserve">-infected </w:t>
      </w:r>
      <w:r w:rsidR="007C7E65" w:rsidRPr="00C40615">
        <w:rPr>
          <w:b w:val="0"/>
          <w:i/>
          <w:color w:val="auto"/>
        </w:rPr>
        <w:t>A.</w:t>
      </w:r>
      <w:r w:rsidR="00641EBA">
        <w:rPr>
          <w:b w:val="0"/>
          <w:i/>
          <w:color w:val="auto"/>
        </w:rPr>
        <w:t xml:space="preserve"> </w:t>
      </w:r>
      <w:r w:rsidR="007C7E65" w:rsidRPr="00C40615">
        <w:rPr>
          <w:b w:val="0"/>
          <w:i/>
          <w:color w:val="auto"/>
        </w:rPr>
        <w:t>thaliana</w:t>
      </w:r>
      <w:r w:rsidR="007C7E65" w:rsidRPr="00C40615">
        <w:rPr>
          <w:b w:val="0"/>
          <w:color w:val="auto"/>
        </w:rPr>
        <w:t xml:space="preserve"> leaf samples. The retention time for this substance was 28.00 minutes and IPA was used as internal standard for quantification.</w:t>
      </w:r>
    </w:p>
    <w:p w:rsidR="00BD04F1" w:rsidRDefault="00BD04F1" w:rsidP="007C7E65">
      <w:pPr>
        <w:pStyle w:val="Beschriftung"/>
        <w:jc w:val="both"/>
      </w:pPr>
    </w:p>
    <w:p w:rsidR="00F115C8" w:rsidRDefault="00F115C8" w:rsidP="00BD04F1">
      <w:pPr>
        <w:pStyle w:val="Beschriftung"/>
        <w:jc w:val="both"/>
        <w:rPr>
          <w:color w:val="000000" w:themeColor="text1"/>
        </w:rPr>
      </w:pPr>
    </w:p>
    <w:p w:rsidR="00715B10" w:rsidRPr="00BD04F1" w:rsidRDefault="00715B10" w:rsidP="00BD04F1"/>
    <w:p w:rsidR="007C7E65" w:rsidRDefault="002724BE" w:rsidP="007C7E65">
      <w:pPr>
        <w:keepNext/>
        <w:spacing w:line="360" w:lineRule="auto"/>
        <w:jc w:val="both"/>
      </w:pPr>
      <w:r>
        <w:rPr>
          <w:noProof/>
          <w:lang w:val="de-DE" w:eastAsia="de-DE"/>
        </w:rPr>
        <w:drawing>
          <wp:inline distT="0" distB="0" distL="0" distR="0" wp14:anchorId="510936D6" wp14:editId="69899CD6">
            <wp:extent cx="5760000" cy="2878220"/>
            <wp:effectExtent l="19050" t="19050" r="12700" b="17780"/>
            <wp:docPr id="64" name="Grafik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ss spec u28.png"/>
                    <pic:cNvPicPr/>
                  </pic:nvPicPr>
                  <pic:blipFill rotWithShape="1">
                    <a:blip r:embed="rId139">
                      <a:extLst>
                        <a:ext uri="{28A0092B-C50C-407E-A947-70E740481C1C}">
                          <a14:useLocalDpi xmlns:a14="http://schemas.microsoft.com/office/drawing/2010/main" val="0"/>
                        </a:ext>
                      </a:extLst>
                    </a:blip>
                    <a:srcRect l="7108"/>
                    <a:stretch/>
                  </pic:blipFill>
                  <pic:spPr bwMode="auto">
                    <a:xfrm>
                      <a:off x="0" y="0"/>
                      <a:ext cx="5760000" cy="2878220"/>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rsidR="00A8044E" w:rsidRPr="00C40615" w:rsidRDefault="007C7E65" w:rsidP="000B3BC2">
      <w:pPr>
        <w:pStyle w:val="Beschriftung"/>
        <w:spacing w:after="0" w:line="360" w:lineRule="auto"/>
        <w:jc w:val="both"/>
        <w:rPr>
          <w:color w:val="auto"/>
        </w:rPr>
      </w:pPr>
      <w:bookmarkStart w:id="157" w:name="_Toc435621195"/>
      <w:proofErr w:type="gramStart"/>
      <w:r w:rsidRPr="00C40615">
        <w:rPr>
          <w:color w:val="auto"/>
        </w:rPr>
        <w:t xml:space="preserve">Supplemental figure </w:t>
      </w:r>
      <w:r w:rsidRPr="00C40615">
        <w:rPr>
          <w:color w:val="auto"/>
        </w:rPr>
        <w:fldChar w:fldCharType="begin"/>
      </w:r>
      <w:r w:rsidRPr="00C40615">
        <w:rPr>
          <w:color w:val="auto"/>
        </w:rPr>
        <w:instrText xml:space="preserve"> SEQ Supplemental_figure \* ARABIC </w:instrText>
      </w:r>
      <w:r w:rsidRPr="00C40615">
        <w:rPr>
          <w:color w:val="auto"/>
        </w:rPr>
        <w:fldChar w:fldCharType="separate"/>
      </w:r>
      <w:r w:rsidR="00CB17FE">
        <w:rPr>
          <w:noProof/>
          <w:color w:val="auto"/>
        </w:rPr>
        <w:t>30</w:t>
      </w:r>
      <w:r w:rsidRPr="00C40615">
        <w:rPr>
          <w:color w:val="auto"/>
        </w:rPr>
        <w:fldChar w:fldCharType="end"/>
      </w:r>
      <w:r w:rsidR="005C487B">
        <w:rPr>
          <w:color w:val="auto"/>
        </w:rPr>
        <w:t>.</w:t>
      </w:r>
      <w:proofErr w:type="gramEnd"/>
      <w:r w:rsidRPr="00C40615">
        <w:rPr>
          <w:color w:val="auto"/>
        </w:rPr>
        <w:t xml:space="preserve"> </w:t>
      </w:r>
      <w:proofErr w:type="gramStart"/>
      <w:r w:rsidRPr="00C40615">
        <w:rPr>
          <w:color w:val="auto"/>
        </w:rPr>
        <w:t>Mass sp</w:t>
      </w:r>
      <w:r w:rsidR="00D23D9F">
        <w:rPr>
          <w:color w:val="auto"/>
        </w:rPr>
        <w:t>ectrum for</w:t>
      </w:r>
      <w:r w:rsidR="00A8044E" w:rsidRPr="00C40615">
        <w:rPr>
          <w:color w:val="auto"/>
        </w:rPr>
        <w:t xml:space="preserve"> </w:t>
      </w:r>
      <w:r w:rsidR="00D23D9F">
        <w:rPr>
          <w:color w:val="auto"/>
        </w:rPr>
        <w:t>“unknown</w:t>
      </w:r>
      <w:r w:rsidR="00A8044E" w:rsidRPr="00C40615">
        <w:rPr>
          <w:color w:val="auto"/>
        </w:rPr>
        <w:t xml:space="preserve"> 28</w:t>
      </w:r>
      <w:r w:rsidR="00D23D9F">
        <w:rPr>
          <w:color w:val="auto"/>
        </w:rPr>
        <w:t>”</w:t>
      </w:r>
      <w:r w:rsidR="00A8044E" w:rsidRPr="00C40615">
        <w:rPr>
          <w:color w:val="auto"/>
        </w:rPr>
        <w:t>.</w:t>
      </w:r>
      <w:bookmarkEnd w:id="157"/>
      <w:proofErr w:type="gramEnd"/>
    </w:p>
    <w:p w:rsidR="007C7E65" w:rsidRPr="00C40615" w:rsidRDefault="00A8044E" w:rsidP="007C7E65">
      <w:pPr>
        <w:pStyle w:val="Beschriftung"/>
        <w:jc w:val="both"/>
        <w:rPr>
          <w:b w:val="0"/>
          <w:color w:val="auto"/>
        </w:rPr>
      </w:pPr>
      <w:r w:rsidRPr="00C40615">
        <w:rPr>
          <w:b w:val="0"/>
          <w:color w:val="auto"/>
        </w:rPr>
        <w:t>F</w:t>
      </w:r>
      <w:r w:rsidR="007C7E65" w:rsidRPr="00C40615">
        <w:rPr>
          <w:b w:val="0"/>
          <w:color w:val="auto"/>
        </w:rPr>
        <w:t xml:space="preserve">irst identified in leaf samples of </w:t>
      </w:r>
      <w:r w:rsidR="00641EBA">
        <w:rPr>
          <w:b w:val="0"/>
          <w:i/>
          <w:color w:val="auto"/>
        </w:rPr>
        <w:t>Hpa</w:t>
      </w:r>
      <w:r w:rsidR="007C7E65" w:rsidRPr="00C40615">
        <w:rPr>
          <w:b w:val="0"/>
          <w:color w:val="auto"/>
        </w:rPr>
        <w:t xml:space="preserve">-infected </w:t>
      </w:r>
      <w:r w:rsidR="007C7E65" w:rsidRPr="00C40615">
        <w:rPr>
          <w:b w:val="0"/>
          <w:i/>
          <w:color w:val="auto"/>
        </w:rPr>
        <w:t>Arabidopsis</w:t>
      </w:r>
      <w:r w:rsidR="007C7E65" w:rsidRPr="00C40615">
        <w:rPr>
          <w:b w:val="0"/>
          <w:color w:val="auto"/>
        </w:rPr>
        <w:t xml:space="preserve"> plants and extracted with the VPE method. This metabolite had a retention time of 30.55 minutes and was quantified using IPA as internal standard.</w:t>
      </w:r>
    </w:p>
    <w:p w:rsidR="00251357" w:rsidRDefault="007C7E65" w:rsidP="007C7E65">
      <w:pPr>
        <w:pStyle w:val="Beschriftung"/>
        <w:jc w:val="both"/>
      </w:pPr>
      <w:r>
        <w:t xml:space="preserve"> </w:t>
      </w:r>
    </w:p>
    <w:p w:rsidR="00CA18AF" w:rsidRDefault="00CA18AF" w:rsidP="00E328BF">
      <w:pPr>
        <w:pStyle w:val="berschrift1"/>
        <w:rPr>
          <w:color w:val="auto"/>
        </w:rPr>
        <w:sectPr w:rsidR="00CA18AF" w:rsidSect="001D7E05">
          <w:type w:val="continuous"/>
          <w:pgSz w:w="11906" w:h="16838"/>
          <w:pgMar w:top="1417" w:right="1417" w:bottom="1134" w:left="1417" w:header="708" w:footer="708" w:gutter="0"/>
          <w:cols w:space="708"/>
          <w:titlePg/>
          <w:docGrid w:linePitch="360"/>
        </w:sectPr>
      </w:pPr>
    </w:p>
    <w:p w:rsidR="00DF387A" w:rsidRPr="00CF7A47" w:rsidRDefault="009D6B61" w:rsidP="00704C75">
      <w:pPr>
        <w:pStyle w:val="berschrift1"/>
        <w:spacing w:after="240"/>
        <w:rPr>
          <w:color w:val="auto"/>
          <w:lang w:val="de-DE"/>
        </w:rPr>
      </w:pPr>
      <w:bookmarkStart w:id="158" w:name="_Toc435621268"/>
      <w:r w:rsidRPr="00CF7A47">
        <w:rPr>
          <w:color w:val="auto"/>
          <w:lang w:val="de-DE"/>
        </w:rPr>
        <w:lastRenderedPageBreak/>
        <w:t>11</w:t>
      </w:r>
      <w:r w:rsidR="00941C29" w:rsidRPr="00CF7A47">
        <w:rPr>
          <w:color w:val="auto"/>
          <w:lang w:val="de-DE"/>
        </w:rPr>
        <w:t xml:space="preserve"> </w:t>
      </w:r>
      <w:r w:rsidR="00DF387A" w:rsidRPr="00CF7A47">
        <w:rPr>
          <w:color w:val="auto"/>
          <w:lang w:val="de-DE"/>
        </w:rPr>
        <w:t>Acknowledgements</w:t>
      </w:r>
      <w:bookmarkEnd w:id="158"/>
    </w:p>
    <w:p w:rsidR="0018787E" w:rsidRDefault="0018787E" w:rsidP="0018787E">
      <w:pPr>
        <w:spacing w:after="0" w:line="360" w:lineRule="auto"/>
        <w:jc w:val="both"/>
        <w:rPr>
          <w:lang w:val="de-DE"/>
        </w:rPr>
      </w:pPr>
      <w:r w:rsidRPr="0018787E">
        <w:rPr>
          <w:lang w:val="de-DE"/>
        </w:rPr>
        <w:t xml:space="preserve">Ich möchte mich bei allen, die mich während der Promotionszeit, sei es im Labor oder daheim, unterstützt haben, sehr herzlich bedanken. </w:t>
      </w:r>
    </w:p>
    <w:p w:rsidR="00713C90" w:rsidRDefault="0018787E" w:rsidP="0018787E">
      <w:pPr>
        <w:spacing w:after="0" w:line="360" w:lineRule="auto"/>
        <w:jc w:val="both"/>
        <w:rPr>
          <w:lang w:val="de-DE"/>
        </w:rPr>
      </w:pPr>
      <w:r>
        <w:rPr>
          <w:lang w:val="de-DE"/>
        </w:rPr>
        <w:t xml:space="preserve">Ich danke meinem Doktorvater, Prof. Dr. Jürgen Zeier, für die Möglichkeit, in diesem spannenden Themengebiet zu promovieren, sowie für die interessanten Projekte und seine Anleitung in labortechnischen und akademischen Fragen. </w:t>
      </w:r>
    </w:p>
    <w:p w:rsidR="0018787E" w:rsidRDefault="0018787E" w:rsidP="0018787E">
      <w:pPr>
        <w:spacing w:after="0" w:line="360" w:lineRule="auto"/>
        <w:jc w:val="both"/>
        <w:rPr>
          <w:lang w:val="de-DE"/>
        </w:rPr>
      </w:pPr>
      <w:r>
        <w:rPr>
          <w:lang w:val="de-DE"/>
        </w:rPr>
        <w:t xml:space="preserve">Außerdem möchte ich Herrn Prof. Dr. Michael Feldbrügge </w:t>
      </w:r>
      <w:r w:rsidR="00003B35">
        <w:rPr>
          <w:lang w:val="de-DE"/>
        </w:rPr>
        <w:t xml:space="preserve">sehr herzlich </w:t>
      </w:r>
      <w:r>
        <w:rPr>
          <w:lang w:val="de-DE"/>
        </w:rPr>
        <w:t>für die Übernahme des Koreferats danken.</w:t>
      </w:r>
    </w:p>
    <w:p w:rsidR="008E7A32" w:rsidRDefault="00D7588F" w:rsidP="0018787E">
      <w:pPr>
        <w:spacing w:after="0" w:line="360" w:lineRule="auto"/>
        <w:jc w:val="both"/>
        <w:rPr>
          <w:lang w:val="de-DE"/>
        </w:rPr>
      </w:pPr>
      <w:r>
        <w:rPr>
          <w:lang w:val="de-DE"/>
        </w:rPr>
        <w:t>Mein besonderer Dank gilt vor allem auch meinen Kollaborationspartnern, Prof. Dr. Volka Lipka und Dr. Michaela Kopischke in Göttingen, mit deren Hilfe etwas Licht in die Rolle von Pip in Pflanze-Mehltau-Interaktionen gebracht werden konnte. In Zusammenarbeit mit Dr. Kenichi Tsuda und Dr. Yiming Wang vom MPIZ Köln konnte die Rolle von MAP Kinasen in pflanzlicher Abwehr und Priming ein Stück weiter aufgeklärt werden und ich möchte mich ganz herzlich für die Hilfe und Unterstützung bedanken.</w:t>
      </w:r>
    </w:p>
    <w:p w:rsidR="0018787E" w:rsidRDefault="0018787E" w:rsidP="0018787E">
      <w:pPr>
        <w:spacing w:after="0" w:line="360" w:lineRule="auto"/>
        <w:jc w:val="both"/>
        <w:rPr>
          <w:lang w:val="de-DE"/>
        </w:rPr>
      </w:pPr>
      <w:r>
        <w:rPr>
          <w:lang w:val="de-DE"/>
        </w:rPr>
        <w:t xml:space="preserve">Dr. Stefan Schuck danke ich für </w:t>
      </w:r>
      <w:r w:rsidR="008E7A32">
        <w:rPr>
          <w:lang w:val="de-DE"/>
        </w:rPr>
        <w:t>die</w:t>
      </w:r>
      <w:r>
        <w:rPr>
          <w:lang w:val="de-DE"/>
        </w:rPr>
        <w:t xml:space="preserve"> sorgfältige Lektüre meines Ma</w:t>
      </w:r>
      <w:r w:rsidR="00D7588F">
        <w:rPr>
          <w:lang w:val="de-DE"/>
        </w:rPr>
        <w:t>n</w:t>
      </w:r>
      <w:r>
        <w:rPr>
          <w:lang w:val="de-DE"/>
        </w:rPr>
        <w:t>uskriptes und der wirklich hilfreichen Korrekturvorschläge.</w:t>
      </w:r>
      <w:r w:rsidR="000F47F4">
        <w:rPr>
          <w:lang w:val="de-DE"/>
        </w:rPr>
        <w:t xml:space="preserve"> Vielen Dank ebenfalls an Dr. Michael Hartmann für viele hilfreiche Ratschläge zum Thema Mikroskopie.</w:t>
      </w:r>
    </w:p>
    <w:p w:rsidR="0018787E" w:rsidRDefault="0018787E" w:rsidP="0018787E">
      <w:pPr>
        <w:spacing w:after="0" w:line="360" w:lineRule="auto"/>
        <w:jc w:val="both"/>
        <w:rPr>
          <w:lang w:val="de-DE"/>
        </w:rPr>
      </w:pPr>
      <w:r>
        <w:rPr>
          <w:lang w:val="de-DE"/>
        </w:rPr>
        <w:t xml:space="preserve">Eine einzelne Person kann noch so gut in ihrem Fachbereich sein, wenn das geeignete Umfeld nicht vorhanden ist, ist es sehr schwierig, gute Arbeit zu leisten. Ich danke meinen Kollegen Rike, Elia, Ziba, Stefan, Hanka, Michael, Stefan, Nicola und Tatyana für die freundliche und entspannte Arbeitsatmosphäre, sowie lebhafte Diskussionen und gegenseitige Hilfe bei </w:t>
      </w:r>
      <w:r w:rsidR="000F47F4">
        <w:rPr>
          <w:lang w:val="de-DE"/>
        </w:rPr>
        <w:t>arbeitsrelevanten und nicht so -</w:t>
      </w:r>
      <w:r>
        <w:rPr>
          <w:lang w:val="de-DE"/>
        </w:rPr>
        <w:t>relevanten Themen.</w:t>
      </w:r>
      <w:r w:rsidR="008E7A32">
        <w:rPr>
          <w:lang w:val="de-DE"/>
        </w:rPr>
        <w:t xml:space="preserve"> Unserer TA, Karin, gilt mein ganz besonderer</w:t>
      </w:r>
      <w:r w:rsidR="000F47F4">
        <w:rPr>
          <w:lang w:val="de-DE"/>
        </w:rPr>
        <w:t xml:space="preserve"> Dank, da sie als gute Fee ihr B</w:t>
      </w:r>
      <w:r w:rsidR="008E7A32">
        <w:rPr>
          <w:lang w:val="de-DE"/>
        </w:rPr>
        <w:t>estes für eine</w:t>
      </w:r>
      <w:r w:rsidR="00D7588F">
        <w:rPr>
          <w:lang w:val="de-DE"/>
        </w:rPr>
        <w:t>n</w:t>
      </w:r>
      <w:r w:rsidR="008E7A32">
        <w:rPr>
          <w:lang w:val="de-DE"/>
        </w:rPr>
        <w:t xml:space="preserve"> reibungslosen Ablauf unseres Institutes gibt und immer ein offenes</w:t>
      </w:r>
      <w:r w:rsidR="00003B35">
        <w:rPr>
          <w:lang w:val="de-DE"/>
        </w:rPr>
        <w:t xml:space="preserve"> Ohr für Fragen, Anregungen und, ja auch </w:t>
      </w:r>
      <w:r w:rsidR="008E7A32">
        <w:rPr>
          <w:lang w:val="de-DE"/>
        </w:rPr>
        <w:t>Klagen</w:t>
      </w:r>
      <w:r w:rsidR="00003B35">
        <w:rPr>
          <w:lang w:val="de-DE"/>
        </w:rPr>
        <w:t>,</w:t>
      </w:r>
      <w:r w:rsidR="008E7A32">
        <w:rPr>
          <w:lang w:val="de-DE"/>
        </w:rPr>
        <w:t xml:space="preserve"> hat.</w:t>
      </w:r>
    </w:p>
    <w:p w:rsidR="00D7588F" w:rsidRDefault="00D7588F" w:rsidP="0018787E">
      <w:pPr>
        <w:spacing w:after="0" w:line="360" w:lineRule="auto"/>
        <w:jc w:val="both"/>
        <w:rPr>
          <w:lang w:val="de-DE"/>
        </w:rPr>
      </w:pPr>
      <w:r>
        <w:rPr>
          <w:lang w:val="de-DE"/>
        </w:rPr>
        <w:t>Für eine gute Arbeit sind Freunde außerhalb des Arbeitsumfeldes von</w:t>
      </w:r>
      <w:r w:rsidR="00003B35">
        <w:rPr>
          <w:lang w:val="de-DE"/>
        </w:rPr>
        <w:t xml:space="preserve"> ganz</w:t>
      </w:r>
      <w:r>
        <w:rPr>
          <w:lang w:val="de-DE"/>
        </w:rPr>
        <w:t xml:space="preserve"> besonderer Bedeutung, da sie es schaffen, für Ablenkung und Erholung zu sorgen. Danke an Cori, Marc, Philip, Mathias, Vanessa, Alex, Claudia, Claus, Ede, Simone, Sven und alle, die ich hier </w:t>
      </w:r>
      <w:r w:rsidR="00003B35">
        <w:rPr>
          <w:lang w:val="de-DE"/>
        </w:rPr>
        <w:t xml:space="preserve">aus Platzgründen </w:t>
      </w:r>
      <w:r>
        <w:rPr>
          <w:lang w:val="de-DE"/>
        </w:rPr>
        <w:t>nicht aufzählen kann.</w:t>
      </w:r>
    </w:p>
    <w:p w:rsidR="00D7588F" w:rsidRDefault="00D7588F" w:rsidP="0018787E">
      <w:pPr>
        <w:spacing w:after="0" w:line="360" w:lineRule="auto"/>
        <w:jc w:val="both"/>
        <w:rPr>
          <w:lang w:val="de-DE"/>
        </w:rPr>
      </w:pPr>
      <w:r>
        <w:rPr>
          <w:lang w:val="de-DE"/>
        </w:rPr>
        <w:t>Eine sehr große Unterstützung während der Promotionszeit war Familie Steimel, denen ich ebenfalls ganz herzlich danken möchte.</w:t>
      </w:r>
    </w:p>
    <w:p w:rsidR="00713C90" w:rsidRPr="000F47F4" w:rsidRDefault="002F4BA1" w:rsidP="000F47F4">
      <w:pPr>
        <w:spacing w:after="0" w:line="360" w:lineRule="auto"/>
        <w:jc w:val="both"/>
        <w:rPr>
          <w:lang w:val="en-US"/>
        </w:rPr>
      </w:pPr>
      <w:r>
        <w:rPr>
          <w:lang w:val="de-DE"/>
        </w:rPr>
        <w:t xml:space="preserve">Mein größter Dank gilt meinem Gefährten Jochen Steimel, der mich während dieser oft auch anstrengenden Zeit nach Kräften unterstützt und auch wieder eine Zeit lang Fernbeziehung in Kauf genommen hat. </w:t>
      </w:r>
      <w:r w:rsidRPr="00CF7A47">
        <w:rPr>
          <w:lang w:val="en-US"/>
        </w:rPr>
        <w:t>Ich liebe dich!</w:t>
      </w:r>
    </w:p>
    <w:p w:rsidR="00713C90" w:rsidRPr="00CF7A47" w:rsidRDefault="00713C90" w:rsidP="00FD65FA">
      <w:pPr>
        <w:spacing w:line="360" w:lineRule="auto"/>
        <w:jc w:val="both"/>
        <w:rPr>
          <w:b/>
          <w:lang w:val="en-US"/>
        </w:rPr>
      </w:pPr>
    </w:p>
    <w:p w:rsidR="00CA18AF" w:rsidRPr="00CF7A47" w:rsidRDefault="00CA18AF" w:rsidP="00E328BF">
      <w:pPr>
        <w:pStyle w:val="berschrift1"/>
        <w:rPr>
          <w:color w:val="auto"/>
          <w:lang w:val="en-US"/>
        </w:rPr>
        <w:sectPr w:rsidR="00CA18AF" w:rsidRPr="00CF7A47" w:rsidSect="00E46EA9">
          <w:type w:val="continuous"/>
          <w:pgSz w:w="11906" w:h="16838"/>
          <w:pgMar w:top="1417" w:right="1417" w:bottom="1134" w:left="1417" w:header="708" w:footer="708" w:gutter="0"/>
          <w:cols w:space="708"/>
          <w:titlePg/>
          <w:docGrid w:linePitch="360"/>
        </w:sectPr>
      </w:pPr>
    </w:p>
    <w:p w:rsidR="00DF387A" w:rsidRPr="00E328BF" w:rsidRDefault="009D6B61" w:rsidP="00210311">
      <w:pPr>
        <w:pStyle w:val="berschrift1"/>
        <w:spacing w:after="240"/>
        <w:rPr>
          <w:color w:val="auto"/>
        </w:rPr>
      </w:pPr>
      <w:bookmarkStart w:id="159" w:name="_Toc435621269"/>
      <w:r>
        <w:rPr>
          <w:color w:val="auto"/>
        </w:rPr>
        <w:lastRenderedPageBreak/>
        <w:t>12</w:t>
      </w:r>
      <w:r w:rsidR="00941C29">
        <w:rPr>
          <w:color w:val="auto"/>
        </w:rPr>
        <w:t xml:space="preserve"> </w:t>
      </w:r>
      <w:r w:rsidR="00DF387A" w:rsidRPr="00210311">
        <w:rPr>
          <w:i/>
          <w:color w:val="auto"/>
        </w:rPr>
        <w:t>Curriculum vitae</w:t>
      </w:r>
      <w:bookmarkEnd w:id="159"/>
    </w:p>
    <w:p w:rsidR="00210311" w:rsidRPr="004415DF" w:rsidRDefault="00210311" w:rsidP="00210311">
      <w:pPr>
        <w:spacing w:after="0" w:line="240" w:lineRule="auto"/>
      </w:pPr>
      <w:r w:rsidRPr="004415DF">
        <w:t>Anne-Christin Döring</w:t>
      </w:r>
    </w:p>
    <w:p w:rsidR="00210311" w:rsidRPr="00522A61" w:rsidRDefault="00210311" w:rsidP="00522A61">
      <w:pPr>
        <w:spacing w:line="240" w:lineRule="auto"/>
      </w:pPr>
      <w:r w:rsidRPr="004415DF">
        <w:t>Born</w:t>
      </w:r>
      <w:r>
        <w:t xml:space="preserve"> July 21</w:t>
      </w:r>
      <w:r w:rsidRPr="004415DF">
        <w:rPr>
          <w:vertAlign w:val="superscript"/>
        </w:rPr>
        <w:t>st</w:t>
      </w:r>
      <w:r w:rsidRPr="004415DF">
        <w:t xml:space="preserve">, 1985 in Aschersleben </w:t>
      </w:r>
      <w:r>
        <w:t>(Germany)</w:t>
      </w:r>
      <w:r w:rsidRPr="00D7115D">
        <w:rPr>
          <w:b/>
          <w:noProof/>
          <w:lang w:val="en-US" w:eastAsia="de-DE"/>
        </w:rPr>
        <w:t xml:space="preserve"> </w:t>
      </w:r>
    </w:p>
    <w:p w:rsidR="00210311" w:rsidRPr="00A12E0B" w:rsidRDefault="00210311" w:rsidP="00210311">
      <w:pPr>
        <w:spacing w:after="0" w:line="360" w:lineRule="auto"/>
        <w:rPr>
          <w:b/>
          <w:lang w:val="en-US"/>
        </w:rPr>
      </w:pPr>
      <w:r w:rsidRPr="00A12E0B">
        <w:rPr>
          <w:b/>
          <w:lang w:val="en-US"/>
        </w:rPr>
        <w:t>Education</w:t>
      </w:r>
    </w:p>
    <w:p w:rsidR="00210311" w:rsidRPr="000F47F4" w:rsidRDefault="000F47F4" w:rsidP="00210311">
      <w:pPr>
        <w:spacing w:after="0"/>
        <w:rPr>
          <w:lang w:val="de-DE"/>
        </w:rPr>
      </w:pPr>
      <w:r w:rsidRPr="000F47F4">
        <w:rPr>
          <w:lang w:val="de-DE"/>
        </w:rPr>
        <w:t>January 2011-September 2015</w:t>
      </w:r>
      <w:r w:rsidR="00210311" w:rsidRPr="000F47F4">
        <w:rPr>
          <w:lang w:val="de-DE"/>
        </w:rPr>
        <w:t xml:space="preserve"> PhD, Heinrich-Heine-University Düsseldorf</w:t>
      </w:r>
    </w:p>
    <w:p w:rsidR="00210311" w:rsidRPr="004415DF" w:rsidRDefault="00210311" w:rsidP="00210311">
      <w:pPr>
        <w:spacing w:after="0"/>
      </w:pPr>
      <w:r w:rsidRPr="004415DF">
        <w:t>October 2008-September 2010 Master of Science Biology, Ruhr-University Bochum</w:t>
      </w:r>
    </w:p>
    <w:p w:rsidR="00210311" w:rsidRPr="004415DF" w:rsidRDefault="00210311" w:rsidP="00210311">
      <w:pPr>
        <w:spacing w:after="0"/>
      </w:pPr>
      <w:r w:rsidRPr="004415DF">
        <w:t>October 2005-June 2008 Bachelor of Science Biology, Ruhr-University Bochum</w:t>
      </w:r>
    </w:p>
    <w:p w:rsidR="00210311" w:rsidRPr="00210311" w:rsidRDefault="00210311" w:rsidP="00210311">
      <w:pPr>
        <w:spacing w:after="0"/>
        <w:rPr>
          <w:lang w:val="en-US"/>
        </w:rPr>
      </w:pPr>
      <w:r w:rsidRPr="00210311">
        <w:rPr>
          <w:lang w:val="en-US"/>
        </w:rPr>
        <w:t>August 1998-June 2005 Theodor-Körner School (degree: Abitur), Bochum</w:t>
      </w:r>
    </w:p>
    <w:p w:rsidR="00210311" w:rsidRPr="006C2439" w:rsidRDefault="00210311" w:rsidP="00210311">
      <w:pPr>
        <w:spacing w:after="0"/>
        <w:rPr>
          <w:lang w:val="en-US"/>
        </w:rPr>
      </w:pPr>
      <w:r w:rsidRPr="006C2439">
        <w:rPr>
          <w:lang w:val="en-US"/>
        </w:rPr>
        <w:t>August 1996-June 1998 Albert-Einstein School, Bochum</w:t>
      </w:r>
    </w:p>
    <w:p w:rsidR="00210311" w:rsidRPr="004415DF" w:rsidRDefault="00210311" w:rsidP="00210311">
      <w:r w:rsidRPr="004415DF">
        <w:t>August 1992-June 1996 Fahrendeller primary school, Bochum</w:t>
      </w:r>
    </w:p>
    <w:p w:rsidR="00210311" w:rsidRDefault="00210311" w:rsidP="00210311">
      <w:pPr>
        <w:spacing w:after="0" w:line="360" w:lineRule="auto"/>
        <w:rPr>
          <w:b/>
        </w:rPr>
      </w:pPr>
      <w:r w:rsidRPr="004415DF">
        <w:rPr>
          <w:b/>
        </w:rPr>
        <w:t>Publications</w:t>
      </w:r>
    </w:p>
    <w:p w:rsidR="00210311" w:rsidRDefault="00210311" w:rsidP="00210311">
      <w:pPr>
        <w:spacing w:after="0"/>
        <w:jc w:val="both"/>
      </w:pPr>
      <w:r>
        <w:rPr>
          <w:lang w:val="en-US"/>
        </w:rPr>
        <w:t>Bernsdorff, F., Döring, A.</w:t>
      </w:r>
      <w:r w:rsidRPr="00787C26">
        <w:rPr>
          <w:lang w:val="en-US"/>
        </w:rPr>
        <w:t>C., Gruner, K., Bräutigam, A.</w:t>
      </w:r>
      <w:r w:rsidR="000F47F4">
        <w:rPr>
          <w:lang w:val="en-US"/>
        </w:rPr>
        <w:t>, Schuck, S.,</w:t>
      </w:r>
      <w:r w:rsidRPr="00787C26">
        <w:rPr>
          <w:lang w:val="en-US"/>
        </w:rPr>
        <w:t xml:space="preserve"> and Zeier, J.</w:t>
      </w:r>
      <w:r>
        <w:rPr>
          <w:lang w:val="en-US"/>
        </w:rPr>
        <w:t>: “</w:t>
      </w:r>
      <w:r>
        <w:t>Pipecolic acid orchestrates plant systemic acquired resistance and defense priming via salicylic acid-dependent and independent pathways”;</w:t>
      </w:r>
    </w:p>
    <w:p w:rsidR="00210311" w:rsidRPr="00787C26" w:rsidRDefault="000F47F4" w:rsidP="00210311">
      <w:pPr>
        <w:spacing w:after="0"/>
        <w:rPr>
          <w:lang w:val="en-US"/>
        </w:rPr>
      </w:pPr>
      <w:r>
        <w:t>Submitted</w:t>
      </w:r>
      <w:r w:rsidR="00210311">
        <w:t xml:space="preserve"> to </w:t>
      </w:r>
      <w:proofErr w:type="gramStart"/>
      <w:r w:rsidR="00210311">
        <w:t>The</w:t>
      </w:r>
      <w:proofErr w:type="gramEnd"/>
      <w:r w:rsidR="00210311">
        <w:t xml:space="preserve"> Plant Cell</w:t>
      </w:r>
    </w:p>
    <w:p w:rsidR="00210311" w:rsidRDefault="00210311" w:rsidP="00210311">
      <w:pPr>
        <w:spacing w:after="0"/>
        <w:rPr>
          <w:b/>
          <w:lang w:val="en-US"/>
        </w:rPr>
      </w:pPr>
    </w:p>
    <w:p w:rsidR="00210311" w:rsidRDefault="00210311" w:rsidP="00210311">
      <w:pPr>
        <w:spacing w:after="0"/>
        <w:jc w:val="both"/>
        <w:rPr>
          <w:rFonts w:cs="AdvOTc4738bdb.B"/>
        </w:rPr>
      </w:pPr>
      <w:r>
        <w:rPr>
          <w:rFonts w:cs="AdvOTc4738bdb.B"/>
        </w:rPr>
        <w:t xml:space="preserve">Návarová, H.; Bernsdorff, F.; </w:t>
      </w:r>
      <w:r w:rsidRPr="004415DF">
        <w:rPr>
          <w:rFonts w:cs="AdvOTc4738bdb.B"/>
        </w:rPr>
        <w:t xml:space="preserve">Döring, A.C.; Zeier, J. (2012): “Pipecolic Acid, an Endogenous Mediator of Defense Amplification and Priming, Is a Critical Regulator of Inducible Plant Immunity”; </w:t>
      </w:r>
      <w:proofErr w:type="gramStart"/>
      <w:r w:rsidRPr="004415DF">
        <w:rPr>
          <w:rFonts w:cs="AdvOTc4738bdb.B"/>
        </w:rPr>
        <w:t>The</w:t>
      </w:r>
      <w:proofErr w:type="gramEnd"/>
      <w:r w:rsidRPr="004415DF">
        <w:rPr>
          <w:rFonts w:cs="AdvOTc4738bdb.B"/>
        </w:rPr>
        <w:t xml:space="preserve"> Plant Cell Vol 24, pp. 5123-5141; </w:t>
      </w:r>
    </w:p>
    <w:p w:rsidR="00210311" w:rsidRPr="004671DD" w:rsidRDefault="00F865A3" w:rsidP="00522A61">
      <w:pPr>
        <w:jc w:val="both"/>
        <w:rPr>
          <w:rStyle w:val="Hyperlink"/>
          <w:rFonts w:cs="AdvOTcc9f5e27"/>
          <w:color w:val="auto"/>
          <w:lang w:val="en-US"/>
        </w:rPr>
      </w:pPr>
      <w:hyperlink r:id="rId140" w:history="1">
        <w:r w:rsidR="00210311" w:rsidRPr="004671DD">
          <w:rPr>
            <w:rStyle w:val="Hyperlink"/>
            <w:rFonts w:cs="AdvOTcc9f5e27"/>
            <w:color w:val="auto"/>
            <w:lang w:val="en-US"/>
          </w:rPr>
          <w:t>www.plantcell.org/cgi/doi/10.1105/tpc.112.103564</w:t>
        </w:r>
      </w:hyperlink>
    </w:p>
    <w:p w:rsidR="00210311" w:rsidRPr="004415DF" w:rsidRDefault="00210311" w:rsidP="00210311">
      <w:pPr>
        <w:spacing w:after="0" w:line="360" w:lineRule="auto"/>
        <w:rPr>
          <w:b/>
        </w:rPr>
      </w:pPr>
      <w:r w:rsidRPr="004415DF">
        <w:rPr>
          <w:b/>
        </w:rPr>
        <w:t>Conferences</w:t>
      </w:r>
    </w:p>
    <w:p w:rsidR="00210311" w:rsidRDefault="00210311" w:rsidP="00522A61">
      <w:pPr>
        <w:jc w:val="both"/>
      </w:pPr>
      <w:r w:rsidRPr="004415DF">
        <w:t>Botanikertagung 2013, September 29</w:t>
      </w:r>
      <w:r w:rsidRPr="004415DF">
        <w:rPr>
          <w:vertAlign w:val="superscript"/>
        </w:rPr>
        <w:t>th</w:t>
      </w:r>
      <w:r w:rsidRPr="004415DF">
        <w:t>-October 4</w:t>
      </w:r>
      <w:r w:rsidRPr="004415DF">
        <w:rPr>
          <w:vertAlign w:val="superscript"/>
        </w:rPr>
        <w:t>th</w:t>
      </w:r>
      <w:r w:rsidRPr="004415DF">
        <w:t xml:space="preserve"> 2013; Oral presentation: “</w:t>
      </w:r>
      <w:r>
        <w:t xml:space="preserve">Pipecolic acid is an </w:t>
      </w:r>
      <w:r w:rsidRPr="004415DF">
        <w:t>essential regulator of systemic acquired resistance</w:t>
      </w:r>
      <w:r w:rsidR="00522A61">
        <w:t xml:space="preserve"> and defence priming in plants”</w:t>
      </w:r>
    </w:p>
    <w:p w:rsidR="00210311" w:rsidRDefault="00210311" w:rsidP="00210311">
      <w:pPr>
        <w:spacing w:after="0" w:line="360" w:lineRule="auto"/>
        <w:rPr>
          <w:b/>
        </w:rPr>
      </w:pPr>
      <w:r w:rsidRPr="004415DF">
        <w:rPr>
          <w:b/>
        </w:rPr>
        <w:t>Collaborations</w:t>
      </w:r>
    </w:p>
    <w:p w:rsidR="00210311" w:rsidRPr="004415DF" w:rsidRDefault="00210311" w:rsidP="00210311">
      <w:pPr>
        <w:spacing w:after="0"/>
      </w:pPr>
      <w:r>
        <w:t>August 2013-September 2014: A</w:t>
      </w:r>
      <w:r w:rsidRPr="004415DF">
        <w:t xml:space="preserve">nalysis of </w:t>
      </w:r>
      <w:r>
        <w:t xml:space="preserve">MAP </w:t>
      </w:r>
      <w:r w:rsidRPr="004415DF">
        <w:t xml:space="preserve">kinase </w:t>
      </w:r>
      <w:r>
        <w:t>signalling in plant immunity</w:t>
      </w:r>
      <w:r w:rsidRPr="004415DF">
        <w:t xml:space="preserve"> in collaboration with </w:t>
      </w:r>
      <w:r>
        <w:t>Dr Yiming Wang and Dr Kenichi Tsuda (Max-Planck-Institute for plant breeding,</w:t>
      </w:r>
      <w:r w:rsidRPr="004415DF">
        <w:t xml:space="preserve"> Cologne)</w:t>
      </w:r>
    </w:p>
    <w:p w:rsidR="00210311" w:rsidRDefault="00210311" w:rsidP="00210311">
      <w:pPr>
        <w:spacing w:after="0"/>
        <w:rPr>
          <w:b/>
        </w:rPr>
      </w:pPr>
    </w:p>
    <w:p w:rsidR="00522A61" w:rsidRPr="00522A61" w:rsidRDefault="00210311" w:rsidP="00522A61">
      <w:r w:rsidRPr="004415DF">
        <w:t>April 2013</w:t>
      </w:r>
      <w:r>
        <w:t>: A</w:t>
      </w:r>
      <w:r w:rsidRPr="004415DF">
        <w:t xml:space="preserve">nalysis of </w:t>
      </w:r>
      <w:r w:rsidRPr="00F373D3">
        <w:rPr>
          <w:i/>
        </w:rPr>
        <w:t>Arabidopsis</w:t>
      </w:r>
      <w:r w:rsidRPr="004415DF">
        <w:t>-powdery mildew interaction in collaboration with Dr Michaela Kopischke</w:t>
      </w:r>
      <w:r>
        <w:t xml:space="preserve"> and Dr Volker Lipka</w:t>
      </w:r>
      <w:r w:rsidRPr="004415DF">
        <w:t xml:space="preserve"> (</w:t>
      </w:r>
      <w:r>
        <w:t>Georg-August-</w:t>
      </w:r>
      <w:r w:rsidRPr="004415DF">
        <w:t>University Göttingen)</w:t>
      </w:r>
    </w:p>
    <w:p w:rsidR="00210311" w:rsidRPr="004415DF" w:rsidRDefault="00210311" w:rsidP="00210311">
      <w:pPr>
        <w:spacing w:after="0" w:line="360" w:lineRule="auto"/>
        <w:rPr>
          <w:b/>
        </w:rPr>
      </w:pPr>
      <w:r w:rsidRPr="004415DF">
        <w:rPr>
          <w:b/>
        </w:rPr>
        <w:t>Experience</w:t>
      </w:r>
    </w:p>
    <w:p w:rsidR="00210311" w:rsidRPr="004415DF" w:rsidRDefault="00210311" w:rsidP="00210311">
      <w:r w:rsidRPr="004415DF">
        <w:t>PhD thesis: “</w:t>
      </w:r>
      <w:r>
        <w:t xml:space="preserve">Exploring the role of pipecolic acid in defence priming and inducible immunity in </w:t>
      </w:r>
      <w:r w:rsidRPr="00D953EF">
        <w:rPr>
          <w:i/>
        </w:rPr>
        <w:t>Arabidopsis thaliana</w:t>
      </w:r>
      <w:r w:rsidRPr="004415DF">
        <w:t>”</w:t>
      </w:r>
    </w:p>
    <w:p w:rsidR="00210311" w:rsidRDefault="00210311" w:rsidP="00210311">
      <w:r w:rsidRPr="004415DF">
        <w:t xml:space="preserve">Master thesis: “Studies on </w:t>
      </w:r>
      <w:r>
        <w:rPr>
          <w:i/>
        </w:rPr>
        <w:t>CIRCADIAN CLOC</w:t>
      </w:r>
      <w:r w:rsidRPr="004415DF">
        <w:rPr>
          <w:i/>
        </w:rPr>
        <w:t xml:space="preserve">K ASSOCIATED 1 </w:t>
      </w:r>
      <w:r w:rsidRPr="004415DF">
        <w:t xml:space="preserve">in </w:t>
      </w:r>
      <w:r w:rsidRPr="004415DF">
        <w:rPr>
          <w:i/>
        </w:rPr>
        <w:t xml:space="preserve">Arabidopsis thaliana </w:t>
      </w:r>
      <w:r w:rsidRPr="004415DF">
        <w:t xml:space="preserve">and </w:t>
      </w:r>
      <w:r>
        <w:rPr>
          <w:i/>
        </w:rPr>
        <w:t xml:space="preserve">Arabidopsis </w:t>
      </w:r>
      <w:r w:rsidRPr="004415DF">
        <w:rPr>
          <w:i/>
        </w:rPr>
        <w:t>halleri</w:t>
      </w:r>
      <w:r w:rsidRPr="004415DF">
        <w:t>”</w:t>
      </w:r>
    </w:p>
    <w:p w:rsidR="00210311" w:rsidRDefault="00210311" w:rsidP="00210311">
      <w:r>
        <w:t xml:space="preserve">Internship in microbiology: “Characterisation of the phycobiliprotein PC630 from </w:t>
      </w:r>
      <w:r w:rsidRPr="00541599">
        <w:rPr>
          <w:i/>
        </w:rPr>
        <w:t xml:space="preserve">Chroomonas </w:t>
      </w:r>
      <w:r>
        <w:t>sp. M1312”</w:t>
      </w:r>
    </w:p>
    <w:p w:rsidR="00210311" w:rsidRPr="004415DF" w:rsidRDefault="00210311" w:rsidP="00210311">
      <w:r>
        <w:t>Bachelor thesis: “Characteris</w:t>
      </w:r>
      <w:r w:rsidRPr="004415DF">
        <w:t xml:space="preserve">ation of the tyrosine aminotransferase 7 in </w:t>
      </w:r>
      <w:r w:rsidRPr="004415DF">
        <w:rPr>
          <w:i/>
        </w:rPr>
        <w:t>Arabidopsis thaliana</w:t>
      </w:r>
      <w:r w:rsidRPr="004415DF">
        <w:t>”</w:t>
      </w:r>
    </w:p>
    <w:p w:rsidR="00210311" w:rsidRPr="004415DF" w:rsidRDefault="00210311" w:rsidP="00210311">
      <w:pPr>
        <w:spacing w:after="0" w:line="360" w:lineRule="auto"/>
        <w:jc w:val="both"/>
        <w:rPr>
          <w:b/>
        </w:rPr>
      </w:pPr>
      <w:r w:rsidRPr="004415DF">
        <w:rPr>
          <w:b/>
        </w:rPr>
        <w:lastRenderedPageBreak/>
        <w:t>Teaching</w:t>
      </w:r>
    </w:p>
    <w:p w:rsidR="00210311" w:rsidRDefault="00210311" w:rsidP="00210311">
      <w:pPr>
        <w:spacing w:after="0"/>
        <w:jc w:val="both"/>
      </w:pPr>
      <w:r>
        <w:t>November 2013-July 2014: S</w:t>
      </w:r>
      <w:r w:rsidRPr="004415DF">
        <w:t>upervision of a Bachelor student; pr</w:t>
      </w:r>
      <w:r>
        <w:t xml:space="preserve">oject: “Metabolite analyses in </w:t>
      </w:r>
      <w:r w:rsidRPr="00435661">
        <w:rPr>
          <w:i/>
        </w:rPr>
        <w:t>Arabidopsis</w:t>
      </w:r>
      <w:r w:rsidRPr="004415DF">
        <w:t xml:space="preserve"> interactions with fungal and oomycete pathogens”</w:t>
      </w:r>
      <w:r>
        <w:t xml:space="preserve"> (HHU)</w:t>
      </w:r>
    </w:p>
    <w:p w:rsidR="00210311" w:rsidRDefault="00210311" w:rsidP="00210311">
      <w:pPr>
        <w:spacing w:after="0"/>
        <w:jc w:val="both"/>
      </w:pPr>
      <w:r w:rsidRPr="004415DF">
        <w:t>Winter semester</w:t>
      </w:r>
      <w:r>
        <w:t>s</w:t>
      </w:r>
      <w:r w:rsidRPr="004415DF">
        <w:t xml:space="preserve"> 2012/2013</w:t>
      </w:r>
      <w:r>
        <w:t xml:space="preserve"> and 2013/2014: S</w:t>
      </w:r>
      <w:r w:rsidRPr="004415DF">
        <w:t>upervision of Bio120 (introduction into botany</w:t>
      </w:r>
      <w:r>
        <w:t xml:space="preserve"> </w:t>
      </w:r>
      <w:r w:rsidRPr="004415DF">
        <w:t>workshop) for fir</w:t>
      </w:r>
      <w:r>
        <w:t xml:space="preserve">st </w:t>
      </w:r>
      <w:r w:rsidRPr="004415DF">
        <w:t>semester students</w:t>
      </w:r>
      <w:r>
        <w:t xml:space="preserve"> (HHU)</w:t>
      </w:r>
    </w:p>
    <w:p w:rsidR="00210311" w:rsidRDefault="00210311" w:rsidP="00210311">
      <w:pPr>
        <w:spacing w:after="0"/>
        <w:jc w:val="both"/>
      </w:pPr>
      <w:r>
        <w:t>August-October 2012: S</w:t>
      </w:r>
      <w:r w:rsidRPr="004415DF">
        <w:t>upervision of project workshop of a master stud</w:t>
      </w:r>
      <w:r>
        <w:t xml:space="preserve">ent; project: “Analysis of root </w:t>
      </w:r>
      <w:r w:rsidRPr="004415DF">
        <w:t xml:space="preserve">exudates from </w:t>
      </w:r>
      <w:r w:rsidRPr="004415DF">
        <w:rPr>
          <w:i/>
        </w:rPr>
        <w:t>Arabidopsis thaliana</w:t>
      </w:r>
      <w:r w:rsidRPr="004415DF">
        <w:t>”</w:t>
      </w:r>
      <w:r>
        <w:t xml:space="preserve"> (HHU)</w:t>
      </w:r>
    </w:p>
    <w:p w:rsidR="00210311" w:rsidRDefault="00210311" w:rsidP="00210311">
      <w:pPr>
        <w:spacing w:after="0"/>
        <w:jc w:val="both"/>
        <w:rPr>
          <w:lang w:val="de-DE"/>
        </w:rPr>
      </w:pPr>
      <w:r w:rsidRPr="00B55268">
        <w:rPr>
          <w:lang w:val="de-DE"/>
        </w:rPr>
        <w:t>Summer semester</w:t>
      </w:r>
      <w:r>
        <w:rPr>
          <w:lang w:val="de-DE"/>
        </w:rPr>
        <w:t>s 2011, 2012, 2013: S</w:t>
      </w:r>
      <w:r w:rsidRPr="00B55268">
        <w:rPr>
          <w:lang w:val="de-DE"/>
        </w:rPr>
        <w:t>upervision of M-Module “Pflanze-Umwelt-Interaktionen:</w:t>
      </w:r>
      <w:r>
        <w:rPr>
          <w:lang w:val="de-DE"/>
        </w:rPr>
        <w:t xml:space="preserve"> </w:t>
      </w:r>
      <w:r w:rsidRPr="00B55268">
        <w:rPr>
          <w:lang w:val="de-DE"/>
        </w:rPr>
        <w:t>Gene, Proteine, Sekundärmetabolite“ for master students</w:t>
      </w:r>
      <w:r>
        <w:rPr>
          <w:lang w:val="de-DE"/>
        </w:rPr>
        <w:t xml:space="preserve"> (HHU)</w:t>
      </w:r>
    </w:p>
    <w:p w:rsidR="00210311" w:rsidRDefault="00210311" w:rsidP="00210311">
      <w:pPr>
        <w:spacing w:after="0"/>
        <w:jc w:val="both"/>
      </w:pPr>
      <w:r>
        <w:t>Winter semester 2011: S</w:t>
      </w:r>
      <w:r w:rsidRPr="004415DF">
        <w:t>upervision of plant pathology workshop for bachelor students</w:t>
      </w:r>
      <w:r>
        <w:t xml:space="preserve"> (HHU)</w:t>
      </w:r>
    </w:p>
    <w:p w:rsidR="00210311" w:rsidRPr="004415DF" w:rsidRDefault="00210311" w:rsidP="00522A61">
      <w:pPr>
        <w:jc w:val="both"/>
      </w:pPr>
      <w:r w:rsidRPr="004415DF">
        <w:t>Summ</w:t>
      </w:r>
      <w:r>
        <w:t>er semesters 2008, 2009, 2010: S</w:t>
      </w:r>
      <w:r w:rsidRPr="004415DF">
        <w:t>upervision of plant physiology workshop</w:t>
      </w:r>
      <w:r>
        <w:t xml:space="preserve"> (RUB)</w:t>
      </w:r>
    </w:p>
    <w:p w:rsidR="00210311" w:rsidRDefault="00210311" w:rsidP="00210311">
      <w:pPr>
        <w:spacing w:after="0" w:line="360" w:lineRule="auto"/>
        <w:rPr>
          <w:b/>
        </w:rPr>
      </w:pPr>
      <w:r>
        <w:rPr>
          <w:b/>
        </w:rPr>
        <w:t>Laboratory skills</w:t>
      </w:r>
    </w:p>
    <w:p w:rsidR="00210311" w:rsidRDefault="00210311" w:rsidP="00522A61">
      <w:pPr>
        <w:jc w:val="both"/>
      </w:pPr>
      <w:r>
        <w:t>Analysis of plant metabolites via gas chromatography (GC) and high-performance liquid chromatography (HPLC); Infection of plants with bacteria (</w:t>
      </w:r>
      <w:r>
        <w:rPr>
          <w:i/>
        </w:rPr>
        <w:t>Pseudomonas syringae)</w:t>
      </w:r>
      <w:r>
        <w:t>, fungi (</w:t>
      </w:r>
      <w:r>
        <w:rPr>
          <w:i/>
        </w:rPr>
        <w:t>Botrytis cinerea, Golovinomyces orontii</w:t>
      </w:r>
      <w:r>
        <w:t>) and oomycetes (</w:t>
      </w:r>
      <w:r>
        <w:rPr>
          <w:i/>
        </w:rPr>
        <w:t>Hyaloperonospora arabidopsidis)</w:t>
      </w:r>
      <w:r>
        <w:t>; RT-PCR; quantitative real-time PCR; lactophenol/trypanblue staining; enzyme assays (kinetic and analysis of final products); heterologous expression of proteins; SDS-PAGE and Western Blot; cloning of plant genes; analysis of bacterial growth by plating bacteria and counting colonies; preparation of insects; basic microscopy skills; Analysis of T-DNA insertion lines</w:t>
      </w:r>
    </w:p>
    <w:p w:rsidR="00CA18AF" w:rsidRPr="00E0008D" w:rsidRDefault="00CA18AF" w:rsidP="00E328BF">
      <w:pPr>
        <w:pStyle w:val="berschrift1"/>
        <w:rPr>
          <w:color w:val="auto"/>
          <w:lang w:val="en-US"/>
        </w:rPr>
        <w:sectPr w:rsidR="00CA18AF" w:rsidRPr="00E0008D" w:rsidSect="00E46EA9">
          <w:headerReference w:type="default" r:id="rId141"/>
          <w:type w:val="continuous"/>
          <w:pgSz w:w="11906" w:h="16838"/>
          <w:pgMar w:top="1417" w:right="1417" w:bottom="1134" w:left="1417" w:header="708" w:footer="708" w:gutter="0"/>
          <w:cols w:space="708"/>
          <w:titlePg/>
          <w:docGrid w:linePitch="360"/>
        </w:sectPr>
      </w:pPr>
    </w:p>
    <w:p w:rsidR="00522A61" w:rsidRPr="00E0008D" w:rsidRDefault="00522A61" w:rsidP="00522A61">
      <w:pPr>
        <w:rPr>
          <w:lang w:val="en-US"/>
        </w:rPr>
      </w:pPr>
    </w:p>
    <w:p w:rsidR="00522A61" w:rsidRPr="00E0008D" w:rsidRDefault="00522A61" w:rsidP="00522A61">
      <w:pPr>
        <w:rPr>
          <w:lang w:val="en-US"/>
        </w:rPr>
      </w:pPr>
    </w:p>
    <w:p w:rsidR="00522A61" w:rsidRPr="00E0008D" w:rsidRDefault="00522A61" w:rsidP="00522A61">
      <w:pPr>
        <w:rPr>
          <w:lang w:val="en-US"/>
        </w:rPr>
      </w:pPr>
    </w:p>
    <w:p w:rsidR="00522A61" w:rsidRPr="00E0008D" w:rsidRDefault="00522A61" w:rsidP="00522A61">
      <w:pPr>
        <w:rPr>
          <w:lang w:val="en-US"/>
        </w:rPr>
      </w:pPr>
    </w:p>
    <w:p w:rsidR="00522A61" w:rsidRPr="00E0008D" w:rsidRDefault="00522A61" w:rsidP="00522A61">
      <w:pPr>
        <w:rPr>
          <w:lang w:val="en-US"/>
        </w:rPr>
      </w:pPr>
    </w:p>
    <w:p w:rsidR="00522A61" w:rsidRPr="00E0008D" w:rsidRDefault="00522A61" w:rsidP="00522A61">
      <w:pPr>
        <w:rPr>
          <w:lang w:val="en-US"/>
        </w:rPr>
      </w:pPr>
    </w:p>
    <w:p w:rsidR="000F47F4" w:rsidRPr="00E0008D" w:rsidRDefault="000F47F4" w:rsidP="000F47F4">
      <w:pPr>
        <w:rPr>
          <w:lang w:val="en-US"/>
        </w:rPr>
      </w:pPr>
    </w:p>
    <w:p w:rsidR="000F47F4" w:rsidRPr="00E0008D" w:rsidRDefault="000F47F4" w:rsidP="000F47F4">
      <w:pPr>
        <w:rPr>
          <w:lang w:val="en-US"/>
        </w:rPr>
      </w:pPr>
    </w:p>
    <w:p w:rsidR="000F47F4" w:rsidRPr="00E0008D" w:rsidRDefault="000F47F4" w:rsidP="000F47F4">
      <w:pPr>
        <w:rPr>
          <w:lang w:val="en-US"/>
        </w:rPr>
      </w:pPr>
    </w:p>
    <w:p w:rsidR="000F47F4" w:rsidRPr="00E0008D" w:rsidRDefault="000F47F4" w:rsidP="000F47F4">
      <w:pPr>
        <w:rPr>
          <w:lang w:val="en-US"/>
        </w:rPr>
      </w:pPr>
    </w:p>
    <w:p w:rsidR="000F47F4" w:rsidRPr="00E0008D" w:rsidRDefault="000F47F4" w:rsidP="000F47F4">
      <w:pPr>
        <w:rPr>
          <w:lang w:val="en-US"/>
        </w:rPr>
      </w:pPr>
    </w:p>
    <w:p w:rsidR="000F47F4" w:rsidRPr="00E0008D" w:rsidRDefault="000F47F4" w:rsidP="000F47F4">
      <w:pPr>
        <w:rPr>
          <w:lang w:val="en-US"/>
        </w:rPr>
      </w:pPr>
    </w:p>
    <w:p w:rsidR="000F47F4" w:rsidRPr="00E0008D" w:rsidRDefault="000F47F4" w:rsidP="000F47F4">
      <w:pPr>
        <w:rPr>
          <w:lang w:val="en-US"/>
        </w:rPr>
      </w:pPr>
    </w:p>
    <w:p w:rsidR="00F115C8" w:rsidRPr="00E0008D" w:rsidRDefault="009D6B61" w:rsidP="009D2AEA">
      <w:pPr>
        <w:pStyle w:val="berschrift1"/>
        <w:spacing w:after="240"/>
        <w:rPr>
          <w:color w:val="auto"/>
          <w:lang w:val="en-US"/>
        </w:rPr>
      </w:pPr>
      <w:bookmarkStart w:id="160" w:name="_Toc435621270"/>
      <w:r w:rsidRPr="00E0008D">
        <w:rPr>
          <w:color w:val="auto"/>
          <w:lang w:val="en-US"/>
        </w:rPr>
        <w:lastRenderedPageBreak/>
        <w:t>13</w:t>
      </w:r>
      <w:r w:rsidR="00941C29" w:rsidRPr="00E0008D">
        <w:rPr>
          <w:color w:val="auto"/>
          <w:lang w:val="en-US"/>
        </w:rPr>
        <w:t xml:space="preserve"> </w:t>
      </w:r>
      <w:r w:rsidR="00DF387A" w:rsidRPr="00E0008D">
        <w:rPr>
          <w:color w:val="auto"/>
          <w:lang w:val="en-US"/>
        </w:rPr>
        <w:t>Erklärung</w:t>
      </w:r>
      <w:bookmarkEnd w:id="160"/>
    </w:p>
    <w:p w:rsidR="00FA0075" w:rsidRPr="00FA0075" w:rsidRDefault="000F47F4" w:rsidP="00FA0075">
      <w:pPr>
        <w:spacing w:line="360" w:lineRule="auto"/>
        <w:jc w:val="both"/>
        <w:rPr>
          <w:lang w:val="de-DE"/>
        </w:rPr>
      </w:pPr>
      <w:r w:rsidRPr="000F47F4">
        <w:rPr>
          <w:lang w:val="en-US"/>
        </w:rPr>
        <w:t>Ich versichere an Eides statt, dass die Dissertation</w:t>
      </w:r>
      <w:r w:rsidR="00FA0075" w:rsidRPr="000F47F4">
        <w:rPr>
          <w:lang w:val="en-US"/>
        </w:rPr>
        <w:t xml:space="preserve"> mit dem Titel „Exploring the role of pipecolic acid in defence priming and inducible immunity in </w:t>
      </w:r>
      <w:r w:rsidR="00FA0075" w:rsidRPr="000F47F4">
        <w:rPr>
          <w:i/>
          <w:lang w:val="en-US"/>
        </w:rPr>
        <w:t>Arabidopsis thaliana</w:t>
      </w:r>
      <w:r w:rsidR="00FA0075" w:rsidRPr="000F47F4">
        <w:rPr>
          <w:lang w:val="en-US"/>
        </w:rPr>
        <w:t xml:space="preserve"> (L.) </w:t>
      </w:r>
      <w:r w:rsidR="00FA0075" w:rsidRPr="00FA0075">
        <w:rPr>
          <w:lang w:val="de-DE"/>
        </w:rPr>
        <w:t xml:space="preserve">Heynh.“ </w:t>
      </w:r>
      <w:r>
        <w:rPr>
          <w:lang w:val="de-DE"/>
        </w:rPr>
        <w:t>von mir selbstständig und ohne unzulässige fremde Hilfe unter Beachtung der „Grundsätze zur Sicherung guter wissenschaftlicher Praxis an der Heinrich-Heine-Universität Düsseldorf“ erstellt worden ist. Ich habe</w:t>
      </w:r>
      <w:r w:rsidR="00FA0075" w:rsidRPr="00FA0075">
        <w:rPr>
          <w:lang w:val="de-DE"/>
        </w:rPr>
        <w:t xml:space="preserve"> keine anderen als die von mir angegebenen Quellen und Hilfsmittel verwendet. Diese Dissertation hat weder in gleicher noch ähnlicher Form einer anderen Institution vorgelegen. Ich habe bisher keine erfolglosen Promotionsversuche unternommen</w:t>
      </w:r>
      <w:r w:rsidR="00FA0075">
        <w:rPr>
          <w:lang w:val="de-DE"/>
        </w:rPr>
        <w:t>.</w:t>
      </w:r>
    </w:p>
    <w:p w:rsidR="00FA0075" w:rsidRPr="00FA0075" w:rsidRDefault="00FA0075" w:rsidP="00FA0075">
      <w:pPr>
        <w:spacing w:line="360" w:lineRule="auto"/>
        <w:rPr>
          <w:lang w:val="de-DE"/>
        </w:rPr>
      </w:pPr>
      <w:r>
        <w:rPr>
          <w:lang w:val="de-DE"/>
        </w:rPr>
        <w:t>Bochum, den 14.05.2015</w:t>
      </w:r>
    </w:p>
    <w:p w:rsidR="009D2AEA" w:rsidRPr="009D2AEA" w:rsidRDefault="00FA0075" w:rsidP="00FA0075">
      <w:pPr>
        <w:spacing w:line="360" w:lineRule="auto"/>
        <w:rPr>
          <w:lang w:val="de-DE"/>
        </w:rPr>
      </w:pPr>
      <w:r>
        <w:rPr>
          <w:lang w:val="de-DE"/>
        </w:rPr>
        <w:t>Anne-Christin Döring</w:t>
      </w:r>
    </w:p>
    <w:p w:rsidR="00FD65FA" w:rsidRPr="000B4D4B" w:rsidRDefault="00FD65FA" w:rsidP="00FD65FA">
      <w:pPr>
        <w:spacing w:line="360" w:lineRule="auto"/>
        <w:jc w:val="both"/>
        <w:rPr>
          <w:lang w:val="de-DE"/>
        </w:rPr>
      </w:pPr>
    </w:p>
    <w:p w:rsidR="00FD65FA" w:rsidRPr="000B4D4B" w:rsidRDefault="00FD65FA" w:rsidP="00FD65FA">
      <w:pPr>
        <w:spacing w:line="360" w:lineRule="auto"/>
        <w:jc w:val="both"/>
        <w:rPr>
          <w:lang w:val="de-DE"/>
        </w:rPr>
      </w:pPr>
    </w:p>
    <w:p w:rsidR="00FD65FA" w:rsidRPr="000B4D4B" w:rsidRDefault="00FD65FA" w:rsidP="00FD65FA">
      <w:pPr>
        <w:spacing w:line="360" w:lineRule="auto"/>
        <w:jc w:val="both"/>
        <w:rPr>
          <w:lang w:val="de-DE"/>
        </w:rPr>
      </w:pPr>
    </w:p>
    <w:p w:rsidR="00FD65FA" w:rsidRPr="000B4D4B" w:rsidRDefault="00FD65FA" w:rsidP="00FD65FA">
      <w:pPr>
        <w:spacing w:line="360" w:lineRule="auto"/>
        <w:jc w:val="both"/>
        <w:rPr>
          <w:lang w:val="de-DE"/>
        </w:rPr>
      </w:pPr>
    </w:p>
    <w:p w:rsidR="00FD65FA" w:rsidRPr="000B4D4B" w:rsidRDefault="00FD65FA" w:rsidP="00FD65FA">
      <w:pPr>
        <w:spacing w:line="360" w:lineRule="auto"/>
        <w:jc w:val="both"/>
        <w:rPr>
          <w:lang w:val="de-DE"/>
        </w:rPr>
      </w:pPr>
    </w:p>
    <w:p w:rsidR="00DC6BB1" w:rsidRPr="000B4D4B" w:rsidRDefault="00DC6BB1">
      <w:pPr>
        <w:rPr>
          <w:lang w:val="de-DE"/>
        </w:rPr>
      </w:pPr>
    </w:p>
    <w:sectPr w:rsidR="00DC6BB1" w:rsidRPr="000B4D4B" w:rsidSect="00E46EA9">
      <w:headerReference w:type="default" r:id="rId142"/>
      <w:type w:val="continuous"/>
      <w:pgSz w:w="11906" w:h="16838"/>
      <w:pgMar w:top="1417" w:right="1417" w:bottom="1134"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34DF7" w:rsidRDefault="00234DF7" w:rsidP="00F22501">
      <w:pPr>
        <w:spacing w:after="0" w:line="240" w:lineRule="auto"/>
      </w:pPr>
      <w:r>
        <w:separator/>
      </w:r>
    </w:p>
  </w:endnote>
  <w:endnote w:type="continuationSeparator" w:id="0">
    <w:p w:rsidR="00234DF7" w:rsidRDefault="00234DF7" w:rsidP="00F225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dvOTc4738bdb.B">
    <w:panose1 w:val="00000000000000000000"/>
    <w:charset w:val="00"/>
    <w:family w:val="swiss"/>
    <w:notTrueType/>
    <w:pitch w:val="default"/>
    <w:sig w:usb0="00000003" w:usb1="00000000" w:usb2="00000000" w:usb3="00000000" w:csb0="00000001" w:csb1="00000000"/>
  </w:font>
  <w:font w:name="AdvPSA183">
    <w:panose1 w:val="00000000000000000000"/>
    <w:charset w:val="00"/>
    <w:family w:val="swiss"/>
    <w:notTrueType/>
    <w:pitch w:val="default"/>
    <w:sig w:usb0="00000003" w:usb1="00000000" w:usb2="00000000" w:usb3="00000000" w:csb0="00000001" w:csb1="00000000"/>
  </w:font>
  <w:font w:name="AdvOTcc9f5e27">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71253076"/>
      <w:docPartObj>
        <w:docPartGallery w:val="Page Numbers (Bottom of Page)"/>
        <w:docPartUnique/>
      </w:docPartObj>
    </w:sdtPr>
    <w:sdtContent>
      <w:p w:rsidR="00BA600C" w:rsidRDefault="00BA600C">
        <w:pPr>
          <w:pStyle w:val="Fuzeile"/>
          <w:jc w:val="center"/>
        </w:pPr>
        <w:r>
          <w:fldChar w:fldCharType="begin"/>
        </w:r>
        <w:r>
          <w:instrText>PAGE   \* MERGEFORMAT</w:instrText>
        </w:r>
        <w:r>
          <w:fldChar w:fldCharType="separate"/>
        </w:r>
        <w:r w:rsidR="00E0008D" w:rsidRPr="00E0008D">
          <w:rPr>
            <w:noProof/>
            <w:lang w:val="de-DE"/>
          </w:rPr>
          <w:t>110</w:t>
        </w:r>
        <w:r>
          <w:fldChar w:fldCharType="end"/>
        </w:r>
      </w:p>
    </w:sdtContent>
  </w:sdt>
  <w:p w:rsidR="00BA600C" w:rsidRDefault="00BA600C">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80447503"/>
      <w:docPartObj>
        <w:docPartGallery w:val="Page Numbers (Bottom of Page)"/>
        <w:docPartUnique/>
      </w:docPartObj>
    </w:sdtPr>
    <w:sdtContent>
      <w:p w:rsidR="00BA600C" w:rsidRDefault="00BA600C">
        <w:pPr>
          <w:pStyle w:val="Fuzeile"/>
          <w:jc w:val="center"/>
        </w:pPr>
        <w:r>
          <w:fldChar w:fldCharType="begin"/>
        </w:r>
        <w:r>
          <w:instrText>PAGE   \* MERGEFORMAT</w:instrText>
        </w:r>
        <w:r>
          <w:fldChar w:fldCharType="separate"/>
        </w:r>
        <w:r w:rsidR="00E0008D" w:rsidRPr="00E0008D">
          <w:rPr>
            <w:noProof/>
            <w:lang w:val="de-DE"/>
          </w:rPr>
          <w:t>111</w:t>
        </w:r>
        <w:r>
          <w:fldChar w:fldCharType="end"/>
        </w:r>
      </w:p>
    </w:sdtContent>
  </w:sdt>
  <w:p w:rsidR="00BA600C" w:rsidRDefault="00BA600C">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34DF7" w:rsidRDefault="00234DF7" w:rsidP="00F22501">
      <w:pPr>
        <w:spacing w:after="0" w:line="240" w:lineRule="auto"/>
      </w:pPr>
      <w:r>
        <w:separator/>
      </w:r>
    </w:p>
  </w:footnote>
  <w:footnote w:type="continuationSeparator" w:id="0">
    <w:p w:rsidR="00234DF7" w:rsidRDefault="00234DF7" w:rsidP="00F2250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600C" w:rsidRDefault="00BA600C">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600C" w:rsidRPr="007C6C83" w:rsidRDefault="00BA600C">
    <w:pPr>
      <w:pStyle w:val="Kopfzeile"/>
      <w:rPr>
        <w:lang w:val="en-US"/>
      </w:rPr>
    </w:pPr>
    <w:r>
      <w:rPr>
        <w:lang w:val="en-US"/>
      </w:rPr>
      <w:t>3.1 Plant life-surviving in an adverse environment</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600C" w:rsidRPr="007C6C83" w:rsidRDefault="00BA600C">
    <w:pPr>
      <w:pStyle w:val="Kopfzeile"/>
      <w:rPr>
        <w:lang w:val="en-US"/>
      </w:rPr>
    </w:pPr>
    <w:r>
      <w:rPr>
        <w:lang w:val="en-US"/>
      </w:rPr>
      <w:t>3.2 Molecular principles of innate immunity</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600C" w:rsidRPr="007C6C83" w:rsidRDefault="00BA600C">
    <w:pPr>
      <w:pStyle w:val="Kopfzeile"/>
      <w:rPr>
        <w:lang w:val="en-US"/>
      </w:rPr>
    </w:pPr>
    <w:r>
      <w:rPr>
        <w:lang w:val="en-US"/>
      </w:rPr>
      <w:t>3.3 Systemic acquired resistance and defence signalling</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600C" w:rsidRPr="007C6C83" w:rsidRDefault="00BA600C">
    <w:pPr>
      <w:pStyle w:val="Kopfzeile"/>
      <w:rPr>
        <w:lang w:val="en-US"/>
      </w:rPr>
    </w:pPr>
    <w:r>
      <w:rPr>
        <w:lang w:val="en-US"/>
      </w:rPr>
      <w:t>3.4 Mitogen-activated protein kinase signalling in plants</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600C" w:rsidRPr="007C6C83" w:rsidRDefault="00BA600C">
    <w:pPr>
      <w:pStyle w:val="Kopfzeile"/>
      <w:rPr>
        <w:lang w:val="en-US"/>
      </w:rPr>
    </w:pPr>
    <w:r>
      <w:rPr>
        <w:lang w:val="en-US"/>
      </w:rPr>
      <w:t>3.5 Chemical inducers of plant pathogen resistance</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600C" w:rsidRPr="007C6C83" w:rsidRDefault="00BA600C">
    <w:pPr>
      <w:pStyle w:val="Kopfzeile"/>
      <w:rPr>
        <w:lang w:val="en-US"/>
      </w:rPr>
    </w:pPr>
    <w:r>
      <w:rPr>
        <w:lang w:val="en-US"/>
      </w:rPr>
      <w:t>3.6 Mechanisms of priming in systemic acquired and chemical-induced resistance</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600C" w:rsidRPr="007C6C83" w:rsidRDefault="00BA600C">
    <w:pPr>
      <w:pStyle w:val="Kopfzeile"/>
      <w:rPr>
        <w:lang w:val="en-US"/>
      </w:rPr>
    </w:pPr>
    <w:r>
      <w:rPr>
        <w:lang w:val="en-US"/>
      </w:rPr>
      <w:t xml:space="preserve">3.8 The grey mould disease agent </w:t>
    </w:r>
    <w:r>
      <w:rPr>
        <w:i/>
        <w:lang w:val="en-US"/>
      </w:rPr>
      <w:t>Botrytis cinerea</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600C" w:rsidRPr="007C6C83" w:rsidRDefault="00BA600C">
    <w:pPr>
      <w:pStyle w:val="Kopfzeile"/>
      <w:rPr>
        <w:lang w:val="en-US"/>
      </w:rPr>
    </w:pPr>
    <w:r>
      <w:rPr>
        <w:lang w:val="en-US"/>
      </w:rPr>
      <w:t xml:space="preserve">3.8 Resistance against the powdery mildew fungus </w:t>
    </w:r>
    <w:r>
      <w:rPr>
        <w:i/>
        <w:lang w:val="en-US"/>
      </w:rPr>
      <w:t>Golovinomyces orontii</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600C" w:rsidRDefault="00BA600C">
    <w:pPr>
      <w:pStyle w:val="Kopfzeile"/>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600C" w:rsidRPr="00ED6089" w:rsidRDefault="00BA600C">
    <w:pPr>
      <w:pStyle w:val="Kopfzeile"/>
      <w:rPr>
        <w:lang w:val="en-US"/>
      </w:rPr>
    </w:pPr>
    <w:r>
      <w:rPr>
        <w:lang w:val="en-US"/>
      </w:rPr>
      <w:t xml:space="preserve">3.9 The biotrophic oomycete </w:t>
    </w:r>
    <w:r w:rsidRPr="002824C9">
      <w:rPr>
        <w:i/>
        <w:lang w:val="en-US"/>
      </w:rPr>
      <w:t>Hyaloperonospora arabidopsidis</w:t>
    </w:r>
    <w:r>
      <w:rPr>
        <w:i/>
        <w:lang w:val="en-US"/>
      </w:rPr>
      <w:t xml:space="preserve"> </w:t>
    </w:r>
    <w:r w:rsidRPr="00ED6089">
      <w:rPr>
        <w:lang w:val="en-US"/>
      </w:rPr>
      <w:t xml:space="preserve">specialized on </w:t>
    </w:r>
    <w:r>
      <w:rPr>
        <w:i/>
        <w:lang w:val="en-US"/>
      </w:rPr>
      <w:t>A.</w:t>
    </w:r>
    <w:r w:rsidRPr="00ED6089">
      <w:rPr>
        <w:i/>
        <w:lang w:val="en-US"/>
      </w:rPr>
      <w:t xml:space="preserve"> thaliana</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600C" w:rsidRPr="00ED6089" w:rsidRDefault="00BA600C">
    <w:pPr>
      <w:pStyle w:val="Kopfzeile"/>
      <w:rPr>
        <w:lang w:val="en-US"/>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600C" w:rsidRDefault="00BA600C">
    <w:pPr>
      <w:pStyle w:val="Kopfzeile"/>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600C" w:rsidRPr="002824C9" w:rsidRDefault="00BA600C">
    <w:pPr>
      <w:pStyle w:val="Kopfzeile"/>
      <w:rPr>
        <w:i/>
        <w:lang w:val="en-US"/>
      </w:rPr>
    </w:pPr>
    <w:r>
      <w:rPr>
        <w:lang w:val="en-US"/>
      </w:rPr>
      <w:t>5 Materials and methods</w: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600C" w:rsidRDefault="00BA600C">
    <w:pPr>
      <w:pStyle w:val="Kopfzeile"/>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600C" w:rsidRPr="007C6C83" w:rsidRDefault="00BA600C">
    <w:pPr>
      <w:pStyle w:val="Kopfzeile"/>
      <w:rPr>
        <w:lang w:val="en-US"/>
      </w:rPr>
    </w:pPr>
    <w:r>
      <w:rPr>
        <w:lang w:val="en-US"/>
      </w:rPr>
      <w:t xml:space="preserve">6.1 </w:t>
    </w:r>
    <w:r w:rsidRPr="00A26043">
      <w:rPr>
        <w:i/>
        <w:lang w:val="en-US"/>
      </w:rPr>
      <w:t>ALD1</w:t>
    </w:r>
    <w:r>
      <w:rPr>
        <w:lang w:val="en-US"/>
      </w:rPr>
      <w:t xml:space="preserve"> and </w:t>
    </w:r>
    <w:r w:rsidRPr="00A26043">
      <w:rPr>
        <w:i/>
        <w:lang w:val="en-US"/>
      </w:rPr>
      <w:t>FMO1</w:t>
    </w:r>
    <w:r>
      <w:rPr>
        <w:lang w:val="en-US"/>
      </w:rPr>
      <w:t xml:space="preserve"> are necessary regulators of defence priming in </w:t>
    </w:r>
    <w:r w:rsidRPr="001060A8">
      <w:rPr>
        <w:i/>
        <w:lang w:val="en-US"/>
      </w:rPr>
      <w:t>A. thaliana</w: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600C" w:rsidRPr="00A26043" w:rsidRDefault="00BA600C">
    <w:pPr>
      <w:pStyle w:val="Kopfzeile"/>
      <w:rPr>
        <w:lang w:val="en-US"/>
      </w:rPr>
    </w:pPr>
    <w:r w:rsidRPr="00A26043">
      <w:rPr>
        <w:lang w:val="en-US"/>
      </w:rPr>
      <w:t xml:space="preserve">6.1 </w:t>
    </w:r>
    <w:r w:rsidRPr="00A26043">
      <w:rPr>
        <w:i/>
        <w:lang w:val="en-US"/>
      </w:rPr>
      <w:t>ALD1</w:t>
    </w:r>
    <w:r w:rsidRPr="00A26043">
      <w:rPr>
        <w:lang w:val="en-US"/>
      </w:rPr>
      <w:t xml:space="preserve"> and </w:t>
    </w:r>
    <w:r w:rsidRPr="00A26043">
      <w:rPr>
        <w:i/>
        <w:lang w:val="en-US"/>
      </w:rPr>
      <w:t>FMO1</w:t>
    </w:r>
    <w:r w:rsidRPr="00A26043">
      <w:rPr>
        <w:lang w:val="en-US"/>
      </w:rPr>
      <w:t xml:space="preserve"> are necessary regulators of defence priming</w:t>
    </w:r>
    <w:r>
      <w:rPr>
        <w:lang w:val="en-US"/>
      </w:rPr>
      <w:t xml:space="preserve"> in </w:t>
    </w:r>
    <w:r w:rsidRPr="001060A8">
      <w:rPr>
        <w:i/>
        <w:lang w:val="en-US"/>
      </w:rPr>
      <w:t>A. thaliana</w:t>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600C" w:rsidRPr="007C6C83" w:rsidRDefault="00BA600C">
    <w:pPr>
      <w:pStyle w:val="Kopfzeile"/>
      <w:rPr>
        <w:lang w:val="en-US"/>
      </w:rPr>
    </w:pPr>
    <w:r>
      <w:rPr>
        <w:lang w:val="en-US"/>
      </w:rPr>
      <w:t>6.2 Regulation of Pip-induced priming of gene expression</w:t>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600C" w:rsidRPr="007C6C83" w:rsidRDefault="00BA600C">
    <w:pPr>
      <w:pStyle w:val="Kopfzeile"/>
      <w:rPr>
        <w:lang w:val="en-US"/>
      </w:rPr>
    </w:pPr>
    <w:r>
      <w:rPr>
        <w:lang w:val="en-US"/>
      </w:rPr>
      <w:t>6.3 A role for MAPK signalling cascades in defence priming?</w:t>
    </w: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600C" w:rsidRPr="007C6C83" w:rsidRDefault="00BA600C">
    <w:pPr>
      <w:pStyle w:val="Kopfzeile"/>
      <w:rPr>
        <w:lang w:val="en-US"/>
      </w:rPr>
    </w:pPr>
    <w:r>
      <w:rPr>
        <w:lang w:val="en-US"/>
      </w:rPr>
      <w:t xml:space="preserve">6.5 Changes in the meatbolic profile of </w:t>
    </w:r>
    <w:r w:rsidRPr="004B69A1">
      <w:rPr>
        <w:i/>
        <w:lang w:val="en-US"/>
      </w:rPr>
      <w:t>A. thaliana</w:t>
    </w:r>
    <w:r>
      <w:rPr>
        <w:lang w:val="en-US"/>
      </w:rPr>
      <w:t xml:space="preserve"> after infection with </w:t>
    </w:r>
    <w:r w:rsidRPr="004B69A1">
      <w:rPr>
        <w:i/>
        <w:lang w:val="en-US"/>
      </w:rPr>
      <w:t>B. cinerea</w:t>
    </w: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600C" w:rsidRPr="00A26043" w:rsidRDefault="00BA600C">
    <w:pPr>
      <w:pStyle w:val="Kopfzeile"/>
      <w:rPr>
        <w:lang w:val="en-US"/>
      </w:rP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600C" w:rsidRPr="00A26043" w:rsidRDefault="00BA600C">
    <w:pPr>
      <w:pStyle w:val="Kopfzeile"/>
      <w:rPr>
        <w:lang w:val="en-US"/>
      </w:rP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600C" w:rsidRPr="007C6C83" w:rsidRDefault="00BA600C">
    <w:pPr>
      <w:pStyle w:val="Kopfzeile"/>
      <w:rPr>
        <w:lang w:val="en-US"/>
      </w:rPr>
    </w:pPr>
    <w:r>
      <w:rPr>
        <w:lang w:val="en-US"/>
      </w:rPr>
      <w:t xml:space="preserve">6.6 </w:t>
    </w:r>
    <w:r>
      <w:t xml:space="preserve">Reduction of </w:t>
    </w:r>
    <w:r w:rsidRPr="003108D6">
      <w:rPr>
        <w:i/>
      </w:rPr>
      <w:t>B. cinerea</w:t>
    </w:r>
    <w:r>
      <w:t>-caused disease symptoms by exogenous Pip-treatment</w:t>
    </w: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600C" w:rsidRPr="007C6C83" w:rsidRDefault="00BA600C">
    <w:pPr>
      <w:pStyle w:val="Kopfzeile"/>
      <w:rPr>
        <w:lang w:val="en-US"/>
      </w:rPr>
    </w:pPr>
    <w:r>
      <w:rPr>
        <w:lang w:val="en-US"/>
      </w:rPr>
      <w:t xml:space="preserve">6.7 Metabolic profile of </w:t>
    </w:r>
    <w:r w:rsidRPr="00416D68">
      <w:rPr>
        <w:i/>
        <w:lang w:val="en-US"/>
      </w:rPr>
      <w:t>A. thaliana</w:t>
    </w:r>
    <w:r>
      <w:rPr>
        <w:lang w:val="en-US"/>
      </w:rPr>
      <w:t xml:space="preserve"> after infection with a biotrophic oomycete</w:t>
    </w: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600C" w:rsidRPr="00720642" w:rsidRDefault="00BA600C">
    <w:pPr>
      <w:pStyle w:val="Kopfzeile"/>
    </w:pPr>
    <w:r>
      <w:rPr>
        <w:lang w:val="en-US"/>
      </w:rPr>
      <w:t xml:space="preserve">6.8 Pip-induced resistance against the virulent </w:t>
    </w:r>
    <w:r w:rsidRPr="004F4BBD">
      <w:rPr>
        <w:i/>
        <w:lang w:val="en-US"/>
      </w:rPr>
      <w:t>Hpa</w:t>
    </w:r>
    <w:r>
      <w:rPr>
        <w:lang w:val="en-US"/>
      </w:rPr>
      <w:t xml:space="preserve"> isolate Noco2</w:t>
    </w: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600C" w:rsidRPr="00A26043" w:rsidRDefault="00BA600C">
    <w:pPr>
      <w:pStyle w:val="Kopfzeile"/>
      <w:rPr>
        <w:lang w:val="en-US"/>
      </w:rP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600C" w:rsidRPr="007C6C83" w:rsidRDefault="00BA600C">
    <w:pPr>
      <w:pStyle w:val="Kopfzeile"/>
      <w:rPr>
        <w:lang w:val="en-US"/>
      </w:rPr>
    </w:pPr>
    <w:r>
      <w:rPr>
        <w:lang w:val="en-US"/>
      </w:rPr>
      <w:t xml:space="preserve">6.9 Resistance to </w:t>
    </w:r>
    <w:r w:rsidRPr="007E206E">
      <w:rPr>
        <w:i/>
        <w:lang w:val="en-US"/>
      </w:rPr>
      <w:t>Hpa</w:t>
    </w:r>
    <w:r>
      <w:rPr>
        <w:lang w:val="en-US"/>
      </w:rPr>
      <w:t xml:space="preserve"> Noco2 mediated by </w:t>
    </w:r>
    <w:r>
      <w:rPr>
        <w:i/>
        <w:lang w:val="en-US"/>
      </w:rPr>
      <w:t>Psm</w:t>
    </w:r>
    <w:r>
      <w:rPr>
        <w:lang w:val="en-US"/>
      </w:rPr>
      <w:t>-induced SAR</w:t>
    </w: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600C" w:rsidRPr="007C6C83" w:rsidRDefault="00BA600C">
    <w:pPr>
      <w:pStyle w:val="Kopfzeile"/>
      <w:rPr>
        <w:lang w:val="en-US"/>
      </w:rPr>
    </w:pPr>
    <w:r>
      <w:rPr>
        <w:lang w:val="en-US"/>
      </w:rPr>
      <w:t xml:space="preserve">6.10 Metabolite profile of plants infected with </w:t>
    </w:r>
    <w:r w:rsidRPr="003F257B">
      <w:rPr>
        <w:i/>
        <w:lang w:val="en-US"/>
      </w:rPr>
      <w:t>H.arabidopsidis</w:t>
    </w:r>
    <w:r>
      <w:rPr>
        <w:lang w:val="en-US"/>
      </w:rPr>
      <w:t xml:space="preserve"> Cala2</w:t>
    </w: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600C" w:rsidRPr="007C6C83" w:rsidRDefault="00BA600C">
    <w:pPr>
      <w:pStyle w:val="Kopfzeile"/>
      <w:rPr>
        <w:lang w:val="en-US"/>
      </w:rPr>
    </w:pPr>
    <w:r>
      <w:rPr>
        <w:lang w:val="en-US"/>
      </w:rPr>
      <w:t xml:space="preserve">6.11 Analysis of the interaction of </w:t>
    </w:r>
    <w:r w:rsidRPr="0028700E">
      <w:rPr>
        <w:i/>
        <w:lang w:val="en-US"/>
      </w:rPr>
      <w:t>A. thaliana</w:t>
    </w:r>
    <w:r>
      <w:rPr>
        <w:lang w:val="en-US"/>
      </w:rPr>
      <w:t xml:space="preserve"> with the avirulent </w:t>
    </w:r>
    <w:r w:rsidRPr="0028700E">
      <w:rPr>
        <w:i/>
        <w:lang w:val="en-US"/>
      </w:rPr>
      <w:t>Hpa</w:t>
    </w:r>
    <w:r>
      <w:rPr>
        <w:lang w:val="en-US"/>
      </w:rPr>
      <w:t xml:space="preserve"> isolate Cala2</w:t>
    </w: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600C" w:rsidRPr="008C11E1" w:rsidRDefault="00BA600C">
    <w:pPr>
      <w:pStyle w:val="Kopfzeile"/>
      <w:rPr>
        <w:lang w:val="en-US"/>
      </w:rPr>
    </w:pPr>
    <w:r>
      <w:rPr>
        <w:lang w:val="en-US"/>
      </w:rPr>
      <w:t xml:space="preserve">6.12 Metabolite accumulation upon </w:t>
    </w:r>
    <w:r w:rsidRPr="003F257B">
      <w:rPr>
        <w:i/>
        <w:lang w:val="en-US"/>
      </w:rPr>
      <w:t>G.orontii</w:t>
    </w:r>
    <w:r>
      <w:rPr>
        <w:i/>
        <w:lang w:val="en-US"/>
      </w:rPr>
      <w:t>-</w:t>
    </w:r>
    <w:r w:rsidRPr="008C11E1">
      <w:rPr>
        <w:lang w:val="en-US"/>
      </w:rPr>
      <w:t>infection</w:t>
    </w: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600C" w:rsidRPr="008C11E1" w:rsidRDefault="00BA600C">
    <w:pPr>
      <w:pStyle w:val="Kopfzeile"/>
      <w:rPr>
        <w:lang w:val="en-US"/>
      </w:rPr>
    </w:pPr>
    <w:r>
      <w:rPr>
        <w:lang w:val="en-US"/>
      </w:rPr>
      <w:t xml:space="preserve">6.13 Pip does not induce resistance against the powdery mildew </w:t>
    </w:r>
    <w:r w:rsidRPr="00A00740">
      <w:rPr>
        <w:i/>
        <w:lang w:val="en-US"/>
      </w:rPr>
      <w:t>G orontii</w:t>
    </w: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600C" w:rsidRPr="00A26043" w:rsidRDefault="00BA600C">
    <w:pPr>
      <w:pStyle w:val="Kopfzeile"/>
      <w:rPr>
        <w:lang w:val="en-US"/>
      </w:rPr>
    </w:pP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600C" w:rsidRPr="003F257B" w:rsidRDefault="00BA600C" w:rsidP="003F257B">
    <w:pPr>
      <w:pStyle w:val="Kopfzeile"/>
      <w:rPr>
        <w:lang w:val="en-US"/>
      </w:rPr>
    </w:pPr>
    <w:r w:rsidRPr="003F257B">
      <w:rPr>
        <w:lang w:val="en-US"/>
      </w:rPr>
      <w:t xml:space="preserve">6.14 </w:t>
    </w:r>
    <w:r w:rsidRPr="00234277">
      <w:rPr>
        <w:lang w:val="en-US"/>
      </w:rPr>
      <w:t>Dependency of the metabolite accumulation pattern on the lifestyle of the attacking pathogen</w:t>
    </w:r>
  </w:p>
  <w:p w:rsidR="00BA600C" w:rsidRPr="003F257B" w:rsidRDefault="00BA600C" w:rsidP="003F257B">
    <w:pPr>
      <w:pStyle w:val="Kopfzeile"/>
      <w:rPr>
        <w:lang w:val="en-US"/>
      </w:rPr>
    </w:pP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600C" w:rsidRPr="00A26043" w:rsidRDefault="00BA600C">
    <w:pPr>
      <w:pStyle w:val="Kopfzeile"/>
      <w:rPr>
        <w:lang w:val="en-US"/>
      </w:rPr>
    </w:pPr>
    <w:r>
      <w:rPr>
        <w:lang w:val="en-US"/>
      </w:rPr>
      <w:t>6.14 Dependency of the metabolite accumulation pattern on the lifestyle of the attacking pathogen</w:t>
    </w:r>
  </w:p>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600C" w:rsidRPr="003F257B" w:rsidRDefault="00BA600C" w:rsidP="003F257B">
    <w:pPr>
      <w:pStyle w:val="Kopfzeile"/>
      <w:rPr>
        <w:lang w:val="en-US"/>
      </w:rPr>
    </w:pPr>
    <w:r>
      <w:rPr>
        <w:lang w:val="en-US"/>
      </w:rPr>
      <w:t xml:space="preserve">7.1 Unravelling the regulation of defence priming in </w:t>
    </w:r>
    <w:r w:rsidRPr="003F257B">
      <w:rPr>
        <w:i/>
        <w:lang w:val="en-US"/>
      </w:rPr>
      <w:t>A.</w:t>
    </w:r>
    <w:r>
      <w:rPr>
        <w:i/>
        <w:lang w:val="en-US"/>
      </w:rPr>
      <w:t xml:space="preserve"> </w:t>
    </w:r>
    <w:r w:rsidRPr="003F257B">
      <w:rPr>
        <w:i/>
        <w:lang w:val="en-US"/>
      </w:rPr>
      <w:t>thaliana</w:t>
    </w:r>
  </w:p>
  <w:p w:rsidR="00BA600C" w:rsidRPr="003F257B" w:rsidRDefault="00BA600C" w:rsidP="003F257B">
    <w:pPr>
      <w:pStyle w:val="Kopfzeile"/>
      <w:rPr>
        <w:lang w:val="en-US"/>
      </w:rPr>
    </w:pPr>
  </w:p>
</w:hdr>
</file>

<file path=word/header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600C" w:rsidRPr="00A26043" w:rsidRDefault="00BA600C">
    <w:pPr>
      <w:pStyle w:val="Kopfzeile"/>
      <w:rPr>
        <w:lang w:val="en-US"/>
      </w:rPr>
    </w:pPr>
  </w:p>
</w:hdr>
</file>

<file path=word/header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600C" w:rsidRPr="003F257B" w:rsidRDefault="00BA600C" w:rsidP="003F257B">
    <w:pPr>
      <w:pStyle w:val="Kopfzeile"/>
      <w:rPr>
        <w:lang w:val="en-US"/>
      </w:rPr>
    </w:pPr>
    <w:r>
      <w:rPr>
        <w:lang w:val="en-US"/>
      </w:rPr>
      <w:t>7.4 A minor role for MAPK signalling in defence priming</w:t>
    </w:r>
  </w:p>
  <w:p w:rsidR="00BA600C" w:rsidRPr="003F257B" w:rsidRDefault="00BA600C" w:rsidP="003F257B">
    <w:pPr>
      <w:pStyle w:val="Kopfzeile"/>
      <w:rPr>
        <w:lang w:val="en-US"/>
      </w:rPr>
    </w:pPr>
  </w:p>
</w:hdr>
</file>

<file path=word/header3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600C" w:rsidRPr="003F257B" w:rsidRDefault="00BA600C" w:rsidP="003F257B">
    <w:pPr>
      <w:pStyle w:val="Kopfzeile"/>
      <w:rPr>
        <w:lang w:val="en-US"/>
      </w:rPr>
    </w:pPr>
    <w:r>
      <w:rPr>
        <w:lang w:val="en-US"/>
      </w:rPr>
      <w:t xml:space="preserve">7.5 The role of Pip in the interaction of </w:t>
    </w:r>
    <w:r w:rsidRPr="005300AB">
      <w:rPr>
        <w:i/>
        <w:lang w:val="en-US"/>
      </w:rPr>
      <w:t>A.</w:t>
    </w:r>
    <w:r>
      <w:rPr>
        <w:i/>
        <w:lang w:val="en-US"/>
      </w:rPr>
      <w:t xml:space="preserve"> thaliana </w:t>
    </w:r>
    <w:r w:rsidRPr="00572C89">
      <w:rPr>
        <w:lang w:val="en-US"/>
      </w:rPr>
      <w:t>with</w:t>
    </w:r>
    <w:r>
      <w:rPr>
        <w:lang w:val="en-US"/>
      </w:rPr>
      <w:t xml:space="preserve"> the necrotrophic fungus</w:t>
    </w:r>
    <w:r>
      <w:rPr>
        <w:i/>
        <w:lang w:val="en-US"/>
      </w:rPr>
      <w:t xml:space="preserve"> </w:t>
    </w:r>
    <w:r w:rsidRPr="005300AB">
      <w:rPr>
        <w:i/>
        <w:lang w:val="en-US"/>
      </w:rPr>
      <w:t>B.</w:t>
    </w:r>
    <w:r>
      <w:rPr>
        <w:i/>
        <w:lang w:val="en-US"/>
      </w:rPr>
      <w:t xml:space="preserve"> </w:t>
    </w:r>
    <w:r w:rsidRPr="005300AB">
      <w:rPr>
        <w:i/>
        <w:lang w:val="en-US"/>
      </w:rPr>
      <w:t>cinerea</w:t>
    </w:r>
  </w:p>
  <w:p w:rsidR="00BA600C" w:rsidRPr="003F257B" w:rsidRDefault="00BA600C" w:rsidP="003F257B">
    <w:pPr>
      <w:pStyle w:val="Kopfzeile"/>
      <w:rPr>
        <w:lang w:val="en-US"/>
      </w:rPr>
    </w:pPr>
  </w:p>
</w:hdr>
</file>

<file path=word/header3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600C" w:rsidRPr="003F257B" w:rsidRDefault="00BA600C" w:rsidP="003F257B">
    <w:pPr>
      <w:pStyle w:val="Kopfzeile"/>
      <w:rPr>
        <w:lang w:val="en-US"/>
      </w:rPr>
    </w:pPr>
    <w:r>
      <w:rPr>
        <w:lang w:val="en-US"/>
      </w:rPr>
      <w:t xml:space="preserve">7.6 Pip induces resistance against </w:t>
    </w:r>
    <w:r w:rsidRPr="005300AB">
      <w:rPr>
        <w:i/>
        <w:lang w:val="en-US"/>
      </w:rPr>
      <w:t>B.</w:t>
    </w:r>
    <w:r>
      <w:rPr>
        <w:i/>
        <w:lang w:val="en-US"/>
      </w:rPr>
      <w:t xml:space="preserve"> </w:t>
    </w:r>
    <w:r w:rsidRPr="005300AB">
      <w:rPr>
        <w:i/>
        <w:lang w:val="en-US"/>
      </w:rPr>
      <w:t>cinerea</w:t>
    </w:r>
    <w:r>
      <w:rPr>
        <w:lang w:val="en-US"/>
      </w:rPr>
      <w:t xml:space="preserve"> in Col-0 and </w:t>
    </w:r>
    <w:r w:rsidRPr="005300AB">
      <w:rPr>
        <w:i/>
        <w:lang w:val="en-US"/>
      </w:rPr>
      <w:t>ald1</w:t>
    </w:r>
    <w:r>
      <w:rPr>
        <w:i/>
        <w:lang w:val="en-US"/>
      </w:rPr>
      <w:t xml:space="preserve">, </w:t>
    </w:r>
    <w:r w:rsidRPr="001060A8">
      <w:rPr>
        <w:lang w:val="en-US"/>
      </w:rPr>
      <w:t>but exacerbates disease in</w:t>
    </w:r>
    <w:r>
      <w:rPr>
        <w:i/>
        <w:lang w:val="en-US"/>
      </w:rPr>
      <w:t xml:space="preserve"> sid2 and coi1</w:t>
    </w:r>
  </w:p>
  <w:p w:rsidR="00BA600C" w:rsidRPr="003F257B" w:rsidRDefault="00BA600C" w:rsidP="003F257B">
    <w:pPr>
      <w:pStyle w:val="Kopfzeile"/>
      <w:rPr>
        <w:lang w:val="en-US"/>
      </w:rPr>
    </w:pPr>
  </w:p>
</w:hdr>
</file>

<file path=word/header4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600C" w:rsidRPr="003F257B" w:rsidRDefault="00BA600C" w:rsidP="003F257B">
    <w:pPr>
      <w:pStyle w:val="Kopfzeile"/>
      <w:rPr>
        <w:lang w:val="en-US"/>
      </w:rPr>
    </w:pPr>
    <w:r>
      <w:rPr>
        <w:lang w:val="en-US"/>
      </w:rPr>
      <w:t xml:space="preserve">7.7 Changes in metabolite composition of </w:t>
    </w:r>
    <w:r w:rsidRPr="001060A8">
      <w:rPr>
        <w:i/>
        <w:lang w:val="en-US"/>
      </w:rPr>
      <w:t>A. thaliana</w:t>
    </w:r>
    <w:r>
      <w:rPr>
        <w:lang w:val="en-US"/>
      </w:rPr>
      <w:t xml:space="preserve"> plants infected with a virulent and an avirulent isolate of </w:t>
    </w:r>
    <w:r w:rsidRPr="001060A8">
      <w:rPr>
        <w:i/>
        <w:lang w:val="en-US"/>
      </w:rPr>
      <w:t>Hpa</w:t>
    </w:r>
  </w:p>
  <w:p w:rsidR="00BA600C" w:rsidRPr="003F257B" w:rsidRDefault="00BA600C" w:rsidP="003F257B">
    <w:pPr>
      <w:pStyle w:val="Kopfzeile"/>
      <w:rPr>
        <w:lang w:val="en-US"/>
      </w:rPr>
    </w:pPr>
  </w:p>
</w:hdr>
</file>

<file path=word/header4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600C" w:rsidRPr="003F257B" w:rsidRDefault="00BA600C" w:rsidP="003F257B">
    <w:pPr>
      <w:pStyle w:val="Kopfzeile"/>
      <w:rPr>
        <w:lang w:val="en-US"/>
      </w:rPr>
    </w:pPr>
    <w:r>
      <w:rPr>
        <w:lang w:val="en-US"/>
      </w:rPr>
      <w:t xml:space="preserve">7.8 Pip-IR against </w:t>
    </w:r>
    <w:r>
      <w:rPr>
        <w:i/>
        <w:lang w:val="en-US"/>
      </w:rPr>
      <w:t>Hpa</w:t>
    </w:r>
    <w:r>
      <w:rPr>
        <w:lang w:val="en-US"/>
      </w:rPr>
      <w:t xml:space="preserve"> is dependent on FMO1 and SA-accumulation</w:t>
    </w:r>
  </w:p>
  <w:p w:rsidR="00BA600C" w:rsidRPr="003F257B" w:rsidRDefault="00BA600C" w:rsidP="003F257B">
    <w:pPr>
      <w:pStyle w:val="Kopfzeile"/>
      <w:rPr>
        <w:lang w:val="en-US"/>
      </w:rPr>
    </w:pPr>
  </w:p>
</w:hdr>
</file>

<file path=word/header4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600C" w:rsidRPr="00A26043" w:rsidRDefault="00BA600C">
    <w:pPr>
      <w:pStyle w:val="Kopfzeile"/>
      <w:rPr>
        <w:lang w:val="en-US"/>
      </w:rPr>
    </w:pPr>
  </w:p>
</w:hdr>
</file>

<file path=word/header4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600C" w:rsidRPr="003F257B" w:rsidRDefault="00BA600C" w:rsidP="003F257B">
    <w:pPr>
      <w:pStyle w:val="Kopfzeile"/>
      <w:rPr>
        <w:lang w:val="en-US"/>
      </w:rPr>
    </w:pPr>
    <w:r>
      <w:rPr>
        <w:lang w:val="en-US"/>
      </w:rPr>
      <w:t xml:space="preserve">7.9 Pip- and SA-dependency of </w:t>
    </w:r>
    <w:r w:rsidRPr="009846F5">
      <w:rPr>
        <w:i/>
        <w:lang w:val="en-US"/>
      </w:rPr>
      <w:t>Psm</w:t>
    </w:r>
    <w:r>
      <w:rPr>
        <w:lang w:val="en-US"/>
      </w:rPr>
      <w:t xml:space="preserve">-induced SAR against </w:t>
    </w:r>
    <w:r w:rsidRPr="006C7BF4">
      <w:rPr>
        <w:i/>
        <w:lang w:val="en-US"/>
      </w:rPr>
      <w:t>Hpa</w:t>
    </w:r>
    <w:r>
      <w:rPr>
        <w:lang w:val="en-US"/>
      </w:rPr>
      <w:t xml:space="preserve"> Noco2 </w:t>
    </w:r>
  </w:p>
</w:hdr>
</file>

<file path=word/header4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600C" w:rsidRPr="003F257B" w:rsidRDefault="00BA600C" w:rsidP="003F257B">
    <w:pPr>
      <w:pStyle w:val="Kopfzeile"/>
      <w:rPr>
        <w:lang w:val="en-US"/>
      </w:rPr>
    </w:pPr>
    <w:r>
      <w:rPr>
        <w:lang w:val="en-US"/>
      </w:rPr>
      <w:t xml:space="preserve">7.10 Comparative metabolite profiling in plants infected with </w:t>
    </w:r>
    <w:r w:rsidRPr="005300AB">
      <w:rPr>
        <w:i/>
        <w:lang w:val="en-US"/>
      </w:rPr>
      <w:t>G.</w:t>
    </w:r>
    <w:r>
      <w:rPr>
        <w:i/>
        <w:lang w:val="en-US"/>
      </w:rPr>
      <w:t xml:space="preserve"> </w:t>
    </w:r>
    <w:r w:rsidRPr="005300AB">
      <w:rPr>
        <w:i/>
        <w:lang w:val="en-US"/>
      </w:rPr>
      <w:t>orontii</w:t>
    </w:r>
  </w:p>
  <w:p w:rsidR="00BA600C" w:rsidRPr="003F257B" w:rsidRDefault="00BA600C" w:rsidP="003F257B">
    <w:pPr>
      <w:pStyle w:val="Kopfzeile"/>
      <w:rPr>
        <w:lang w:val="en-US"/>
      </w:rPr>
    </w:pPr>
  </w:p>
</w:hdr>
</file>

<file path=word/header4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600C" w:rsidRPr="003F257B" w:rsidRDefault="00BA600C" w:rsidP="003F257B">
    <w:pPr>
      <w:pStyle w:val="Kopfzeile"/>
      <w:rPr>
        <w:lang w:val="en-US"/>
      </w:rPr>
    </w:pPr>
    <w:r>
      <w:rPr>
        <w:lang w:val="en-US"/>
      </w:rPr>
      <w:t xml:space="preserve">7.11 Lack of Pip-induced resistance against the powdery mildew </w:t>
    </w:r>
    <w:r w:rsidRPr="005300AB">
      <w:rPr>
        <w:i/>
        <w:lang w:val="en-US"/>
      </w:rPr>
      <w:t>G.</w:t>
    </w:r>
    <w:r>
      <w:rPr>
        <w:i/>
        <w:lang w:val="en-US"/>
      </w:rPr>
      <w:t xml:space="preserve"> </w:t>
    </w:r>
    <w:r w:rsidRPr="005300AB">
      <w:rPr>
        <w:i/>
        <w:lang w:val="en-US"/>
      </w:rPr>
      <w:t>orontii</w:t>
    </w:r>
  </w:p>
  <w:p w:rsidR="00BA600C" w:rsidRPr="003F257B" w:rsidRDefault="00BA600C" w:rsidP="003F257B">
    <w:pPr>
      <w:pStyle w:val="Kopfzeile"/>
      <w:rPr>
        <w:lang w:val="en-US"/>
      </w:rPr>
    </w:pPr>
  </w:p>
</w:hdr>
</file>

<file path=word/header4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600C" w:rsidRPr="003F257B" w:rsidRDefault="00BA600C" w:rsidP="003F257B">
    <w:pPr>
      <w:pStyle w:val="Kopfzeile"/>
      <w:rPr>
        <w:lang w:val="en-US"/>
      </w:rPr>
    </w:pPr>
    <w:r>
      <w:rPr>
        <w:lang w:val="en-US"/>
      </w:rPr>
      <w:t>7.12 The profile of metabolite accumulation depends on the attacking microbe</w:t>
    </w:r>
  </w:p>
  <w:p w:rsidR="00BA600C" w:rsidRPr="003F257B" w:rsidRDefault="00BA600C" w:rsidP="003F257B">
    <w:pPr>
      <w:pStyle w:val="Kopfzeile"/>
      <w:rPr>
        <w:lang w:val="en-US"/>
      </w:rPr>
    </w:pPr>
  </w:p>
</w:hdr>
</file>

<file path=word/header4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600C" w:rsidRPr="003F257B" w:rsidRDefault="00BA600C" w:rsidP="003F257B">
    <w:pPr>
      <w:pStyle w:val="Kopfzeile"/>
      <w:rPr>
        <w:lang w:val="en-US"/>
      </w:rPr>
    </w:pPr>
  </w:p>
</w:hdr>
</file>

<file path=word/header4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600C" w:rsidRPr="00A26043" w:rsidRDefault="00BA600C">
    <w:pPr>
      <w:pStyle w:val="Kopfzeile"/>
      <w:rPr>
        <w:lang w:val="en-US"/>
      </w:rPr>
    </w:pPr>
  </w:p>
</w:hdr>
</file>

<file path=word/header4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600C" w:rsidRPr="003F257B" w:rsidRDefault="00BA600C" w:rsidP="003F257B">
    <w:pPr>
      <w:pStyle w:val="Kopfzeile"/>
      <w:rPr>
        <w:lang w:val="en-US"/>
      </w:rPr>
    </w:pPr>
  </w:p>
  <w:p w:rsidR="00BA600C" w:rsidRPr="003F257B" w:rsidRDefault="00BA600C" w:rsidP="003F257B">
    <w:pPr>
      <w:pStyle w:val="Kopfzeile"/>
      <w:rPr>
        <w:lang w:val="en-US"/>
      </w:rPr>
    </w:pPr>
  </w:p>
</w:hdr>
</file>

<file path=word/header5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600C" w:rsidRPr="00A26043" w:rsidRDefault="00BA600C">
    <w:pPr>
      <w:pStyle w:val="Kopfzeile"/>
      <w:rPr>
        <w:lang w:val="en-US"/>
      </w:rPr>
    </w:pPr>
  </w:p>
</w:hdr>
</file>

<file path=word/header5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600C" w:rsidRPr="003F257B" w:rsidRDefault="00BA600C" w:rsidP="003F257B">
    <w:pPr>
      <w:pStyle w:val="Kopfzeile"/>
      <w:rPr>
        <w:lang w:val="en-US"/>
      </w:rPr>
    </w:pPr>
  </w:p>
  <w:p w:rsidR="00BA600C" w:rsidRPr="003F257B" w:rsidRDefault="00BA600C" w:rsidP="003F257B">
    <w:pPr>
      <w:pStyle w:val="Kopfzeile"/>
      <w:rPr>
        <w:lang w:val="en-US"/>
      </w:rPr>
    </w:pPr>
    <w:r>
      <w:rPr>
        <w:lang w:val="en-US"/>
      </w:rPr>
      <w:t>10 Appendix</w:t>
    </w:r>
  </w:p>
</w:hdr>
</file>

<file path=word/header5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600C" w:rsidRPr="00A26043" w:rsidRDefault="00BA600C">
    <w:pPr>
      <w:pStyle w:val="Kopfzeile"/>
      <w:rPr>
        <w:lang w:val="en-US"/>
      </w:rPr>
    </w:pPr>
  </w:p>
</w:hdr>
</file>

<file path=word/header5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600C" w:rsidRPr="003F257B" w:rsidRDefault="00BA600C" w:rsidP="003F257B">
    <w:pPr>
      <w:pStyle w:val="Kopfzeile"/>
      <w:rPr>
        <w:lang w:val="en-US"/>
      </w:rPr>
    </w:pPr>
  </w:p>
  <w:p w:rsidR="00BA600C" w:rsidRPr="003F257B" w:rsidRDefault="00BA600C" w:rsidP="003F257B">
    <w:pPr>
      <w:pStyle w:val="Kopfzeile"/>
      <w:rPr>
        <w:lang w:val="en-US"/>
      </w:rPr>
    </w:pPr>
    <w:r>
      <w:rPr>
        <w:lang w:val="en-US"/>
      </w:rPr>
      <w:t xml:space="preserve">12 </w:t>
    </w:r>
    <w:r w:rsidRPr="00210311">
      <w:rPr>
        <w:i/>
        <w:lang w:val="en-US"/>
      </w:rPr>
      <w:t>Curriculum vitae</w:t>
    </w:r>
  </w:p>
</w:hdr>
</file>

<file path=word/header5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600C" w:rsidRPr="003F257B" w:rsidRDefault="00BA600C" w:rsidP="003F257B">
    <w:pPr>
      <w:pStyle w:val="Kopfzeile"/>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914CCA"/>
    <w:multiLevelType w:val="hybridMultilevel"/>
    <w:tmpl w:val="69344FBA"/>
    <w:lvl w:ilvl="0" w:tplc="04CEBA94">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nsid w:val="21A914ED"/>
    <w:multiLevelType w:val="hybridMultilevel"/>
    <w:tmpl w:val="D3981E9C"/>
    <w:lvl w:ilvl="0" w:tplc="66600B1E">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nsid w:val="2F592169"/>
    <w:multiLevelType w:val="hybridMultilevel"/>
    <w:tmpl w:val="5144F86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nsid w:val="4A462008"/>
    <w:multiLevelType w:val="singleLevel"/>
    <w:tmpl w:val="0809000F"/>
    <w:lvl w:ilvl="0">
      <w:start w:val="1"/>
      <w:numFmt w:val="decimal"/>
      <w:lvlText w:val="%1."/>
      <w:lvlJc w:val="left"/>
      <w:pPr>
        <w:tabs>
          <w:tab w:val="num" w:pos="360"/>
        </w:tabs>
        <w:ind w:left="360" w:hanging="360"/>
      </w:pPr>
    </w:lvl>
  </w:abstractNum>
  <w:abstractNum w:abstractNumId="4">
    <w:nsid w:val="69B519FB"/>
    <w:multiLevelType w:val="hybridMultilevel"/>
    <w:tmpl w:val="008EC6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4"/>
  </w:num>
  <w:num w:numId="3">
    <w:abstractNumId w:val="0"/>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5EC9"/>
    <w:rsid w:val="00000717"/>
    <w:rsid w:val="00003B35"/>
    <w:rsid w:val="000046B8"/>
    <w:rsid w:val="000051E3"/>
    <w:rsid w:val="00005817"/>
    <w:rsid w:val="000058DC"/>
    <w:rsid w:val="00006348"/>
    <w:rsid w:val="000079DA"/>
    <w:rsid w:val="0001108A"/>
    <w:rsid w:val="00011985"/>
    <w:rsid w:val="00011C95"/>
    <w:rsid w:val="0001236A"/>
    <w:rsid w:val="00013380"/>
    <w:rsid w:val="00013F4E"/>
    <w:rsid w:val="0001417D"/>
    <w:rsid w:val="00014252"/>
    <w:rsid w:val="0001471F"/>
    <w:rsid w:val="00016688"/>
    <w:rsid w:val="00016B1C"/>
    <w:rsid w:val="000215E2"/>
    <w:rsid w:val="000217AD"/>
    <w:rsid w:val="000229B7"/>
    <w:rsid w:val="00024971"/>
    <w:rsid w:val="0002539E"/>
    <w:rsid w:val="000255EA"/>
    <w:rsid w:val="00025E1C"/>
    <w:rsid w:val="0002600F"/>
    <w:rsid w:val="0003017A"/>
    <w:rsid w:val="0003023A"/>
    <w:rsid w:val="0003389F"/>
    <w:rsid w:val="00035848"/>
    <w:rsid w:val="00040BE7"/>
    <w:rsid w:val="00046A3F"/>
    <w:rsid w:val="000471F8"/>
    <w:rsid w:val="000510B6"/>
    <w:rsid w:val="0005164A"/>
    <w:rsid w:val="00051F61"/>
    <w:rsid w:val="000525A8"/>
    <w:rsid w:val="000535F6"/>
    <w:rsid w:val="00054D02"/>
    <w:rsid w:val="00054E1D"/>
    <w:rsid w:val="0006014D"/>
    <w:rsid w:val="00064543"/>
    <w:rsid w:val="00067298"/>
    <w:rsid w:val="00067D6A"/>
    <w:rsid w:val="00070C50"/>
    <w:rsid w:val="00071CA3"/>
    <w:rsid w:val="0007354F"/>
    <w:rsid w:val="000773A2"/>
    <w:rsid w:val="00077FF2"/>
    <w:rsid w:val="0008097A"/>
    <w:rsid w:val="00081481"/>
    <w:rsid w:val="0008349C"/>
    <w:rsid w:val="00083768"/>
    <w:rsid w:val="0008597B"/>
    <w:rsid w:val="00086577"/>
    <w:rsid w:val="0009186D"/>
    <w:rsid w:val="0009213E"/>
    <w:rsid w:val="000931FF"/>
    <w:rsid w:val="00094ED3"/>
    <w:rsid w:val="00095228"/>
    <w:rsid w:val="00096EE1"/>
    <w:rsid w:val="00096F03"/>
    <w:rsid w:val="000A0576"/>
    <w:rsid w:val="000A12E4"/>
    <w:rsid w:val="000A18C0"/>
    <w:rsid w:val="000A2368"/>
    <w:rsid w:val="000A29E1"/>
    <w:rsid w:val="000A2A36"/>
    <w:rsid w:val="000A5660"/>
    <w:rsid w:val="000B11A7"/>
    <w:rsid w:val="000B319C"/>
    <w:rsid w:val="000B3BC2"/>
    <w:rsid w:val="000B3C3E"/>
    <w:rsid w:val="000B3D99"/>
    <w:rsid w:val="000B4D4B"/>
    <w:rsid w:val="000B55CC"/>
    <w:rsid w:val="000B7532"/>
    <w:rsid w:val="000B7C64"/>
    <w:rsid w:val="000C01F4"/>
    <w:rsid w:val="000C0A4E"/>
    <w:rsid w:val="000C243C"/>
    <w:rsid w:val="000D2AE3"/>
    <w:rsid w:val="000D2EF7"/>
    <w:rsid w:val="000D4679"/>
    <w:rsid w:val="000D627F"/>
    <w:rsid w:val="000D65BD"/>
    <w:rsid w:val="000D6F0C"/>
    <w:rsid w:val="000E06E1"/>
    <w:rsid w:val="000E131B"/>
    <w:rsid w:val="000E221F"/>
    <w:rsid w:val="000E2F33"/>
    <w:rsid w:val="000E2FDB"/>
    <w:rsid w:val="000E38E0"/>
    <w:rsid w:val="000E49AB"/>
    <w:rsid w:val="000E49B0"/>
    <w:rsid w:val="000E7BB1"/>
    <w:rsid w:val="000F1361"/>
    <w:rsid w:val="000F223B"/>
    <w:rsid w:val="000F47F4"/>
    <w:rsid w:val="001022FC"/>
    <w:rsid w:val="001026A3"/>
    <w:rsid w:val="00102B90"/>
    <w:rsid w:val="00103C4A"/>
    <w:rsid w:val="001041D5"/>
    <w:rsid w:val="00104C4E"/>
    <w:rsid w:val="0010515D"/>
    <w:rsid w:val="00105FBB"/>
    <w:rsid w:val="001060A8"/>
    <w:rsid w:val="001075AB"/>
    <w:rsid w:val="00111B74"/>
    <w:rsid w:val="0011435A"/>
    <w:rsid w:val="00114F97"/>
    <w:rsid w:val="001159EE"/>
    <w:rsid w:val="0011749B"/>
    <w:rsid w:val="00117B6E"/>
    <w:rsid w:val="00130AAE"/>
    <w:rsid w:val="0013292C"/>
    <w:rsid w:val="00132AD6"/>
    <w:rsid w:val="0013633D"/>
    <w:rsid w:val="00137991"/>
    <w:rsid w:val="00140CEE"/>
    <w:rsid w:val="00140E7F"/>
    <w:rsid w:val="00140F99"/>
    <w:rsid w:val="00143760"/>
    <w:rsid w:val="00143D30"/>
    <w:rsid w:val="00144A6A"/>
    <w:rsid w:val="00144F0F"/>
    <w:rsid w:val="00145B22"/>
    <w:rsid w:val="00150418"/>
    <w:rsid w:val="00150C83"/>
    <w:rsid w:val="001628FF"/>
    <w:rsid w:val="00163C73"/>
    <w:rsid w:val="00165578"/>
    <w:rsid w:val="0016645B"/>
    <w:rsid w:val="00173FB2"/>
    <w:rsid w:val="00174B4D"/>
    <w:rsid w:val="00175611"/>
    <w:rsid w:val="001762F5"/>
    <w:rsid w:val="00177F05"/>
    <w:rsid w:val="00181BBF"/>
    <w:rsid w:val="001830A9"/>
    <w:rsid w:val="001846FA"/>
    <w:rsid w:val="0018787E"/>
    <w:rsid w:val="00187883"/>
    <w:rsid w:val="001900E0"/>
    <w:rsid w:val="00192495"/>
    <w:rsid w:val="00192B77"/>
    <w:rsid w:val="0019423F"/>
    <w:rsid w:val="0019424D"/>
    <w:rsid w:val="00194CAD"/>
    <w:rsid w:val="001960C5"/>
    <w:rsid w:val="00196B44"/>
    <w:rsid w:val="00197F62"/>
    <w:rsid w:val="001A2028"/>
    <w:rsid w:val="001A258A"/>
    <w:rsid w:val="001A3685"/>
    <w:rsid w:val="001A49D9"/>
    <w:rsid w:val="001A528F"/>
    <w:rsid w:val="001A54A2"/>
    <w:rsid w:val="001A6B74"/>
    <w:rsid w:val="001A7893"/>
    <w:rsid w:val="001B0B1B"/>
    <w:rsid w:val="001B290E"/>
    <w:rsid w:val="001B35FA"/>
    <w:rsid w:val="001B4CF7"/>
    <w:rsid w:val="001B6360"/>
    <w:rsid w:val="001B6982"/>
    <w:rsid w:val="001B7FD3"/>
    <w:rsid w:val="001C04C3"/>
    <w:rsid w:val="001C100A"/>
    <w:rsid w:val="001C1FA7"/>
    <w:rsid w:val="001C6F8A"/>
    <w:rsid w:val="001C70BA"/>
    <w:rsid w:val="001C79B4"/>
    <w:rsid w:val="001C7E95"/>
    <w:rsid w:val="001D05F9"/>
    <w:rsid w:val="001D06E3"/>
    <w:rsid w:val="001D1A87"/>
    <w:rsid w:val="001D4A89"/>
    <w:rsid w:val="001D7E05"/>
    <w:rsid w:val="001E1EEA"/>
    <w:rsid w:val="001E38F0"/>
    <w:rsid w:val="001E3F07"/>
    <w:rsid w:val="001F1464"/>
    <w:rsid w:val="001F3CC7"/>
    <w:rsid w:val="001F5989"/>
    <w:rsid w:val="001F5EB3"/>
    <w:rsid w:val="0020192A"/>
    <w:rsid w:val="00202646"/>
    <w:rsid w:val="0020502E"/>
    <w:rsid w:val="00205190"/>
    <w:rsid w:val="00210311"/>
    <w:rsid w:val="00210973"/>
    <w:rsid w:val="00212A16"/>
    <w:rsid w:val="00213AAE"/>
    <w:rsid w:val="002145DF"/>
    <w:rsid w:val="00214FB9"/>
    <w:rsid w:val="00215715"/>
    <w:rsid w:val="00215D00"/>
    <w:rsid w:val="002166F9"/>
    <w:rsid w:val="002174D1"/>
    <w:rsid w:val="002219D8"/>
    <w:rsid w:val="00224B83"/>
    <w:rsid w:val="00226AB4"/>
    <w:rsid w:val="00226D2C"/>
    <w:rsid w:val="002307B7"/>
    <w:rsid w:val="00234277"/>
    <w:rsid w:val="00234DF7"/>
    <w:rsid w:val="002357C2"/>
    <w:rsid w:val="00235AD0"/>
    <w:rsid w:val="002360D2"/>
    <w:rsid w:val="00237FC0"/>
    <w:rsid w:val="00240ED7"/>
    <w:rsid w:val="00242476"/>
    <w:rsid w:val="0024359A"/>
    <w:rsid w:val="002446BC"/>
    <w:rsid w:val="00244E7C"/>
    <w:rsid w:val="00251283"/>
    <w:rsid w:val="00251357"/>
    <w:rsid w:val="00251EC9"/>
    <w:rsid w:val="00252440"/>
    <w:rsid w:val="002565A6"/>
    <w:rsid w:val="00256EF4"/>
    <w:rsid w:val="0025710B"/>
    <w:rsid w:val="002655A0"/>
    <w:rsid w:val="002674E2"/>
    <w:rsid w:val="00270F1D"/>
    <w:rsid w:val="002724BE"/>
    <w:rsid w:val="0027250F"/>
    <w:rsid w:val="00273A37"/>
    <w:rsid w:val="00274B02"/>
    <w:rsid w:val="0027592A"/>
    <w:rsid w:val="00277267"/>
    <w:rsid w:val="002772C5"/>
    <w:rsid w:val="00277DCD"/>
    <w:rsid w:val="00280ABE"/>
    <w:rsid w:val="0028135B"/>
    <w:rsid w:val="002820EE"/>
    <w:rsid w:val="002824C9"/>
    <w:rsid w:val="0028343D"/>
    <w:rsid w:val="00283637"/>
    <w:rsid w:val="00284518"/>
    <w:rsid w:val="0028502D"/>
    <w:rsid w:val="00286D2C"/>
    <w:rsid w:val="0028700E"/>
    <w:rsid w:val="00290034"/>
    <w:rsid w:val="0029491B"/>
    <w:rsid w:val="00294C4C"/>
    <w:rsid w:val="002952A5"/>
    <w:rsid w:val="002A0344"/>
    <w:rsid w:val="002A2935"/>
    <w:rsid w:val="002A4812"/>
    <w:rsid w:val="002A6481"/>
    <w:rsid w:val="002B02FB"/>
    <w:rsid w:val="002B03E0"/>
    <w:rsid w:val="002B4F7F"/>
    <w:rsid w:val="002B56FB"/>
    <w:rsid w:val="002B65C6"/>
    <w:rsid w:val="002B77E0"/>
    <w:rsid w:val="002C2DE3"/>
    <w:rsid w:val="002C3211"/>
    <w:rsid w:val="002C5A64"/>
    <w:rsid w:val="002D2AA1"/>
    <w:rsid w:val="002D451E"/>
    <w:rsid w:val="002D4E0E"/>
    <w:rsid w:val="002D60F0"/>
    <w:rsid w:val="002D706C"/>
    <w:rsid w:val="002D7710"/>
    <w:rsid w:val="002E5900"/>
    <w:rsid w:val="002E5E1B"/>
    <w:rsid w:val="002E6D94"/>
    <w:rsid w:val="002E766F"/>
    <w:rsid w:val="002F4BA1"/>
    <w:rsid w:val="002F653F"/>
    <w:rsid w:val="002F6BB0"/>
    <w:rsid w:val="002F715B"/>
    <w:rsid w:val="003009FB"/>
    <w:rsid w:val="00301015"/>
    <w:rsid w:val="00304E7B"/>
    <w:rsid w:val="00305A94"/>
    <w:rsid w:val="003108D6"/>
    <w:rsid w:val="00310B0C"/>
    <w:rsid w:val="0031142B"/>
    <w:rsid w:val="00311945"/>
    <w:rsid w:val="00311C03"/>
    <w:rsid w:val="00315B08"/>
    <w:rsid w:val="0031624F"/>
    <w:rsid w:val="00316D21"/>
    <w:rsid w:val="003202AD"/>
    <w:rsid w:val="0032031A"/>
    <w:rsid w:val="00322078"/>
    <w:rsid w:val="00322EBA"/>
    <w:rsid w:val="00324F02"/>
    <w:rsid w:val="003250EC"/>
    <w:rsid w:val="003259E6"/>
    <w:rsid w:val="00326B05"/>
    <w:rsid w:val="00327BA7"/>
    <w:rsid w:val="00330576"/>
    <w:rsid w:val="00331E70"/>
    <w:rsid w:val="00333BE4"/>
    <w:rsid w:val="00334667"/>
    <w:rsid w:val="0033604A"/>
    <w:rsid w:val="00336F1A"/>
    <w:rsid w:val="00337C1B"/>
    <w:rsid w:val="0034022A"/>
    <w:rsid w:val="00340C68"/>
    <w:rsid w:val="00343090"/>
    <w:rsid w:val="00344122"/>
    <w:rsid w:val="00350E04"/>
    <w:rsid w:val="00356BAC"/>
    <w:rsid w:val="00357101"/>
    <w:rsid w:val="00360025"/>
    <w:rsid w:val="00361C85"/>
    <w:rsid w:val="00361F8E"/>
    <w:rsid w:val="003620B2"/>
    <w:rsid w:val="00362279"/>
    <w:rsid w:val="00363420"/>
    <w:rsid w:val="00364566"/>
    <w:rsid w:val="00364C23"/>
    <w:rsid w:val="0036529E"/>
    <w:rsid w:val="0036564F"/>
    <w:rsid w:val="00366607"/>
    <w:rsid w:val="00367069"/>
    <w:rsid w:val="00367904"/>
    <w:rsid w:val="00367AB7"/>
    <w:rsid w:val="00374591"/>
    <w:rsid w:val="00376FC6"/>
    <w:rsid w:val="0037712D"/>
    <w:rsid w:val="00377D58"/>
    <w:rsid w:val="00377E74"/>
    <w:rsid w:val="0038107C"/>
    <w:rsid w:val="00382EBE"/>
    <w:rsid w:val="00383EEF"/>
    <w:rsid w:val="00384CBA"/>
    <w:rsid w:val="00384CEE"/>
    <w:rsid w:val="00387575"/>
    <w:rsid w:val="00396B1F"/>
    <w:rsid w:val="00396F10"/>
    <w:rsid w:val="003A084B"/>
    <w:rsid w:val="003A1996"/>
    <w:rsid w:val="003A2533"/>
    <w:rsid w:val="003A72FB"/>
    <w:rsid w:val="003A7C4A"/>
    <w:rsid w:val="003A7CCE"/>
    <w:rsid w:val="003B0A52"/>
    <w:rsid w:val="003B100F"/>
    <w:rsid w:val="003B4F76"/>
    <w:rsid w:val="003B510C"/>
    <w:rsid w:val="003B543F"/>
    <w:rsid w:val="003B6C79"/>
    <w:rsid w:val="003C3DB8"/>
    <w:rsid w:val="003C4399"/>
    <w:rsid w:val="003C51F4"/>
    <w:rsid w:val="003C67B0"/>
    <w:rsid w:val="003C7329"/>
    <w:rsid w:val="003C79A5"/>
    <w:rsid w:val="003D1A7E"/>
    <w:rsid w:val="003E1156"/>
    <w:rsid w:val="003E14AC"/>
    <w:rsid w:val="003E32AD"/>
    <w:rsid w:val="003E39D8"/>
    <w:rsid w:val="003E3A3D"/>
    <w:rsid w:val="003E3FA6"/>
    <w:rsid w:val="003E40A9"/>
    <w:rsid w:val="003E5D89"/>
    <w:rsid w:val="003E7217"/>
    <w:rsid w:val="003E72FB"/>
    <w:rsid w:val="003F04CC"/>
    <w:rsid w:val="003F0A51"/>
    <w:rsid w:val="003F257B"/>
    <w:rsid w:val="003F4016"/>
    <w:rsid w:val="003F4437"/>
    <w:rsid w:val="0040147B"/>
    <w:rsid w:val="00402826"/>
    <w:rsid w:val="00403EC9"/>
    <w:rsid w:val="00405A4F"/>
    <w:rsid w:val="00407BBF"/>
    <w:rsid w:val="00414D12"/>
    <w:rsid w:val="00416B4B"/>
    <w:rsid w:val="00416D68"/>
    <w:rsid w:val="00420F6E"/>
    <w:rsid w:val="004211F7"/>
    <w:rsid w:val="004212CB"/>
    <w:rsid w:val="00421E4C"/>
    <w:rsid w:val="00422649"/>
    <w:rsid w:val="00422AEA"/>
    <w:rsid w:val="004241A5"/>
    <w:rsid w:val="00425FED"/>
    <w:rsid w:val="004262B4"/>
    <w:rsid w:val="00431343"/>
    <w:rsid w:val="00432D8A"/>
    <w:rsid w:val="0043331F"/>
    <w:rsid w:val="004351A3"/>
    <w:rsid w:val="004351CA"/>
    <w:rsid w:val="004373C9"/>
    <w:rsid w:val="00440469"/>
    <w:rsid w:val="00440DEE"/>
    <w:rsid w:val="00443654"/>
    <w:rsid w:val="00443776"/>
    <w:rsid w:val="00443DBC"/>
    <w:rsid w:val="00444945"/>
    <w:rsid w:val="0044591B"/>
    <w:rsid w:val="00446933"/>
    <w:rsid w:val="00452E80"/>
    <w:rsid w:val="004559EF"/>
    <w:rsid w:val="004578A3"/>
    <w:rsid w:val="004612C8"/>
    <w:rsid w:val="004621C2"/>
    <w:rsid w:val="00465AEC"/>
    <w:rsid w:val="00466CCB"/>
    <w:rsid w:val="004671DD"/>
    <w:rsid w:val="00471126"/>
    <w:rsid w:val="00471EB9"/>
    <w:rsid w:val="0047482A"/>
    <w:rsid w:val="00476826"/>
    <w:rsid w:val="00476CE8"/>
    <w:rsid w:val="00481917"/>
    <w:rsid w:val="00481FD0"/>
    <w:rsid w:val="0048444F"/>
    <w:rsid w:val="004927F1"/>
    <w:rsid w:val="00493940"/>
    <w:rsid w:val="004944BF"/>
    <w:rsid w:val="0049556B"/>
    <w:rsid w:val="00495667"/>
    <w:rsid w:val="00497642"/>
    <w:rsid w:val="004A1292"/>
    <w:rsid w:val="004B34F6"/>
    <w:rsid w:val="004B69A1"/>
    <w:rsid w:val="004C1A76"/>
    <w:rsid w:val="004C20DE"/>
    <w:rsid w:val="004C4450"/>
    <w:rsid w:val="004D06C6"/>
    <w:rsid w:val="004D18A7"/>
    <w:rsid w:val="004D29A0"/>
    <w:rsid w:val="004D3077"/>
    <w:rsid w:val="004D32E4"/>
    <w:rsid w:val="004D3C19"/>
    <w:rsid w:val="004D63EC"/>
    <w:rsid w:val="004D6DF9"/>
    <w:rsid w:val="004D7F38"/>
    <w:rsid w:val="004E2BAB"/>
    <w:rsid w:val="004E5113"/>
    <w:rsid w:val="004F15E3"/>
    <w:rsid w:val="004F1FCC"/>
    <w:rsid w:val="004F263E"/>
    <w:rsid w:val="004F4985"/>
    <w:rsid w:val="004F4BBD"/>
    <w:rsid w:val="00501072"/>
    <w:rsid w:val="00502813"/>
    <w:rsid w:val="00505906"/>
    <w:rsid w:val="0050775E"/>
    <w:rsid w:val="0051098E"/>
    <w:rsid w:val="00511026"/>
    <w:rsid w:val="00513D22"/>
    <w:rsid w:val="005177A2"/>
    <w:rsid w:val="005179C2"/>
    <w:rsid w:val="00521185"/>
    <w:rsid w:val="00522096"/>
    <w:rsid w:val="00522A61"/>
    <w:rsid w:val="00525AB5"/>
    <w:rsid w:val="00525DE8"/>
    <w:rsid w:val="00527A0E"/>
    <w:rsid w:val="005300AB"/>
    <w:rsid w:val="00530B06"/>
    <w:rsid w:val="0053368E"/>
    <w:rsid w:val="00540183"/>
    <w:rsid w:val="0054388F"/>
    <w:rsid w:val="00543A06"/>
    <w:rsid w:val="005451B9"/>
    <w:rsid w:val="005477C7"/>
    <w:rsid w:val="00547A7D"/>
    <w:rsid w:val="005521DF"/>
    <w:rsid w:val="00552DD6"/>
    <w:rsid w:val="00553428"/>
    <w:rsid w:val="00555518"/>
    <w:rsid w:val="005558A5"/>
    <w:rsid w:val="0055696B"/>
    <w:rsid w:val="00556B07"/>
    <w:rsid w:val="005574CA"/>
    <w:rsid w:val="00557F81"/>
    <w:rsid w:val="00560F45"/>
    <w:rsid w:val="005616DC"/>
    <w:rsid w:val="00563EC1"/>
    <w:rsid w:val="005675B6"/>
    <w:rsid w:val="00571288"/>
    <w:rsid w:val="005727B8"/>
    <w:rsid w:val="00572C89"/>
    <w:rsid w:val="0057413E"/>
    <w:rsid w:val="005766A5"/>
    <w:rsid w:val="00577C7A"/>
    <w:rsid w:val="00580447"/>
    <w:rsid w:val="00581A7F"/>
    <w:rsid w:val="00587A8C"/>
    <w:rsid w:val="0059236E"/>
    <w:rsid w:val="00592AFD"/>
    <w:rsid w:val="00595AF5"/>
    <w:rsid w:val="005964AB"/>
    <w:rsid w:val="00597B20"/>
    <w:rsid w:val="005A0977"/>
    <w:rsid w:val="005A0B20"/>
    <w:rsid w:val="005A1E49"/>
    <w:rsid w:val="005A4161"/>
    <w:rsid w:val="005A4658"/>
    <w:rsid w:val="005A4F3F"/>
    <w:rsid w:val="005B246A"/>
    <w:rsid w:val="005B31E9"/>
    <w:rsid w:val="005B5290"/>
    <w:rsid w:val="005B6042"/>
    <w:rsid w:val="005C02D7"/>
    <w:rsid w:val="005C0B22"/>
    <w:rsid w:val="005C14CC"/>
    <w:rsid w:val="005C1DD0"/>
    <w:rsid w:val="005C2ECE"/>
    <w:rsid w:val="005C4464"/>
    <w:rsid w:val="005C45F6"/>
    <w:rsid w:val="005C487B"/>
    <w:rsid w:val="005D0654"/>
    <w:rsid w:val="005D2A9B"/>
    <w:rsid w:val="005D2D1A"/>
    <w:rsid w:val="005D4444"/>
    <w:rsid w:val="005D4D0E"/>
    <w:rsid w:val="005D6B36"/>
    <w:rsid w:val="005D70BF"/>
    <w:rsid w:val="005E0953"/>
    <w:rsid w:val="005E33AA"/>
    <w:rsid w:val="005E4AD0"/>
    <w:rsid w:val="005E75D0"/>
    <w:rsid w:val="005F1F74"/>
    <w:rsid w:val="005F3B6E"/>
    <w:rsid w:val="005F4165"/>
    <w:rsid w:val="005F429F"/>
    <w:rsid w:val="005F4D51"/>
    <w:rsid w:val="00602ED9"/>
    <w:rsid w:val="00604A4D"/>
    <w:rsid w:val="006057A8"/>
    <w:rsid w:val="0060657C"/>
    <w:rsid w:val="00611DFE"/>
    <w:rsid w:val="00613B2F"/>
    <w:rsid w:val="006171CF"/>
    <w:rsid w:val="00617E23"/>
    <w:rsid w:val="00620740"/>
    <w:rsid w:val="00621818"/>
    <w:rsid w:val="00621A3F"/>
    <w:rsid w:val="00623A39"/>
    <w:rsid w:val="006254A8"/>
    <w:rsid w:val="00630531"/>
    <w:rsid w:val="006305DC"/>
    <w:rsid w:val="0063074C"/>
    <w:rsid w:val="00630976"/>
    <w:rsid w:val="00632519"/>
    <w:rsid w:val="006325D3"/>
    <w:rsid w:val="0063324F"/>
    <w:rsid w:val="00633AD8"/>
    <w:rsid w:val="006368BC"/>
    <w:rsid w:val="00640CF9"/>
    <w:rsid w:val="00641EBA"/>
    <w:rsid w:val="006429DA"/>
    <w:rsid w:val="0064621A"/>
    <w:rsid w:val="006474A9"/>
    <w:rsid w:val="00647B0C"/>
    <w:rsid w:val="00651ACD"/>
    <w:rsid w:val="00652230"/>
    <w:rsid w:val="006546FE"/>
    <w:rsid w:val="006571DB"/>
    <w:rsid w:val="00660ABB"/>
    <w:rsid w:val="00662047"/>
    <w:rsid w:val="00662084"/>
    <w:rsid w:val="006638F1"/>
    <w:rsid w:val="0066452D"/>
    <w:rsid w:val="00665585"/>
    <w:rsid w:val="00670E5F"/>
    <w:rsid w:val="006722DA"/>
    <w:rsid w:val="00672E6A"/>
    <w:rsid w:val="00674617"/>
    <w:rsid w:val="00674AB9"/>
    <w:rsid w:val="00674CD1"/>
    <w:rsid w:val="00676CBE"/>
    <w:rsid w:val="006779C2"/>
    <w:rsid w:val="00680619"/>
    <w:rsid w:val="0068375A"/>
    <w:rsid w:val="00686FEA"/>
    <w:rsid w:val="00687091"/>
    <w:rsid w:val="006905C2"/>
    <w:rsid w:val="00691CAB"/>
    <w:rsid w:val="00691EF8"/>
    <w:rsid w:val="00691F34"/>
    <w:rsid w:val="00691F87"/>
    <w:rsid w:val="00694A8E"/>
    <w:rsid w:val="00694BC1"/>
    <w:rsid w:val="006969EE"/>
    <w:rsid w:val="00697567"/>
    <w:rsid w:val="006A13CB"/>
    <w:rsid w:val="006A19F3"/>
    <w:rsid w:val="006A26EC"/>
    <w:rsid w:val="006A613B"/>
    <w:rsid w:val="006A760C"/>
    <w:rsid w:val="006A7701"/>
    <w:rsid w:val="006B0405"/>
    <w:rsid w:val="006B518C"/>
    <w:rsid w:val="006B60AD"/>
    <w:rsid w:val="006B709E"/>
    <w:rsid w:val="006C02BA"/>
    <w:rsid w:val="006C1499"/>
    <w:rsid w:val="006C18A8"/>
    <w:rsid w:val="006C2099"/>
    <w:rsid w:val="006C20F6"/>
    <w:rsid w:val="006C2439"/>
    <w:rsid w:val="006C2DAC"/>
    <w:rsid w:val="006C36CD"/>
    <w:rsid w:val="006C6340"/>
    <w:rsid w:val="006C7BF4"/>
    <w:rsid w:val="006D336D"/>
    <w:rsid w:val="006D4451"/>
    <w:rsid w:val="006E1174"/>
    <w:rsid w:val="006E172B"/>
    <w:rsid w:val="006E2302"/>
    <w:rsid w:val="006E27C1"/>
    <w:rsid w:val="006E436D"/>
    <w:rsid w:val="006E4465"/>
    <w:rsid w:val="006E5B3E"/>
    <w:rsid w:val="006E7F38"/>
    <w:rsid w:val="006F01B3"/>
    <w:rsid w:val="006F01FD"/>
    <w:rsid w:val="006F1319"/>
    <w:rsid w:val="006F1704"/>
    <w:rsid w:val="006F1F83"/>
    <w:rsid w:val="006F4C63"/>
    <w:rsid w:val="006F5BF4"/>
    <w:rsid w:val="006F62EE"/>
    <w:rsid w:val="0070173C"/>
    <w:rsid w:val="00702009"/>
    <w:rsid w:val="00702398"/>
    <w:rsid w:val="00704C75"/>
    <w:rsid w:val="00711709"/>
    <w:rsid w:val="0071178D"/>
    <w:rsid w:val="00712665"/>
    <w:rsid w:val="007127C9"/>
    <w:rsid w:val="00713C90"/>
    <w:rsid w:val="00715457"/>
    <w:rsid w:val="00715B10"/>
    <w:rsid w:val="007167E2"/>
    <w:rsid w:val="00717774"/>
    <w:rsid w:val="00720505"/>
    <w:rsid w:val="00720642"/>
    <w:rsid w:val="00720B9D"/>
    <w:rsid w:val="00721C38"/>
    <w:rsid w:val="0072307E"/>
    <w:rsid w:val="007236D3"/>
    <w:rsid w:val="00725D87"/>
    <w:rsid w:val="00725F8E"/>
    <w:rsid w:val="00730CE1"/>
    <w:rsid w:val="00731879"/>
    <w:rsid w:val="00732713"/>
    <w:rsid w:val="007341AE"/>
    <w:rsid w:val="00735C25"/>
    <w:rsid w:val="00737493"/>
    <w:rsid w:val="007379DE"/>
    <w:rsid w:val="007409D6"/>
    <w:rsid w:val="00740C39"/>
    <w:rsid w:val="00742C4D"/>
    <w:rsid w:val="00743C7C"/>
    <w:rsid w:val="00744FFC"/>
    <w:rsid w:val="007470CC"/>
    <w:rsid w:val="0075056C"/>
    <w:rsid w:val="00751028"/>
    <w:rsid w:val="0075259A"/>
    <w:rsid w:val="007532F2"/>
    <w:rsid w:val="00754DB4"/>
    <w:rsid w:val="00756438"/>
    <w:rsid w:val="00761760"/>
    <w:rsid w:val="00761AF8"/>
    <w:rsid w:val="0076266D"/>
    <w:rsid w:val="00762EBB"/>
    <w:rsid w:val="00763066"/>
    <w:rsid w:val="0076565A"/>
    <w:rsid w:val="007669F8"/>
    <w:rsid w:val="00773890"/>
    <w:rsid w:val="0077745C"/>
    <w:rsid w:val="00781659"/>
    <w:rsid w:val="0078181F"/>
    <w:rsid w:val="00781C4F"/>
    <w:rsid w:val="00784D4B"/>
    <w:rsid w:val="00785CA5"/>
    <w:rsid w:val="00785D60"/>
    <w:rsid w:val="00793B53"/>
    <w:rsid w:val="00794815"/>
    <w:rsid w:val="00794FE4"/>
    <w:rsid w:val="00795DDE"/>
    <w:rsid w:val="0079735B"/>
    <w:rsid w:val="007A166C"/>
    <w:rsid w:val="007A3236"/>
    <w:rsid w:val="007A335A"/>
    <w:rsid w:val="007A5504"/>
    <w:rsid w:val="007A7ECF"/>
    <w:rsid w:val="007A7F49"/>
    <w:rsid w:val="007B1DF7"/>
    <w:rsid w:val="007B253D"/>
    <w:rsid w:val="007B2B53"/>
    <w:rsid w:val="007B39DF"/>
    <w:rsid w:val="007B3BC7"/>
    <w:rsid w:val="007B40AA"/>
    <w:rsid w:val="007C1855"/>
    <w:rsid w:val="007C23E7"/>
    <w:rsid w:val="007C3D48"/>
    <w:rsid w:val="007C4365"/>
    <w:rsid w:val="007C4F86"/>
    <w:rsid w:val="007C5DEC"/>
    <w:rsid w:val="007C5ED3"/>
    <w:rsid w:val="007C6C83"/>
    <w:rsid w:val="007C6DFE"/>
    <w:rsid w:val="007C7E65"/>
    <w:rsid w:val="007D02F9"/>
    <w:rsid w:val="007D21E2"/>
    <w:rsid w:val="007D3368"/>
    <w:rsid w:val="007D6039"/>
    <w:rsid w:val="007D64BB"/>
    <w:rsid w:val="007D7B73"/>
    <w:rsid w:val="007D7F3B"/>
    <w:rsid w:val="007E206E"/>
    <w:rsid w:val="007E2237"/>
    <w:rsid w:val="007E3DDE"/>
    <w:rsid w:val="007E43C6"/>
    <w:rsid w:val="007E5FC5"/>
    <w:rsid w:val="007F1316"/>
    <w:rsid w:val="007F20DB"/>
    <w:rsid w:val="007F3DFC"/>
    <w:rsid w:val="007F4E2A"/>
    <w:rsid w:val="007F5AFA"/>
    <w:rsid w:val="007F7A3D"/>
    <w:rsid w:val="00800B81"/>
    <w:rsid w:val="0080182F"/>
    <w:rsid w:val="00805836"/>
    <w:rsid w:val="00805D25"/>
    <w:rsid w:val="00807C51"/>
    <w:rsid w:val="008109BE"/>
    <w:rsid w:val="00810B07"/>
    <w:rsid w:val="00810EC9"/>
    <w:rsid w:val="008155FE"/>
    <w:rsid w:val="00820B7B"/>
    <w:rsid w:val="0082362F"/>
    <w:rsid w:val="00824C19"/>
    <w:rsid w:val="008255C2"/>
    <w:rsid w:val="0082677C"/>
    <w:rsid w:val="00827DA4"/>
    <w:rsid w:val="00827FC1"/>
    <w:rsid w:val="00830262"/>
    <w:rsid w:val="00830B5E"/>
    <w:rsid w:val="00830D2B"/>
    <w:rsid w:val="00831A77"/>
    <w:rsid w:val="0083296E"/>
    <w:rsid w:val="0083353F"/>
    <w:rsid w:val="00836B1A"/>
    <w:rsid w:val="00837D39"/>
    <w:rsid w:val="00837F74"/>
    <w:rsid w:val="008466CF"/>
    <w:rsid w:val="00850277"/>
    <w:rsid w:val="008523FC"/>
    <w:rsid w:val="008606BC"/>
    <w:rsid w:val="00862CE6"/>
    <w:rsid w:val="00862CFF"/>
    <w:rsid w:val="0086329D"/>
    <w:rsid w:val="0086420B"/>
    <w:rsid w:val="0086587E"/>
    <w:rsid w:val="00865E83"/>
    <w:rsid w:val="008671A3"/>
    <w:rsid w:val="008677E1"/>
    <w:rsid w:val="00873737"/>
    <w:rsid w:val="00874D9D"/>
    <w:rsid w:val="008761A3"/>
    <w:rsid w:val="008769F0"/>
    <w:rsid w:val="00876C8F"/>
    <w:rsid w:val="00877399"/>
    <w:rsid w:val="00877F89"/>
    <w:rsid w:val="0088199D"/>
    <w:rsid w:val="00882CD1"/>
    <w:rsid w:val="008851B6"/>
    <w:rsid w:val="00885488"/>
    <w:rsid w:val="00891562"/>
    <w:rsid w:val="00892276"/>
    <w:rsid w:val="00892561"/>
    <w:rsid w:val="00893484"/>
    <w:rsid w:val="00895BE7"/>
    <w:rsid w:val="0089676C"/>
    <w:rsid w:val="008A036D"/>
    <w:rsid w:val="008A1A12"/>
    <w:rsid w:val="008A20D9"/>
    <w:rsid w:val="008A2CAC"/>
    <w:rsid w:val="008A53D2"/>
    <w:rsid w:val="008A6D02"/>
    <w:rsid w:val="008A78CC"/>
    <w:rsid w:val="008B05D0"/>
    <w:rsid w:val="008B0B27"/>
    <w:rsid w:val="008B1584"/>
    <w:rsid w:val="008B6812"/>
    <w:rsid w:val="008C11E1"/>
    <w:rsid w:val="008C153D"/>
    <w:rsid w:val="008C2E50"/>
    <w:rsid w:val="008C3282"/>
    <w:rsid w:val="008C3E10"/>
    <w:rsid w:val="008C5C07"/>
    <w:rsid w:val="008C5EC9"/>
    <w:rsid w:val="008C6D19"/>
    <w:rsid w:val="008C765A"/>
    <w:rsid w:val="008D155D"/>
    <w:rsid w:val="008D163C"/>
    <w:rsid w:val="008D2E09"/>
    <w:rsid w:val="008D3D1E"/>
    <w:rsid w:val="008D5528"/>
    <w:rsid w:val="008D5995"/>
    <w:rsid w:val="008E07D1"/>
    <w:rsid w:val="008E0F00"/>
    <w:rsid w:val="008E1146"/>
    <w:rsid w:val="008E1F65"/>
    <w:rsid w:val="008E2E45"/>
    <w:rsid w:val="008E434F"/>
    <w:rsid w:val="008E459B"/>
    <w:rsid w:val="008E5E90"/>
    <w:rsid w:val="008E7A32"/>
    <w:rsid w:val="008E7B61"/>
    <w:rsid w:val="008F342A"/>
    <w:rsid w:val="008F455A"/>
    <w:rsid w:val="008F4626"/>
    <w:rsid w:val="008F6CBE"/>
    <w:rsid w:val="008F6EBB"/>
    <w:rsid w:val="008F782D"/>
    <w:rsid w:val="00900516"/>
    <w:rsid w:val="00900B60"/>
    <w:rsid w:val="00904ABE"/>
    <w:rsid w:val="009079A8"/>
    <w:rsid w:val="00907B49"/>
    <w:rsid w:val="009127A6"/>
    <w:rsid w:val="009128C9"/>
    <w:rsid w:val="00912E55"/>
    <w:rsid w:val="009150D0"/>
    <w:rsid w:val="00915162"/>
    <w:rsid w:val="00921F22"/>
    <w:rsid w:val="00922C32"/>
    <w:rsid w:val="00923992"/>
    <w:rsid w:val="00926F28"/>
    <w:rsid w:val="00937508"/>
    <w:rsid w:val="00940FBF"/>
    <w:rsid w:val="00941C29"/>
    <w:rsid w:val="0094574D"/>
    <w:rsid w:val="00946C8D"/>
    <w:rsid w:val="00954DAE"/>
    <w:rsid w:val="00954FE1"/>
    <w:rsid w:val="00956C38"/>
    <w:rsid w:val="00957622"/>
    <w:rsid w:val="009608E1"/>
    <w:rsid w:val="00961888"/>
    <w:rsid w:val="0096402E"/>
    <w:rsid w:val="00964E1C"/>
    <w:rsid w:val="00971ECA"/>
    <w:rsid w:val="00972130"/>
    <w:rsid w:val="00975763"/>
    <w:rsid w:val="00977450"/>
    <w:rsid w:val="00981B76"/>
    <w:rsid w:val="009820CE"/>
    <w:rsid w:val="009846F5"/>
    <w:rsid w:val="00984E3F"/>
    <w:rsid w:val="00986CE8"/>
    <w:rsid w:val="009874A7"/>
    <w:rsid w:val="00987D38"/>
    <w:rsid w:val="00987F00"/>
    <w:rsid w:val="009902FD"/>
    <w:rsid w:val="0099049D"/>
    <w:rsid w:val="00990AFC"/>
    <w:rsid w:val="009910C2"/>
    <w:rsid w:val="00991B7D"/>
    <w:rsid w:val="009947B9"/>
    <w:rsid w:val="00997B3A"/>
    <w:rsid w:val="00997BD7"/>
    <w:rsid w:val="00997FC2"/>
    <w:rsid w:val="009A016B"/>
    <w:rsid w:val="009A0B05"/>
    <w:rsid w:val="009A36CA"/>
    <w:rsid w:val="009A4453"/>
    <w:rsid w:val="009A4D8D"/>
    <w:rsid w:val="009A4F2D"/>
    <w:rsid w:val="009A5658"/>
    <w:rsid w:val="009B262F"/>
    <w:rsid w:val="009B5375"/>
    <w:rsid w:val="009B62E3"/>
    <w:rsid w:val="009B64D5"/>
    <w:rsid w:val="009B7602"/>
    <w:rsid w:val="009C16DF"/>
    <w:rsid w:val="009C2516"/>
    <w:rsid w:val="009C36EF"/>
    <w:rsid w:val="009C3FB5"/>
    <w:rsid w:val="009C429F"/>
    <w:rsid w:val="009C46AF"/>
    <w:rsid w:val="009C4F75"/>
    <w:rsid w:val="009C5A9D"/>
    <w:rsid w:val="009C6966"/>
    <w:rsid w:val="009C6AC1"/>
    <w:rsid w:val="009C71F6"/>
    <w:rsid w:val="009C7E13"/>
    <w:rsid w:val="009D006D"/>
    <w:rsid w:val="009D1E40"/>
    <w:rsid w:val="009D2AEA"/>
    <w:rsid w:val="009D33C4"/>
    <w:rsid w:val="009D47C1"/>
    <w:rsid w:val="009D5A3F"/>
    <w:rsid w:val="009D5B9B"/>
    <w:rsid w:val="009D6B61"/>
    <w:rsid w:val="009E0834"/>
    <w:rsid w:val="009E28F7"/>
    <w:rsid w:val="009E45A2"/>
    <w:rsid w:val="009E4967"/>
    <w:rsid w:val="009F1C7A"/>
    <w:rsid w:val="009F6E1E"/>
    <w:rsid w:val="009F77D0"/>
    <w:rsid w:val="009F78E0"/>
    <w:rsid w:val="00A00740"/>
    <w:rsid w:val="00A01EDF"/>
    <w:rsid w:val="00A0292C"/>
    <w:rsid w:val="00A02FA0"/>
    <w:rsid w:val="00A05C54"/>
    <w:rsid w:val="00A1047C"/>
    <w:rsid w:val="00A11B52"/>
    <w:rsid w:val="00A12E0B"/>
    <w:rsid w:val="00A20D33"/>
    <w:rsid w:val="00A217AD"/>
    <w:rsid w:val="00A21C04"/>
    <w:rsid w:val="00A25851"/>
    <w:rsid w:val="00A26043"/>
    <w:rsid w:val="00A27909"/>
    <w:rsid w:val="00A27E15"/>
    <w:rsid w:val="00A31643"/>
    <w:rsid w:val="00A322C9"/>
    <w:rsid w:val="00A334C1"/>
    <w:rsid w:val="00A33AD1"/>
    <w:rsid w:val="00A34A63"/>
    <w:rsid w:val="00A3662D"/>
    <w:rsid w:val="00A367FC"/>
    <w:rsid w:val="00A36CE2"/>
    <w:rsid w:val="00A36D07"/>
    <w:rsid w:val="00A378E2"/>
    <w:rsid w:val="00A4135C"/>
    <w:rsid w:val="00A420EA"/>
    <w:rsid w:val="00A44077"/>
    <w:rsid w:val="00A45EC1"/>
    <w:rsid w:val="00A47C18"/>
    <w:rsid w:val="00A51727"/>
    <w:rsid w:val="00A5297C"/>
    <w:rsid w:val="00A53951"/>
    <w:rsid w:val="00A561C6"/>
    <w:rsid w:val="00A601E3"/>
    <w:rsid w:val="00A60C41"/>
    <w:rsid w:val="00A60D69"/>
    <w:rsid w:val="00A65127"/>
    <w:rsid w:val="00A6514B"/>
    <w:rsid w:val="00A663D8"/>
    <w:rsid w:val="00A66E40"/>
    <w:rsid w:val="00A67861"/>
    <w:rsid w:val="00A73F6D"/>
    <w:rsid w:val="00A74F52"/>
    <w:rsid w:val="00A754DE"/>
    <w:rsid w:val="00A8044E"/>
    <w:rsid w:val="00A809C8"/>
    <w:rsid w:val="00A80F36"/>
    <w:rsid w:val="00A846B2"/>
    <w:rsid w:val="00A850DE"/>
    <w:rsid w:val="00A851F6"/>
    <w:rsid w:val="00A85FAD"/>
    <w:rsid w:val="00A916C7"/>
    <w:rsid w:val="00A9262E"/>
    <w:rsid w:val="00A93E8E"/>
    <w:rsid w:val="00A942B9"/>
    <w:rsid w:val="00A9499F"/>
    <w:rsid w:val="00A9696C"/>
    <w:rsid w:val="00AA0C2A"/>
    <w:rsid w:val="00AA13FB"/>
    <w:rsid w:val="00AA1A10"/>
    <w:rsid w:val="00AA1C1F"/>
    <w:rsid w:val="00AA27BB"/>
    <w:rsid w:val="00AA31A7"/>
    <w:rsid w:val="00AA6928"/>
    <w:rsid w:val="00AA7A76"/>
    <w:rsid w:val="00AA7E24"/>
    <w:rsid w:val="00AB18A6"/>
    <w:rsid w:val="00AB234B"/>
    <w:rsid w:val="00AB7AAF"/>
    <w:rsid w:val="00AC02B0"/>
    <w:rsid w:val="00AC23CD"/>
    <w:rsid w:val="00AC2A63"/>
    <w:rsid w:val="00AC2FA6"/>
    <w:rsid w:val="00AC3026"/>
    <w:rsid w:val="00AC3300"/>
    <w:rsid w:val="00AC3CF0"/>
    <w:rsid w:val="00AC5FE9"/>
    <w:rsid w:val="00AC7B93"/>
    <w:rsid w:val="00AD0629"/>
    <w:rsid w:val="00AD075B"/>
    <w:rsid w:val="00AD0F7C"/>
    <w:rsid w:val="00AD4534"/>
    <w:rsid w:val="00AD5811"/>
    <w:rsid w:val="00AD6995"/>
    <w:rsid w:val="00AD74BD"/>
    <w:rsid w:val="00AE030A"/>
    <w:rsid w:val="00AE0421"/>
    <w:rsid w:val="00AE4875"/>
    <w:rsid w:val="00AE54A7"/>
    <w:rsid w:val="00AE6E2B"/>
    <w:rsid w:val="00AF086D"/>
    <w:rsid w:val="00AF20A2"/>
    <w:rsid w:val="00AF2D22"/>
    <w:rsid w:val="00AF4637"/>
    <w:rsid w:val="00AF612B"/>
    <w:rsid w:val="00B0242D"/>
    <w:rsid w:val="00B02B6F"/>
    <w:rsid w:val="00B02D87"/>
    <w:rsid w:val="00B034BF"/>
    <w:rsid w:val="00B05BC6"/>
    <w:rsid w:val="00B0624E"/>
    <w:rsid w:val="00B068F6"/>
    <w:rsid w:val="00B10C22"/>
    <w:rsid w:val="00B1170A"/>
    <w:rsid w:val="00B1375A"/>
    <w:rsid w:val="00B13844"/>
    <w:rsid w:val="00B146E7"/>
    <w:rsid w:val="00B149B5"/>
    <w:rsid w:val="00B15073"/>
    <w:rsid w:val="00B16401"/>
    <w:rsid w:val="00B2023F"/>
    <w:rsid w:val="00B20799"/>
    <w:rsid w:val="00B21103"/>
    <w:rsid w:val="00B2698F"/>
    <w:rsid w:val="00B270CA"/>
    <w:rsid w:val="00B318C2"/>
    <w:rsid w:val="00B36973"/>
    <w:rsid w:val="00B37905"/>
    <w:rsid w:val="00B4394F"/>
    <w:rsid w:val="00B43A3C"/>
    <w:rsid w:val="00B45A76"/>
    <w:rsid w:val="00B468EC"/>
    <w:rsid w:val="00B4720C"/>
    <w:rsid w:val="00B50EF3"/>
    <w:rsid w:val="00B514A9"/>
    <w:rsid w:val="00B517AA"/>
    <w:rsid w:val="00B51B0A"/>
    <w:rsid w:val="00B540E0"/>
    <w:rsid w:val="00B54312"/>
    <w:rsid w:val="00B57E1E"/>
    <w:rsid w:val="00B626F7"/>
    <w:rsid w:val="00B6274D"/>
    <w:rsid w:val="00B649EE"/>
    <w:rsid w:val="00B65096"/>
    <w:rsid w:val="00B65B19"/>
    <w:rsid w:val="00B672F3"/>
    <w:rsid w:val="00B67602"/>
    <w:rsid w:val="00B74AC8"/>
    <w:rsid w:val="00B80031"/>
    <w:rsid w:val="00B80ED2"/>
    <w:rsid w:val="00B90450"/>
    <w:rsid w:val="00B904A3"/>
    <w:rsid w:val="00B9159F"/>
    <w:rsid w:val="00B91E04"/>
    <w:rsid w:val="00B921AB"/>
    <w:rsid w:val="00B92F09"/>
    <w:rsid w:val="00B92FE7"/>
    <w:rsid w:val="00B95047"/>
    <w:rsid w:val="00B95ADB"/>
    <w:rsid w:val="00B95DFB"/>
    <w:rsid w:val="00B97F35"/>
    <w:rsid w:val="00BA1598"/>
    <w:rsid w:val="00BA36D9"/>
    <w:rsid w:val="00BA600C"/>
    <w:rsid w:val="00BB0709"/>
    <w:rsid w:val="00BB3CF1"/>
    <w:rsid w:val="00BB4473"/>
    <w:rsid w:val="00BB4BA4"/>
    <w:rsid w:val="00BB51A0"/>
    <w:rsid w:val="00BB5719"/>
    <w:rsid w:val="00BC5FA2"/>
    <w:rsid w:val="00BC6A06"/>
    <w:rsid w:val="00BD014C"/>
    <w:rsid w:val="00BD04F1"/>
    <w:rsid w:val="00BD1EDF"/>
    <w:rsid w:val="00BD29A6"/>
    <w:rsid w:val="00BD29DD"/>
    <w:rsid w:val="00BE3134"/>
    <w:rsid w:val="00BE5FEC"/>
    <w:rsid w:val="00BF032A"/>
    <w:rsid w:val="00BF1A1C"/>
    <w:rsid w:val="00BF2D59"/>
    <w:rsid w:val="00BF385E"/>
    <w:rsid w:val="00BF535F"/>
    <w:rsid w:val="00BF5C69"/>
    <w:rsid w:val="00BF75E0"/>
    <w:rsid w:val="00C006D9"/>
    <w:rsid w:val="00C00D05"/>
    <w:rsid w:val="00C03A9D"/>
    <w:rsid w:val="00C03F24"/>
    <w:rsid w:val="00C042B4"/>
    <w:rsid w:val="00C10E81"/>
    <w:rsid w:val="00C110A0"/>
    <w:rsid w:val="00C11273"/>
    <w:rsid w:val="00C113A4"/>
    <w:rsid w:val="00C123D1"/>
    <w:rsid w:val="00C136CC"/>
    <w:rsid w:val="00C1432E"/>
    <w:rsid w:val="00C16CE3"/>
    <w:rsid w:val="00C2089E"/>
    <w:rsid w:val="00C226A2"/>
    <w:rsid w:val="00C23873"/>
    <w:rsid w:val="00C23DDF"/>
    <w:rsid w:val="00C248D6"/>
    <w:rsid w:val="00C2498E"/>
    <w:rsid w:val="00C329E8"/>
    <w:rsid w:val="00C32DD0"/>
    <w:rsid w:val="00C33027"/>
    <w:rsid w:val="00C3637D"/>
    <w:rsid w:val="00C36782"/>
    <w:rsid w:val="00C36BD8"/>
    <w:rsid w:val="00C37652"/>
    <w:rsid w:val="00C40615"/>
    <w:rsid w:val="00C416B1"/>
    <w:rsid w:val="00C42D4F"/>
    <w:rsid w:val="00C42E24"/>
    <w:rsid w:val="00C4339E"/>
    <w:rsid w:val="00C43B7C"/>
    <w:rsid w:val="00C448FC"/>
    <w:rsid w:val="00C46937"/>
    <w:rsid w:val="00C46F73"/>
    <w:rsid w:val="00C505F7"/>
    <w:rsid w:val="00C51EC3"/>
    <w:rsid w:val="00C52A83"/>
    <w:rsid w:val="00C57D38"/>
    <w:rsid w:val="00C602AA"/>
    <w:rsid w:val="00C62CAF"/>
    <w:rsid w:val="00C64E8A"/>
    <w:rsid w:val="00C65EEA"/>
    <w:rsid w:val="00C73C1A"/>
    <w:rsid w:val="00C73D60"/>
    <w:rsid w:val="00C73F27"/>
    <w:rsid w:val="00C76495"/>
    <w:rsid w:val="00C806C8"/>
    <w:rsid w:val="00C80DD9"/>
    <w:rsid w:val="00C81B6A"/>
    <w:rsid w:val="00C8227F"/>
    <w:rsid w:val="00C82FFA"/>
    <w:rsid w:val="00C83CE8"/>
    <w:rsid w:val="00C861DC"/>
    <w:rsid w:val="00C87A5A"/>
    <w:rsid w:val="00C87B4A"/>
    <w:rsid w:val="00C91517"/>
    <w:rsid w:val="00C92A9B"/>
    <w:rsid w:val="00C9331D"/>
    <w:rsid w:val="00C9595B"/>
    <w:rsid w:val="00C95A5B"/>
    <w:rsid w:val="00C969FA"/>
    <w:rsid w:val="00C96AC6"/>
    <w:rsid w:val="00CA0B91"/>
    <w:rsid w:val="00CA18AF"/>
    <w:rsid w:val="00CA2A00"/>
    <w:rsid w:val="00CA78E9"/>
    <w:rsid w:val="00CA7FC9"/>
    <w:rsid w:val="00CB005D"/>
    <w:rsid w:val="00CB0C43"/>
    <w:rsid w:val="00CB17FE"/>
    <w:rsid w:val="00CB457D"/>
    <w:rsid w:val="00CB556F"/>
    <w:rsid w:val="00CC3CE7"/>
    <w:rsid w:val="00CC62AC"/>
    <w:rsid w:val="00CC690F"/>
    <w:rsid w:val="00CD0423"/>
    <w:rsid w:val="00CD2C25"/>
    <w:rsid w:val="00CD30F2"/>
    <w:rsid w:val="00CD6A15"/>
    <w:rsid w:val="00CD7D6F"/>
    <w:rsid w:val="00CE0C49"/>
    <w:rsid w:val="00CE18A4"/>
    <w:rsid w:val="00CE28FD"/>
    <w:rsid w:val="00CE31E7"/>
    <w:rsid w:val="00CE338C"/>
    <w:rsid w:val="00CE3D52"/>
    <w:rsid w:val="00CE41A8"/>
    <w:rsid w:val="00CE6EC5"/>
    <w:rsid w:val="00CF017C"/>
    <w:rsid w:val="00CF1261"/>
    <w:rsid w:val="00CF1491"/>
    <w:rsid w:val="00CF289B"/>
    <w:rsid w:val="00CF2C67"/>
    <w:rsid w:val="00CF3120"/>
    <w:rsid w:val="00CF47C3"/>
    <w:rsid w:val="00CF4875"/>
    <w:rsid w:val="00CF5887"/>
    <w:rsid w:val="00CF5C02"/>
    <w:rsid w:val="00CF7A47"/>
    <w:rsid w:val="00D00A58"/>
    <w:rsid w:val="00D02EE2"/>
    <w:rsid w:val="00D06F97"/>
    <w:rsid w:val="00D1438D"/>
    <w:rsid w:val="00D15377"/>
    <w:rsid w:val="00D1649D"/>
    <w:rsid w:val="00D1698C"/>
    <w:rsid w:val="00D201A2"/>
    <w:rsid w:val="00D2021B"/>
    <w:rsid w:val="00D20D62"/>
    <w:rsid w:val="00D21BE3"/>
    <w:rsid w:val="00D23D9F"/>
    <w:rsid w:val="00D25DC7"/>
    <w:rsid w:val="00D314F3"/>
    <w:rsid w:val="00D329F0"/>
    <w:rsid w:val="00D33281"/>
    <w:rsid w:val="00D34609"/>
    <w:rsid w:val="00D350F7"/>
    <w:rsid w:val="00D36B26"/>
    <w:rsid w:val="00D4013E"/>
    <w:rsid w:val="00D40D45"/>
    <w:rsid w:val="00D414FF"/>
    <w:rsid w:val="00D41758"/>
    <w:rsid w:val="00D45395"/>
    <w:rsid w:val="00D476DB"/>
    <w:rsid w:val="00D47722"/>
    <w:rsid w:val="00D52AD4"/>
    <w:rsid w:val="00D53CA6"/>
    <w:rsid w:val="00D55ADF"/>
    <w:rsid w:val="00D55B4E"/>
    <w:rsid w:val="00D568D2"/>
    <w:rsid w:val="00D57918"/>
    <w:rsid w:val="00D610B7"/>
    <w:rsid w:val="00D6208A"/>
    <w:rsid w:val="00D6234A"/>
    <w:rsid w:val="00D62A12"/>
    <w:rsid w:val="00D64634"/>
    <w:rsid w:val="00D64C53"/>
    <w:rsid w:val="00D65601"/>
    <w:rsid w:val="00D65E2F"/>
    <w:rsid w:val="00D667C7"/>
    <w:rsid w:val="00D67A08"/>
    <w:rsid w:val="00D72256"/>
    <w:rsid w:val="00D72C14"/>
    <w:rsid w:val="00D7476B"/>
    <w:rsid w:val="00D751EA"/>
    <w:rsid w:val="00D7588F"/>
    <w:rsid w:val="00D7622D"/>
    <w:rsid w:val="00D776FC"/>
    <w:rsid w:val="00D83BE8"/>
    <w:rsid w:val="00D84885"/>
    <w:rsid w:val="00D859B8"/>
    <w:rsid w:val="00D86DE0"/>
    <w:rsid w:val="00D87808"/>
    <w:rsid w:val="00D917DA"/>
    <w:rsid w:val="00D93067"/>
    <w:rsid w:val="00D94965"/>
    <w:rsid w:val="00DA11F1"/>
    <w:rsid w:val="00DA20A3"/>
    <w:rsid w:val="00DA2FE5"/>
    <w:rsid w:val="00DA3F4C"/>
    <w:rsid w:val="00DA4629"/>
    <w:rsid w:val="00DA4D0F"/>
    <w:rsid w:val="00DA52F3"/>
    <w:rsid w:val="00DA5D4D"/>
    <w:rsid w:val="00DA6B5C"/>
    <w:rsid w:val="00DA6C6F"/>
    <w:rsid w:val="00DA74F8"/>
    <w:rsid w:val="00DA7C61"/>
    <w:rsid w:val="00DB0373"/>
    <w:rsid w:val="00DB0F6D"/>
    <w:rsid w:val="00DB2176"/>
    <w:rsid w:val="00DB3A59"/>
    <w:rsid w:val="00DB7094"/>
    <w:rsid w:val="00DB7D1D"/>
    <w:rsid w:val="00DC07BA"/>
    <w:rsid w:val="00DC0F58"/>
    <w:rsid w:val="00DC26F2"/>
    <w:rsid w:val="00DC283C"/>
    <w:rsid w:val="00DC29A8"/>
    <w:rsid w:val="00DC3499"/>
    <w:rsid w:val="00DC65C0"/>
    <w:rsid w:val="00DC688E"/>
    <w:rsid w:val="00DC6BB1"/>
    <w:rsid w:val="00DD0C84"/>
    <w:rsid w:val="00DD1B5B"/>
    <w:rsid w:val="00DD2024"/>
    <w:rsid w:val="00DD3C72"/>
    <w:rsid w:val="00DD5E9D"/>
    <w:rsid w:val="00DD6BEB"/>
    <w:rsid w:val="00DD79C5"/>
    <w:rsid w:val="00DE08FD"/>
    <w:rsid w:val="00DE0D6E"/>
    <w:rsid w:val="00DE1981"/>
    <w:rsid w:val="00DE1D65"/>
    <w:rsid w:val="00DE39FC"/>
    <w:rsid w:val="00DE40AC"/>
    <w:rsid w:val="00DE539B"/>
    <w:rsid w:val="00DE5606"/>
    <w:rsid w:val="00DE72F5"/>
    <w:rsid w:val="00DE7A09"/>
    <w:rsid w:val="00DF1EB0"/>
    <w:rsid w:val="00DF37F4"/>
    <w:rsid w:val="00DF387A"/>
    <w:rsid w:val="00DF410D"/>
    <w:rsid w:val="00DF7A1C"/>
    <w:rsid w:val="00E0008D"/>
    <w:rsid w:val="00E00A8A"/>
    <w:rsid w:val="00E011FF"/>
    <w:rsid w:val="00E013F2"/>
    <w:rsid w:val="00E01532"/>
    <w:rsid w:val="00E03603"/>
    <w:rsid w:val="00E0398C"/>
    <w:rsid w:val="00E0632A"/>
    <w:rsid w:val="00E07D2C"/>
    <w:rsid w:val="00E07EE1"/>
    <w:rsid w:val="00E10306"/>
    <w:rsid w:val="00E10EFE"/>
    <w:rsid w:val="00E1238C"/>
    <w:rsid w:val="00E12E39"/>
    <w:rsid w:val="00E1571D"/>
    <w:rsid w:val="00E15EC9"/>
    <w:rsid w:val="00E20FE8"/>
    <w:rsid w:val="00E227EF"/>
    <w:rsid w:val="00E231EB"/>
    <w:rsid w:val="00E24EB1"/>
    <w:rsid w:val="00E2513A"/>
    <w:rsid w:val="00E26D5F"/>
    <w:rsid w:val="00E3004B"/>
    <w:rsid w:val="00E328BF"/>
    <w:rsid w:val="00E330F1"/>
    <w:rsid w:val="00E33BA0"/>
    <w:rsid w:val="00E34700"/>
    <w:rsid w:val="00E34960"/>
    <w:rsid w:val="00E34A8C"/>
    <w:rsid w:val="00E3567D"/>
    <w:rsid w:val="00E369A7"/>
    <w:rsid w:val="00E400F8"/>
    <w:rsid w:val="00E42F01"/>
    <w:rsid w:val="00E43710"/>
    <w:rsid w:val="00E46EA9"/>
    <w:rsid w:val="00E46FF7"/>
    <w:rsid w:val="00E51105"/>
    <w:rsid w:val="00E53551"/>
    <w:rsid w:val="00E5408B"/>
    <w:rsid w:val="00E5463E"/>
    <w:rsid w:val="00E573FD"/>
    <w:rsid w:val="00E57E42"/>
    <w:rsid w:val="00E60F82"/>
    <w:rsid w:val="00E615BD"/>
    <w:rsid w:val="00E6163B"/>
    <w:rsid w:val="00E62519"/>
    <w:rsid w:val="00E62FCC"/>
    <w:rsid w:val="00E635AA"/>
    <w:rsid w:val="00E711C6"/>
    <w:rsid w:val="00E73196"/>
    <w:rsid w:val="00E73298"/>
    <w:rsid w:val="00E73DA1"/>
    <w:rsid w:val="00E742E8"/>
    <w:rsid w:val="00E769E8"/>
    <w:rsid w:val="00E8171E"/>
    <w:rsid w:val="00E820D3"/>
    <w:rsid w:val="00E8281D"/>
    <w:rsid w:val="00E87F8B"/>
    <w:rsid w:val="00E90564"/>
    <w:rsid w:val="00E9137B"/>
    <w:rsid w:val="00E92F5D"/>
    <w:rsid w:val="00E931C9"/>
    <w:rsid w:val="00E946F8"/>
    <w:rsid w:val="00E95528"/>
    <w:rsid w:val="00E970E4"/>
    <w:rsid w:val="00EA0358"/>
    <w:rsid w:val="00EA3549"/>
    <w:rsid w:val="00EA54E1"/>
    <w:rsid w:val="00EA5BA7"/>
    <w:rsid w:val="00EB1434"/>
    <w:rsid w:val="00EB1834"/>
    <w:rsid w:val="00EB3171"/>
    <w:rsid w:val="00EB31F7"/>
    <w:rsid w:val="00EB4603"/>
    <w:rsid w:val="00EB49FE"/>
    <w:rsid w:val="00EB4BB6"/>
    <w:rsid w:val="00EB4CFA"/>
    <w:rsid w:val="00EB50C3"/>
    <w:rsid w:val="00EB5510"/>
    <w:rsid w:val="00EB6C18"/>
    <w:rsid w:val="00EB705B"/>
    <w:rsid w:val="00EC009A"/>
    <w:rsid w:val="00EC0D83"/>
    <w:rsid w:val="00EC1F11"/>
    <w:rsid w:val="00EC2084"/>
    <w:rsid w:val="00EC22ED"/>
    <w:rsid w:val="00EC2AD7"/>
    <w:rsid w:val="00EC675B"/>
    <w:rsid w:val="00ED1729"/>
    <w:rsid w:val="00ED2BAD"/>
    <w:rsid w:val="00ED6089"/>
    <w:rsid w:val="00ED69D2"/>
    <w:rsid w:val="00ED781F"/>
    <w:rsid w:val="00ED7A66"/>
    <w:rsid w:val="00ED7D74"/>
    <w:rsid w:val="00EE0B03"/>
    <w:rsid w:val="00EE0E54"/>
    <w:rsid w:val="00EE1DE3"/>
    <w:rsid w:val="00EE3541"/>
    <w:rsid w:val="00EE5796"/>
    <w:rsid w:val="00EE7AF0"/>
    <w:rsid w:val="00EF09A5"/>
    <w:rsid w:val="00EF4239"/>
    <w:rsid w:val="00EF59F7"/>
    <w:rsid w:val="00F00532"/>
    <w:rsid w:val="00F01D56"/>
    <w:rsid w:val="00F051AC"/>
    <w:rsid w:val="00F06720"/>
    <w:rsid w:val="00F067C9"/>
    <w:rsid w:val="00F06C14"/>
    <w:rsid w:val="00F07B3C"/>
    <w:rsid w:val="00F115C8"/>
    <w:rsid w:val="00F13088"/>
    <w:rsid w:val="00F15272"/>
    <w:rsid w:val="00F15556"/>
    <w:rsid w:val="00F1658F"/>
    <w:rsid w:val="00F16639"/>
    <w:rsid w:val="00F16A87"/>
    <w:rsid w:val="00F21D2A"/>
    <w:rsid w:val="00F22501"/>
    <w:rsid w:val="00F229DD"/>
    <w:rsid w:val="00F27B4F"/>
    <w:rsid w:val="00F32E71"/>
    <w:rsid w:val="00F33DE9"/>
    <w:rsid w:val="00F33EE7"/>
    <w:rsid w:val="00F3557C"/>
    <w:rsid w:val="00F35CB6"/>
    <w:rsid w:val="00F36933"/>
    <w:rsid w:val="00F40261"/>
    <w:rsid w:val="00F439BF"/>
    <w:rsid w:val="00F477CF"/>
    <w:rsid w:val="00F561A2"/>
    <w:rsid w:val="00F56F3D"/>
    <w:rsid w:val="00F6264B"/>
    <w:rsid w:val="00F62B40"/>
    <w:rsid w:val="00F63DD7"/>
    <w:rsid w:val="00F678E7"/>
    <w:rsid w:val="00F70B12"/>
    <w:rsid w:val="00F738EE"/>
    <w:rsid w:val="00F73E41"/>
    <w:rsid w:val="00F74227"/>
    <w:rsid w:val="00F746E5"/>
    <w:rsid w:val="00F76F5D"/>
    <w:rsid w:val="00F7703B"/>
    <w:rsid w:val="00F8267D"/>
    <w:rsid w:val="00F828E8"/>
    <w:rsid w:val="00F8573A"/>
    <w:rsid w:val="00F86139"/>
    <w:rsid w:val="00F865A3"/>
    <w:rsid w:val="00F86FA1"/>
    <w:rsid w:val="00F8710F"/>
    <w:rsid w:val="00F875EB"/>
    <w:rsid w:val="00F90A1E"/>
    <w:rsid w:val="00F919B4"/>
    <w:rsid w:val="00F93B99"/>
    <w:rsid w:val="00FA0075"/>
    <w:rsid w:val="00FA032C"/>
    <w:rsid w:val="00FA1B62"/>
    <w:rsid w:val="00FA1ED3"/>
    <w:rsid w:val="00FA3673"/>
    <w:rsid w:val="00FB0463"/>
    <w:rsid w:val="00FC1BF6"/>
    <w:rsid w:val="00FC450D"/>
    <w:rsid w:val="00FC565F"/>
    <w:rsid w:val="00FC61E4"/>
    <w:rsid w:val="00FC687E"/>
    <w:rsid w:val="00FC7225"/>
    <w:rsid w:val="00FC76EB"/>
    <w:rsid w:val="00FD1155"/>
    <w:rsid w:val="00FD21B2"/>
    <w:rsid w:val="00FD4D51"/>
    <w:rsid w:val="00FD549B"/>
    <w:rsid w:val="00FD61C5"/>
    <w:rsid w:val="00FD6258"/>
    <w:rsid w:val="00FD65FA"/>
    <w:rsid w:val="00FD7178"/>
    <w:rsid w:val="00FE5F72"/>
    <w:rsid w:val="00FF18EE"/>
    <w:rsid w:val="00FF4C1C"/>
    <w:rsid w:val="00FF4E2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Pr>
      <w:lang w:val="en-GB"/>
    </w:rPr>
  </w:style>
  <w:style w:type="paragraph" w:styleId="berschrift1">
    <w:name w:val="heading 1"/>
    <w:basedOn w:val="Standard"/>
    <w:next w:val="Standard"/>
    <w:link w:val="berschrift1Zchn"/>
    <w:uiPriority w:val="9"/>
    <w:qFormat/>
    <w:rsid w:val="00FD65F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basedOn w:val="Standard"/>
    <w:next w:val="Standard"/>
    <w:link w:val="berschrift2Zchn"/>
    <w:uiPriority w:val="9"/>
    <w:unhideWhenUsed/>
    <w:qFormat/>
    <w:rsid w:val="00FD65F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Standard"/>
    <w:next w:val="Standard"/>
    <w:link w:val="berschrift3Zchn"/>
    <w:uiPriority w:val="9"/>
    <w:unhideWhenUsed/>
    <w:qFormat/>
    <w:rsid w:val="00102B90"/>
    <w:pPr>
      <w:keepNext/>
      <w:keepLines/>
      <w:spacing w:before="200" w:after="0"/>
      <w:outlineLvl w:val="2"/>
    </w:pPr>
    <w:rPr>
      <w:rFonts w:asciiTheme="majorHAnsi" w:eastAsiaTheme="majorEastAsia" w:hAnsiTheme="majorHAnsi" w:cstheme="majorBidi"/>
      <w:b/>
      <w:bCs/>
      <w:color w:val="4F81BD"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FD65FA"/>
    <w:rPr>
      <w:rFonts w:asciiTheme="majorHAnsi" w:eastAsiaTheme="majorEastAsia" w:hAnsiTheme="majorHAnsi" w:cstheme="majorBidi"/>
      <w:b/>
      <w:bCs/>
      <w:color w:val="365F91" w:themeColor="accent1" w:themeShade="BF"/>
      <w:sz w:val="28"/>
      <w:szCs w:val="28"/>
      <w:lang w:val="en-GB"/>
    </w:rPr>
  </w:style>
  <w:style w:type="character" w:customStyle="1" w:styleId="berschrift2Zchn">
    <w:name w:val="Überschrift 2 Zchn"/>
    <w:basedOn w:val="Absatz-Standardschriftart"/>
    <w:link w:val="berschrift2"/>
    <w:uiPriority w:val="9"/>
    <w:rsid w:val="00FD65FA"/>
    <w:rPr>
      <w:rFonts w:asciiTheme="majorHAnsi" w:eastAsiaTheme="majorEastAsia" w:hAnsiTheme="majorHAnsi" w:cstheme="majorBidi"/>
      <w:b/>
      <w:bCs/>
      <w:color w:val="4F81BD" w:themeColor="accent1"/>
      <w:sz w:val="26"/>
      <w:szCs w:val="26"/>
      <w:lang w:val="en-GB"/>
    </w:rPr>
  </w:style>
  <w:style w:type="paragraph" w:styleId="Sprechblasentext">
    <w:name w:val="Balloon Text"/>
    <w:basedOn w:val="Standard"/>
    <w:link w:val="SprechblasentextZchn"/>
    <w:uiPriority w:val="99"/>
    <w:semiHidden/>
    <w:unhideWhenUsed/>
    <w:rsid w:val="006B0405"/>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B0405"/>
    <w:rPr>
      <w:rFonts w:ascii="Tahoma" w:hAnsi="Tahoma" w:cs="Tahoma"/>
      <w:sz w:val="16"/>
      <w:szCs w:val="16"/>
      <w:lang w:val="en-GB"/>
    </w:rPr>
  </w:style>
  <w:style w:type="paragraph" w:styleId="Beschriftung">
    <w:name w:val="caption"/>
    <w:basedOn w:val="Standard"/>
    <w:next w:val="Standard"/>
    <w:uiPriority w:val="35"/>
    <w:unhideWhenUsed/>
    <w:qFormat/>
    <w:rsid w:val="006B0405"/>
    <w:pPr>
      <w:spacing w:line="240" w:lineRule="auto"/>
    </w:pPr>
    <w:rPr>
      <w:b/>
      <w:bCs/>
      <w:color w:val="4F81BD" w:themeColor="accent1"/>
      <w:sz w:val="18"/>
      <w:szCs w:val="18"/>
    </w:rPr>
  </w:style>
  <w:style w:type="paragraph" w:styleId="Listenabsatz">
    <w:name w:val="List Paragraph"/>
    <w:basedOn w:val="Standard"/>
    <w:uiPriority w:val="34"/>
    <w:qFormat/>
    <w:rsid w:val="00290034"/>
    <w:pPr>
      <w:ind w:left="720"/>
      <w:contextualSpacing/>
    </w:pPr>
    <w:rPr>
      <w:rFonts w:eastAsiaTheme="minorEastAsia"/>
      <w:lang w:val="de-DE" w:eastAsia="zh-CN"/>
    </w:rPr>
  </w:style>
  <w:style w:type="table" w:styleId="Tabellenraster">
    <w:name w:val="Table Grid"/>
    <w:basedOn w:val="NormaleTabelle"/>
    <w:uiPriority w:val="59"/>
    <w:rsid w:val="00FD65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erzeichnis1">
    <w:name w:val="toc 1"/>
    <w:basedOn w:val="Standard"/>
    <w:next w:val="Standard"/>
    <w:autoRedefine/>
    <w:uiPriority w:val="39"/>
    <w:unhideWhenUsed/>
    <w:qFormat/>
    <w:rsid w:val="0009186D"/>
    <w:pPr>
      <w:spacing w:before="360" w:after="0"/>
    </w:pPr>
    <w:rPr>
      <w:rFonts w:asciiTheme="majorHAnsi" w:hAnsiTheme="majorHAnsi" w:cstheme="majorHAnsi"/>
      <w:b/>
      <w:bCs/>
      <w:caps/>
      <w:sz w:val="24"/>
      <w:szCs w:val="24"/>
    </w:rPr>
  </w:style>
  <w:style w:type="paragraph" w:styleId="Verzeichnis2">
    <w:name w:val="toc 2"/>
    <w:basedOn w:val="Standard"/>
    <w:next w:val="Standard"/>
    <w:autoRedefine/>
    <w:uiPriority w:val="39"/>
    <w:unhideWhenUsed/>
    <w:qFormat/>
    <w:rsid w:val="0009186D"/>
    <w:pPr>
      <w:spacing w:before="240" w:after="0"/>
    </w:pPr>
    <w:rPr>
      <w:rFonts w:cstheme="minorHAnsi"/>
      <w:b/>
      <w:bCs/>
      <w:sz w:val="20"/>
      <w:szCs w:val="20"/>
    </w:rPr>
  </w:style>
  <w:style w:type="paragraph" w:styleId="Verzeichnis3">
    <w:name w:val="toc 3"/>
    <w:basedOn w:val="Standard"/>
    <w:next w:val="Standard"/>
    <w:autoRedefine/>
    <w:uiPriority w:val="39"/>
    <w:unhideWhenUsed/>
    <w:qFormat/>
    <w:rsid w:val="0009186D"/>
    <w:pPr>
      <w:spacing w:after="0"/>
      <w:ind w:left="220"/>
    </w:pPr>
    <w:rPr>
      <w:rFonts w:cstheme="minorHAnsi"/>
      <w:sz w:val="20"/>
      <w:szCs w:val="20"/>
    </w:rPr>
  </w:style>
  <w:style w:type="paragraph" w:styleId="Verzeichnis4">
    <w:name w:val="toc 4"/>
    <w:basedOn w:val="Standard"/>
    <w:next w:val="Standard"/>
    <w:autoRedefine/>
    <w:uiPriority w:val="39"/>
    <w:unhideWhenUsed/>
    <w:rsid w:val="0009186D"/>
    <w:pPr>
      <w:spacing w:after="0"/>
      <w:ind w:left="440"/>
    </w:pPr>
    <w:rPr>
      <w:rFonts w:cstheme="minorHAnsi"/>
      <w:sz w:val="20"/>
      <w:szCs w:val="20"/>
    </w:rPr>
  </w:style>
  <w:style w:type="paragraph" w:styleId="Verzeichnis5">
    <w:name w:val="toc 5"/>
    <w:basedOn w:val="Standard"/>
    <w:next w:val="Standard"/>
    <w:autoRedefine/>
    <w:uiPriority w:val="39"/>
    <w:unhideWhenUsed/>
    <w:rsid w:val="0009186D"/>
    <w:pPr>
      <w:spacing w:after="0"/>
      <w:ind w:left="660"/>
    </w:pPr>
    <w:rPr>
      <w:rFonts w:cstheme="minorHAnsi"/>
      <w:sz w:val="20"/>
      <w:szCs w:val="20"/>
    </w:rPr>
  </w:style>
  <w:style w:type="paragraph" w:styleId="Verzeichnis6">
    <w:name w:val="toc 6"/>
    <w:basedOn w:val="Standard"/>
    <w:next w:val="Standard"/>
    <w:autoRedefine/>
    <w:uiPriority w:val="39"/>
    <w:unhideWhenUsed/>
    <w:rsid w:val="0009186D"/>
    <w:pPr>
      <w:spacing w:after="0"/>
      <w:ind w:left="880"/>
    </w:pPr>
    <w:rPr>
      <w:rFonts w:cstheme="minorHAnsi"/>
      <w:sz w:val="20"/>
      <w:szCs w:val="20"/>
    </w:rPr>
  </w:style>
  <w:style w:type="paragraph" w:styleId="Verzeichnis7">
    <w:name w:val="toc 7"/>
    <w:basedOn w:val="Standard"/>
    <w:next w:val="Standard"/>
    <w:autoRedefine/>
    <w:uiPriority w:val="39"/>
    <w:unhideWhenUsed/>
    <w:rsid w:val="0009186D"/>
    <w:pPr>
      <w:spacing w:after="0"/>
      <w:ind w:left="1100"/>
    </w:pPr>
    <w:rPr>
      <w:rFonts w:cstheme="minorHAnsi"/>
      <w:sz w:val="20"/>
      <w:szCs w:val="20"/>
    </w:rPr>
  </w:style>
  <w:style w:type="paragraph" w:styleId="Verzeichnis8">
    <w:name w:val="toc 8"/>
    <w:basedOn w:val="Standard"/>
    <w:next w:val="Standard"/>
    <w:autoRedefine/>
    <w:uiPriority w:val="39"/>
    <w:unhideWhenUsed/>
    <w:rsid w:val="0009186D"/>
    <w:pPr>
      <w:spacing w:after="0"/>
      <w:ind w:left="1320"/>
    </w:pPr>
    <w:rPr>
      <w:rFonts w:cstheme="minorHAnsi"/>
      <w:sz w:val="20"/>
      <w:szCs w:val="20"/>
    </w:rPr>
  </w:style>
  <w:style w:type="paragraph" w:styleId="Verzeichnis9">
    <w:name w:val="toc 9"/>
    <w:basedOn w:val="Standard"/>
    <w:next w:val="Standard"/>
    <w:autoRedefine/>
    <w:uiPriority w:val="39"/>
    <w:unhideWhenUsed/>
    <w:rsid w:val="0009186D"/>
    <w:pPr>
      <w:spacing w:after="0"/>
      <w:ind w:left="1540"/>
    </w:pPr>
    <w:rPr>
      <w:rFonts w:cstheme="minorHAnsi"/>
      <w:sz w:val="20"/>
      <w:szCs w:val="20"/>
    </w:rPr>
  </w:style>
  <w:style w:type="character" w:styleId="Hyperlink">
    <w:name w:val="Hyperlink"/>
    <w:basedOn w:val="Absatz-Standardschriftart"/>
    <w:uiPriority w:val="99"/>
    <w:unhideWhenUsed/>
    <w:rsid w:val="0009186D"/>
    <w:rPr>
      <w:color w:val="0000FF" w:themeColor="hyperlink"/>
      <w:u w:val="single"/>
    </w:rPr>
  </w:style>
  <w:style w:type="paragraph" w:styleId="Inhaltsverzeichnisberschrift">
    <w:name w:val="TOC Heading"/>
    <w:basedOn w:val="berschrift1"/>
    <w:next w:val="Standard"/>
    <w:uiPriority w:val="39"/>
    <w:semiHidden/>
    <w:unhideWhenUsed/>
    <w:qFormat/>
    <w:rsid w:val="0009186D"/>
    <w:pPr>
      <w:outlineLvl w:val="9"/>
    </w:pPr>
    <w:rPr>
      <w:lang w:val="de-DE" w:eastAsia="de-DE"/>
    </w:rPr>
  </w:style>
  <w:style w:type="character" w:customStyle="1" w:styleId="berschrift3Zchn">
    <w:name w:val="Überschrift 3 Zchn"/>
    <w:basedOn w:val="Absatz-Standardschriftart"/>
    <w:link w:val="berschrift3"/>
    <w:uiPriority w:val="9"/>
    <w:rsid w:val="00102B90"/>
    <w:rPr>
      <w:rFonts w:asciiTheme="majorHAnsi" w:eastAsiaTheme="majorEastAsia" w:hAnsiTheme="majorHAnsi" w:cstheme="majorBidi"/>
      <w:b/>
      <w:bCs/>
      <w:color w:val="4F81BD" w:themeColor="accent1"/>
      <w:lang w:val="en-GB"/>
    </w:rPr>
  </w:style>
  <w:style w:type="paragraph" w:styleId="Kopfzeile">
    <w:name w:val="header"/>
    <w:basedOn w:val="Standard"/>
    <w:link w:val="KopfzeileZchn"/>
    <w:uiPriority w:val="99"/>
    <w:unhideWhenUsed/>
    <w:rsid w:val="00F22501"/>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F22501"/>
    <w:rPr>
      <w:lang w:val="en-GB"/>
    </w:rPr>
  </w:style>
  <w:style w:type="paragraph" w:styleId="Fuzeile">
    <w:name w:val="footer"/>
    <w:basedOn w:val="Standard"/>
    <w:link w:val="FuzeileZchn"/>
    <w:uiPriority w:val="99"/>
    <w:unhideWhenUsed/>
    <w:rsid w:val="00F22501"/>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F22501"/>
    <w:rPr>
      <w:lang w:val="en-GB"/>
    </w:rPr>
  </w:style>
  <w:style w:type="character" w:styleId="Platzhaltertext">
    <w:name w:val="Placeholder Text"/>
    <w:basedOn w:val="Absatz-Standardschriftart"/>
    <w:uiPriority w:val="99"/>
    <w:semiHidden/>
    <w:rsid w:val="00BF5C69"/>
    <w:rPr>
      <w:color w:val="808080"/>
    </w:rPr>
  </w:style>
  <w:style w:type="paragraph" w:styleId="Abbildungsverzeichnis">
    <w:name w:val="table of figures"/>
    <w:basedOn w:val="Standard"/>
    <w:next w:val="Standard"/>
    <w:uiPriority w:val="99"/>
    <w:unhideWhenUsed/>
    <w:rsid w:val="00F051AC"/>
    <w:pPr>
      <w:spacing w:after="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Pr>
      <w:lang w:val="en-GB"/>
    </w:rPr>
  </w:style>
  <w:style w:type="paragraph" w:styleId="berschrift1">
    <w:name w:val="heading 1"/>
    <w:basedOn w:val="Standard"/>
    <w:next w:val="Standard"/>
    <w:link w:val="berschrift1Zchn"/>
    <w:uiPriority w:val="9"/>
    <w:qFormat/>
    <w:rsid w:val="00FD65F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basedOn w:val="Standard"/>
    <w:next w:val="Standard"/>
    <w:link w:val="berschrift2Zchn"/>
    <w:uiPriority w:val="9"/>
    <w:unhideWhenUsed/>
    <w:qFormat/>
    <w:rsid w:val="00FD65F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Standard"/>
    <w:next w:val="Standard"/>
    <w:link w:val="berschrift3Zchn"/>
    <w:uiPriority w:val="9"/>
    <w:unhideWhenUsed/>
    <w:qFormat/>
    <w:rsid w:val="00102B90"/>
    <w:pPr>
      <w:keepNext/>
      <w:keepLines/>
      <w:spacing w:before="200" w:after="0"/>
      <w:outlineLvl w:val="2"/>
    </w:pPr>
    <w:rPr>
      <w:rFonts w:asciiTheme="majorHAnsi" w:eastAsiaTheme="majorEastAsia" w:hAnsiTheme="majorHAnsi" w:cstheme="majorBidi"/>
      <w:b/>
      <w:bCs/>
      <w:color w:val="4F81BD"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FD65FA"/>
    <w:rPr>
      <w:rFonts w:asciiTheme="majorHAnsi" w:eastAsiaTheme="majorEastAsia" w:hAnsiTheme="majorHAnsi" w:cstheme="majorBidi"/>
      <w:b/>
      <w:bCs/>
      <w:color w:val="365F91" w:themeColor="accent1" w:themeShade="BF"/>
      <w:sz w:val="28"/>
      <w:szCs w:val="28"/>
      <w:lang w:val="en-GB"/>
    </w:rPr>
  </w:style>
  <w:style w:type="character" w:customStyle="1" w:styleId="berschrift2Zchn">
    <w:name w:val="Überschrift 2 Zchn"/>
    <w:basedOn w:val="Absatz-Standardschriftart"/>
    <w:link w:val="berschrift2"/>
    <w:uiPriority w:val="9"/>
    <w:rsid w:val="00FD65FA"/>
    <w:rPr>
      <w:rFonts w:asciiTheme="majorHAnsi" w:eastAsiaTheme="majorEastAsia" w:hAnsiTheme="majorHAnsi" w:cstheme="majorBidi"/>
      <w:b/>
      <w:bCs/>
      <w:color w:val="4F81BD" w:themeColor="accent1"/>
      <w:sz w:val="26"/>
      <w:szCs w:val="26"/>
      <w:lang w:val="en-GB"/>
    </w:rPr>
  </w:style>
  <w:style w:type="paragraph" w:styleId="Sprechblasentext">
    <w:name w:val="Balloon Text"/>
    <w:basedOn w:val="Standard"/>
    <w:link w:val="SprechblasentextZchn"/>
    <w:uiPriority w:val="99"/>
    <w:semiHidden/>
    <w:unhideWhenUsed/>
    <w:rsid w:val="006B0405"/>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B0405"/>
    <w:rPr>
      <w:rFonts w:ascii="Tahoma" w:hAnsi="Tahoma" w:cs="Tahoma"/>
      <w:sz w:val="16"/>
      <w:szCs w:val="16"/>
      <w:lang w:val="en-GB"/>
    </w:rPr>
  </w:style>
  <w:style w:type="paragraph" w:styleId="Beschriftung">
    <w:name w:val="caption"/>
    <w:basedOn w:val="Standard"/>
    <w:next w:val="Standard"/>
    <w:uiPriority w:val="35"/>
    <w:unhideWhenUsed/>
    <w:qFormat/>
    <w:rsid w:val="006B0405"/>
    <w:pPr>
      <w:spacing w:line="240" w:lineRule="auto"/>
    </w:pPr>
    <w:rPr>
      <w:b/>
      <w:bCs/>
      <w:color w:val="4F81BD" w:themeColor="accent1"/>
      <w:sz w:val="18"/>
      <w:szCs w:val="18"/>
    </w:rPr>
  </w:style>
  <w:style w:type="paragraph" w:styleId="Listenabsatz">
    <w:name w:val="List Paragraph"/>
    <w:basedOn w:val="Standard"/>
    <w:uiPriority w:val="34"/>
    <w:qFormat/>
    <w:rsid w:val="00290034"/>
    <w:pPr>
      <w:ind w:left="720"/>
      <w:contextualSpacing/>
    </w:pPr>
    <w:rPr>
      <w:rFonts w:eastAsiaTheme="minorEastAsia"/>
      <w:lang w:val="de-DE" w:eastAsia="zh-CN"/>
    </w:rPr>
  </w:style>
  <w:style w:type="table" w:styleId="Tabellenraster">
    <w:name w:val="Table Grid"/>
    <w:basedOn w:val="NormaleTabelle"/>
    <w:uiPriority w:val="59"/>
    <w:rsid w:val="00FD65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erzeichnis1">
    <w:name w:val="toc 1"/>
    <w:basedOn w:val="Standard"/>
    <w:next w:val="Standard"/>
    <w:autoRedefine/>
    <w:uiPriority w:val="39"/>
    <w:unhideWhenUsed/>
    <w:qFormat/>
    <w:rsid w:val="0009186D"/>
    <w:pPr>
      <w:spacing w:before="360" w:after="0"/>
    </w:pPr>
    <w:rPr>
      <w:rFonts w:asciiTheme="majorHAnsi" w:hAnsiTheme="majorHAnsi" w:cstheme="majorHAnsi"/>
      <w:b/>
      <w:bCs/>
      <w:caps/>
      <w:sz w:val="24"/>
      <w:szCs w:val="24"/>
    </w:rPr>
  </w:style>
  <w:style w:type="paragraph" w:styleId="Verzeichnis2">
    <w:name w:val="toc 2"/>
    <w:basedOn w:val="Standard"/>
    <w:next w:val="Standard"/>
    <w:autoRedefine/>
    <w:uiPriority w:val="39"/>
    <w:unhideWhenUsed/>
    <w:qFormat/>
    <w:rsid w:val="0009186D"/>
    <w:pPr>
      <w:spacing w:before="240" w:after="0"/>
    </w:pPr>
    <w:rPr>
      <w:rFonts w:cstheme="minorHAnsi"/>
      <w:b/>
      <w:bCs/>
      <w:sz w:val="20"/>
      <w:szCs w:val="20"/>
    </w:rPr>
  </w:style>
  <w:style w:type="paragraph" w:styleId="Verzeichnis3">
    <w:name w:val="toc 3"/>
    <w:basedOn w:val="Standard"/>
    <w:next w:val="Standard"/>
    <w:autoRedefine/>
    <w:uiPriority w:val="39"/>
    <w:unhideWhenUsed/>
    <w:qFormat/>
    <w:rsid w:val="0009186D"/>
    <w:pPr>
      <w:spacing w:after="0"/>
      <w:ind w:left="220"/>
    </w:pPr>
    <w:rPr>
      <w:rFonts w:cstheme="minorHAnsi"/>
      <w:sz w:val="20"/>
      <w:szCs w:val="20"/>
    </w:rPr>
  </w:style>
  <w:style w:type="paragraph" w:styleId="Verzeichnis4">
    <w:name w:val="toc 4"/>
    <w:basedOn w:val="Standard"/>
    <w:next w:val="Standard"/>
    <w:autoRedefine/>
    <w:uiPriority w:val="39"/>
    <w:unhideWhenUsed/>
    <w:rsid w:val="0009186D"/>
    <w:pPr>
      <w:spacing w:after="0"/>
      <w:ind w:left="440"/>
    </w:pPr>
    <w:rPr>
      <w:rFonts w:cstheme="minorHAnsi"/>
      <w:sz w:val="20"/>
      <w:szCs w:val="20"/>
    </w:rPr>
  </w:style>
  <w:style w:type="paragraph" w:styleId="Verzeichnis5">
    <w:name w:val="toc 5"/>
    <w:basedOn w:val="Standard"/>
    <w:next w:val="Standard"/>
    <w:autoRedefine/>
    <w:uiPriority w:val="39"/>
    <w:unhideWhenUsed/>
    <w:rsid w:val="0009186D"/>
    <w:pPr>
      <w:spacing w:after="0"/>
      <w:ind w:left="660"/>
    </w:pPr>
    <w:rPr>
      <w:rFonts w:cstheme="minorHAnsi"/>
      <w:sz w:val="20"/>
      <w:szCs w:val="20"/>
    </w:rPr>
  </w:style>
  <w:style w:type="paragraph" w:styleId="Verzeichnis6">
    <w:name w:val="toc 6"/>
    <w:basedOn w:val="Standard"/>
    <w:next w:val="Standard"/>
    <w:autoRedefine/>
    <w:uiPriority w:val="39"/>
    <w:unhideWhenUsed/>
    <w:rsid w:val="0009186D"/>
    <w:pPr>
      <w:spacing w:after="0"/>
      <w:ind w:left="880"/>
    </w:pPr>
    <w:rPr>
      <w:rFonts w:cstheme="minorHAnsi"/>
      <w:sz w:val="20"/>
      <w:szCs w:val="20"/>
    </w:rPr>
  </w:style>
  <w:style w:type="paragraph" w:styleId="Verzeichnis7">
    <w:name w:val="toc 7"/>
    <w:basedOn w:val="Standard"/>
    <w:next w:val="Standard"/>
    <w:autoRedefine/>
    <w:uiPriority w:val="39"/>
    <w:unhideWhenUsed/>
    <w:rsid w:val="0009186D"/>
    <w:pPr>
      <w:spacing w:after="0"/>
      <w:ind w:left="1100"/>
    </w:pPr>
    <w:rPr>
      <w:rFonts w:cstheme="minorHAnsi"/>
      <w:sz w:val="20"/>
      <w:szCs w:val="20"/>
    </w:rPr>
  </w:style>
  <w:style w:type="paragraph" w:styleId="Verzeichnis8">
    <w:name w:val="toc 8"/>
    <w:basedOn w:val="Standard"/>
    <w:next w:val="Standard"/>
    <w:autoRedefine/>
    <w:uiPriority w:val="39"/>
    <w:unhideWhenUsed/>
    <w:rsid w:val="0009186D"/>
    <w:pPr>
      <w:spacing w:after="0"/>
      <w:ind w:left="1320"/>
    </w:pPr>
    <w:rPr>
      <w:rFonts w:cstheme="minorHAnsi"/>
      <w:sz w:val="20"/>
      <w:szCs w:val="20"/>
    </w:rPr>
  </w:style>
  <w:style w:type="paragraph" w:styleId="Verzeichnis9">
    <w:name w:val="toc 9"/>
    <w:basedOn w:val="Standard"/>
    <w:next w:val="Standard"/>
    <w:autoRedefine/>
    <w:uiPriority w:val="39"/>
    <w:unhideWhenUsed/>
    <w:rsid w:val="0009186D"/>
    <w:pPr>
      <w:spacing w:after="0"/>
      <w:ind w:left="1540"/>
    </w:pPr>
    <w:rPr>
      <w:rFonts w:cstheme="minorHAnsi"/>
      <w:sz w:val="20"/>
      <w:szCs w:val="20"/>
    </w:rPr>
  </w:style>
  <w:style w:type="character" w:styleId="Hyperlink">
    <w:name w:val="Hyperlink"/>
    <w:basedOn w:val="Absatz-Standardschriftart"/>
    <w:uiPriority w:val="99"/>
    <w:unhideWhenUsed/>
    <w:rsid w:val="0009186D"/>
    <w:rPr>
      <w:color w:val="0000FF" w:themeColor="hyperlink"/>
      <w:u w:val="single"/>
    </w:rPr>
  </w:style>
  <w:style w:type="paragraph" w:styleId="Inhaltsverzeichnisberschrift">
    <w:name w:val="TOC Heading"/>
    <w:basedOn w:val="berschrift1"/>
    <w:next w:val="Standard"/>
    <w:uiPriority w:val="39"/>
    <w:semiHidden/>
    <w:unhideWhenUsed/>
    <w:qFormat/>
    <w:rsid w:val="0009186D"/>
    <w:pPr>
      <w:outlineLvl w:val="9"/>
    </w:pPr>
    <w:rPr>
      <w:lang w:val="de-DE" w:eastAsia="de-DE"/>
    </w:rPr>
  </w:style>
  <w:style w:type="character" w:customStyle="1" w:styleId="berschrift3Zchn">
    <w:name w:val="Überschrift 3 Zchn"/>
    <w:basedOn w:val="Absatz-Standardschriftart"/>
    <w:link w:val="berschrift3"/>
    <w:uiPriority w:val="9"/>
    <w:rsid w:val="00102B90"/>
    <w:rPr>
      <w:rFonts w:asciiTheme="majorHAnsi" w:eastAsiaTheme="majorEastAsia" w:hAnsiTheme="majorHAnsi" w:cstheme="majorBidi"/>
      <w:b/>
      <w:bCs/>
      <w:color w:val="4F81BD" w:themeColor="accent1"/>
      <w:lang w:val="en-GB"/>
    </w:rPr>
  </w:style>
  <w:style w:type="paragraph" w:styleId="Kopfzeile">
    <w:name w:val="header"/>
    <w:basedOn w:val="Standard"/>
    <w:link w:val="KopfzeileZchn"/>
    <w:uiPriority w:val="99"/>
    <w:unhideWhenUsed/>
    <w:rsid w:val="00F22501"/>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F22501"/>
    <w:rPr>
      <w:lang w:val="en-GB"/>
    </w:rPr>
  </w:style>
  <w:style w:type="paragraph" w:styleId="Fuzeile">
    <w:name w:val="footer"/>
    <w:basedOn w:val="Standard"/>
    <w:link w:val="FuzeileZchn"/>
    <w:uiPriority w:val="99"/>
    <w:unhideWhenUsed/>
    <w:rsid w:val="00F22501"/>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F22501"/>
    <w:rPr>
      <w:lang w:val="en-GB"/>
    </w:rPr>
  </w:style>
  <w:style w:type="character" w:styleId="Platzhaltertext">
    <w:name w:val="Placeholder Text"/>
    <w:basedOn w:val="Absatz-Standardschriftart"/>
    <w:uiPriority w:val="99"/>
    <w:semiHidden/>
    <w:rsid w:val="00BF5C69"/>
    <w:rPr>
      <w:color w:val="808080"/>
    </w:rPr>
  </w:style>
  <w:style w:type="paragraph" w:styleId="Abbildungsverzeichnis">
    <w:name w:val="table of figures"/>
    <w:basedOn w:val="Standard"/>
    <w:next w:val="Standard"/>
    <w:uiPriority w:val="99"/>
    <w:unhideWhenUsed/>
    <w:rsid w:val="00F051AC"/>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72747">
      <w:bodyDiv w:val="1"/>
      <w:marLeft w:val="0"/>
      <w:marRight w:val="0"/>
      <w:marTop w:val="0"/>
      <w:marBottom w:val="0"/>
      <w:divBdr>
        <w:top w:val="none" w:sz="0" w:space="0" w:color="auto"/>
        <w:left w:val="none" w:sz="0" w:space="0" w:color="auto"/>
        <w:bottom w:val="none" w:sz="0" w:space="0" w:color="auto"/>
        <w:right w:val="none" w:sz="0" w:space="0" w:color="auto"/>
      </w:divBdr>
    </w:div>
    <w:div w:id="38895524">
      <w:bodyDiv w:val="1"/>
      <w:marLeft w:val="0"/>
      <w:marRight w:val="0"/>
      <w:marTop w:val="0"/>
      <w:marBottom w:val="0"/>
      <w:divBdr>
        <w:top w:val="none" w:sz="0" w:space="0" w:color="auto"/>
        <w:left w:val="none" w:sz="0" w:space="0" w:color="auto"/>
        <w:bottom w:val="none" w:sz="0" w:space="0" w:color="auto"/>
        <w:right w:val="none" w:sz="0" w:space="0" w:color="auto"/>
      </w:divBdr>
    </w:div>
    <w:div w:id="42216241">
      <w:bodyDiv w:val="1"/>
      <w:marLeft w:val="0"/>
      <w:marRight w:val="0"/>
      <w:marTop w:val="0"/>
      <w:marBottom w:val="0"/>
      <w:divBdr>
        <w:top w:val="none" w:sz="0" w:space="0" w:color="auto"/>
        <w:left w:val="none" w:sz="0" w:space="0" w:color="auto"/>
        <w:bottom w:val="none" w:sz="0" w:space="0" w:color="auto"/>
        <w:right w:val="none" w:sz="0" w:space="0" w:color="auto"/>
      </w:divBdr>
      <w:divsChild>
        <w:div w:id="1089304316">
          <w:marLeft w:val="0"/>
          <w:marRight w:val="0"/>
          <w:marTop w:val="0"/>
          <w:marBottom w:val="0"/>
          <w:divBdr>
            <w:top w:val="none" w:sz="0" w:space="0" w:color="auto"/>
            <w:left w:val="none" w:sz="0" w:space="0" w:color="auto"/>
            <w:bottom w:val="none" w:sz="0" w:space="0" w:color="auto"/>
            <w:right w:val="none" w:sz="0" w:space="0" w:color="auto"/>
          </w:divBdr>
        </w:div>
        <w:div w:id="1489322428">
          <w:marLeft w:val="0"/>
          <w:marRight w:val="0"/>
          <w:marTop w:val="0"/>
          <w:marBottom w:val="0"/>
          <w:divBdr>
            <w:top w:val="none" w:sz="0" w:space="0" w:color="auto"/>
            <w:left w:val="none" w:sz="0" w:space="0" w:color="auto"/>
            <w:bottom w:val="none" w:sz="0" w:space="0" w:color="auto"/>
            <w:right w:val="none" w:sz="0" w:space="0" w:color="auto"/>
          </w:divBdr>
        </w:div>
        <w:div w:id="1850607589">
          <w:marLeft w:val="0"/>
          <w:marRight w:val="0"/>
          <w:marTop w:val="0"/>
          <w:marBottom w:val="0"/>
          <w:divBdr>
            <w:top w:val="none" w:sz="0" w:space="0" w:color="auto"/>
            <w:left w:val="none" w:sz="0" w:space="0" w:color="auto"/>
            <w:bottom w:val="none" w:sz="0" w:space="0" w:color="auto"/>
            <w:right w:val="none" w:sz="0" w:space="0" w:color="auto"/>
          </w:divBdr>
        </w:div>
        <w:div w:id="2002810853">
          <w:marLeft w:val="0"/>
          <w:marRight w:val="0"/>
          <w:marTop w:val="0"/>
          <w:marBottom w:val="0"/>
          <w:divBdr>
            <w:top w:val="none" w:sz="0" w:space="0" w:color="auto"/>
            <w:left w:val="none" w:sz="0" w:space="0" w:color="auto"/>
            <w:bottom w:val="none" w:sz="0" w:space="0" w:color="auto"/>
            <w:right w:val="none" w:sz="0" w:space="0" w:color="auto"/>
          </w:divBdr>
        </w:div>
        <w:div w:id="1202749157">
          <w:marLeft w:val="0"/>
          <w:marRight w:val="0"/>
          <w:marTop w:val="0"/>
          <w:marBottom w:val="0"/>
          <w:divBdr>
            <w:top w:val="none" w:sz="0" w:space="0" w:color="auto"/>
            <w:left w:val="none" w:sz="0" w:space="0" w:color="auto"/>
            <w:bottom w:val="none" w:sz="0" w:space="0" w:color="auto"/>
            <w:right w:val="none" w:sz="0" w:space="0" w:color="auto"/>
          </w:divBdr>
        </w:div>
        <w:div w:id="1123377555">
          <w:marLeft w:val="0"/>
          <w:marRight w:val="0"/>
          <w:marTop w:val="0"/>
          <w:marBottom w:val="0"/>
          <w:divBdr>
            <w:top w:val="none" w:sz="0" w:space="0" w:color="auto"/>
            <w:left w:val="none" w:sz="0" w:space="0" w:color="auto"/>
            <w:bottom w:val="none" w:sz="0" w:space="0" w:color="auto"/>
            <w:right w:val="none" w:sz="0" w:space="0" w:color="auto"/>
          </w:divBdr>
        </w:div>
        <w:div w:id="2075198344">
          <w:marLeft w:val="0"/>
          <w:marRight w:val="0"/>
          <w:marTop w:val="0"/>
          <w:marBottom w:val="0"/>
          <w:divBdr>
            <w:top w:val="none" w:sz="0" w:space="0" w:color="auto"/>
            <w:left w:val="none" w:sz="0" w:space="0" w:color="auto"/>
            <w:bottom w:val="none" w:sz="0" w:space="0" w:color="auto"/>
            <w:right w:val="none" w:sz="0" w:space="0" w:color="auto"/>
          </w:divBdr>
        </w:div>
        <w:div w:id="1968775540">
          <w:marLeft w:val="0"/>
          <w:marRight w:val="0"/>
          <w:marTop w:val="0"/>
          <w:marBottom w:val="0"/>
          <w:divBdr>
            <w:top w:val="none" w:sz="0" w:space="0" w:color="auto"/>
            <w:left w:val="none" w:sz="0" w:space="0" w:color="auto"/>
            <w:bottom w:val="none" w:sz="0" w:space="0" w:color="auto"/>
            <w:right w:val="none" w:sz="0" w:space="0" w:color="auto"/>
          </w:divBdr>
        </w:div>
      </w:divsChild>
    </w:div>
    <w:div w:id="56322058">
      <w:bodyDiv w:val="1"/>
      <w:marLeft w:val="0"/>
      <w:marRight w:val="0"/>
      <w:marTop w:val="0"/>
      <w:marBottom w:val="0"/>
      <w:divBdr>
        <w:top w:val="none" w:sz="0" w:space="0" w:color="auto"/>
        <w:left w:val="none" w:sz="0" w:space="0" w:color="auto"/>
        <w:bottom w:val="none" w:sz="0" w:space="0" w:color="auto"/>
        <w:right w:val="none" w:sz="0" w:space="0" w:color="auto"/>
      </w:divBdr>
    </w:div>
    <w:div w:id="163517289">
      <w:bodyDiv w:val="1"/>
      <w:marLeft w:val="0"/>
      <w:marRight w:val="0"/>
      <w:marTop w:val="0"/>
      <w:marBottom w:val="0"/>
      <w:divBdr>
        <w:top w:val="none" w:sz="0" w:space="0" w:color="auto"/>
        <w:left w:val="none" w:sz="0" w:space="0" w:color="auto"/>
        <w:bottom w:val="none" w:sz="0" w:space="0" w:color="auto"/>
        <w:right w:val="none" w:sz="0" w:space="0" w:color="auto"/>
      </w:divBdr>
    </w:div>
    <w:div w:id="330640352">
      <w:bodyDiv w:val="1"/>
      <w:marLeft w:val="0"/>
      <w:marRight w:val="0"/>
      <w:marTop w:val="0"/>
      <w:marBottom w:val="0"/>
      <w:divBdr>
        <w:top w:val="none" w:sz="0" w:space="0" w:color="auto"/>
        <w:left w:val="none" w:sz="0" w:space="0" w:color="auto"/>
        <w:bottom w:val="none" w:sz="0" w:space="0" w:color="auto"/>
        <w:right w:val="none" w:sz="0" w:space="0" w:color="auto"/>
      </w:divBdr>
    </w:div>
    <w:div w:id="389809944">
      <w:bodyDiv w:val="1"/>
      <w:marLeft w:val="0"/>
      <w:marRight w:val="0"/>
      <w:marTop w:val="0"/>
      <w:marBottom w:val="0"/>
      <w:divBdr>
        <w:top w:val="none" w:sz="0" w:space="0" w:color="auto"/>
        <w:left w:val="none" w:sz="0" w:space="0" w:color="auto"/>
        <w:bottom w:val="none" w:sz="0" w:space="0" w:color="auto"/>
        <w:right w:val="none" w:sz="0" w:space="0" w:color="auto"/>
      </w:divBdr>
    </w:div>
    <w:div w:id="420956857">
      <w:bodyDiv w:val="1"/>
      <w:marLeft w:val="0"/>
      <w:marRight w:val="0"/>
      <w:marTop w:val="0"/>
      <w:marBottom w:val="0"/>
      <w:divBdr>
        <w:top w:val="none" w:sz="0" w:space="0" w:color="auto"/>
        <w:left w:val="none" w:sz="0" w:space="0" w:color="auto"/>
        <w:bottom w:val="none" w:sz="0" w:space="0" w:color="auto"/>
        <w:right w:val="none" w:sz="0" w:space="0" w:color="auto"/>
      </w:divBdr>
    </w:div>
    <w:div w:id="509108150">
      <w:bodyDiv w:val="1"/>
      <w:marLeft w:val="0"/>
      <w:marRight w:val="0"/>
      <w:marTop w:val="0"/>
      <w:marBottom w:val="0"/>
      <w:divBdr>
        <w:top w:val="none" w:sz="0" w:space="0" w:color="auto"/>
        <w:left w:val="none" w:sz="0" w:space="0" w:color="auto"/>
        <w:bottom w:val="none" w:sz="0" w:space="0" w:color="auto"/>
        <w:right w:val="none" w:sz="0" w:space="0" w:color="auto"/>
      </w:divBdr>
    </w:div>
    <w:div w:id="588001761">
      <w:bodyDiv w:val="1"/>
      <w:marLeft w:val="0"/>
      <w:marRight w:val="0"/>
      <w:marTop w:val="0"/>
      <w:marBottom w:val="0"/>
      <w:divBdr>
        <w:top w:val="none" w:sz="0" w:space="0" w:color="auto"/>
        <w:left w:val="none" w:sz="0" w:space="0" w:color="auto"/>
        <w:bottom w:val="none" w:sz="0" w:space="0" w:color="auto"/>
        <w:right w:val="none" w:sz="0" w:space="0" w:color="auto"/>
      </w:divBdr>
    </w:div>
    <w:div w:id="740325755">
      <w:bodyDiv w:val="1"/>
      <w:marLeft w:val="0"/>
      <w:marRight w:val="0"/>
      <w:marTop w:val="0"/>
      <w:marBottom w:val="0"/>
      <w:divBdr>
        <w:top w:val="none" w:sz="0" w:space="0" w:color="auto"/>
        <w:left w:val="none" w:sz="0" w:space="0" w:color="auto"/>
        <w:bottom w:val="none" w:sz="0" w:space="0" w:color="auto"/>
        <w:right w:val="none" w:sz="0" w:space="0" w:color="auto"/>
      </w:divBdr>
    </w:div>
    <w:div w:id="765885079">
      <w:bodyDiv w:val="1"/>
      <w:marLeft w:val="0"/>
      <w:marRight w:val="0"/>
      <w:marTop w:val="0"/>
      <w:marBottom w:val="0"/>
      <w:divBdr>
        <w:top w:val="none" w:sz="0" w:space="0" w:color="auto"/>
        <w:left w:val="none" w:sz="0" w:space="0" w:color="auto"/>
        <w:bottom w:val="none" w:sz="0" w:space="0" w:color="auto"/>
        <w:right w:val="none" w:sz="0" w:space="0" w:color="auto"/>
      </w:divBdr>
    </w:div>
    <w:div w:id="807666777">
      <w:bodyDiv w:val="1"/>
      <w:marLeft w:val="0"/>
      <w:marRight w:val="0"/>
      <w:marTop w:val="0"/>
      <w:marBottom w:val="0"/>
      <w:divBdr>
        <w:top w:val="none" w:sz="0" w:space="0" w:color="auto"/>
        <w:left w:val="none" w:sz="0" w:space="0" w:color="auto"/>
        <w:bottom w:val="none" w:sz="0" w:space="0" w:color="auto"/>
        <w:right w:val="none" w:sz="0" w:space="0" w:color="auto"/>
      </w:divBdr>
    </w:div>
    <w:div w:id="876620398">
      <w:bodyDiv w:val="1"/>
      <w:marLeft w:val="0"/>
      <w:marRight w:val="0"/>
      <w:marTop w:val="0"/>
      <w:marBottom w:val="0"/>
      <w:divBdr>
        <w:top w:val="none" w:sz="0" w:space="0" w:color="auto"/>
        <w:left w:val="none" w:sz="0" w:space="0" w:color="auto"/>
        <w:bottom w:val="none" w:sz="0" w:space="0" w:color="auto"/>
        <w:right w:val="none" w:sz="0" w:space="0" w:color="auto"/>
      </w:divBdr>
    </w:div>
    <w:div w:id="882787637">
      <w:bodyDiv w:val="1"/>
      <w:marLeft w:val="0"/>
      <w:marRight w:val="0"/>
      <w:marTop w:val="0"/>
      <w:marBottom w:val="0"/>
      <w:divBdr>
        <w:top w:val="none" w:sz="0" w:space="0" w:color="auto"/>
        <w:left w:val="none" w:sz="0" w:space="0" w:color="auto"/>
        <w:bottom w:val="none" w:sz="0" w:space="0" w:color="auto"/>
        <w:right w:val="none" w:sz="0" w:space="0" w:color="auto"/>
      </w:divBdr>
    </w:div>
    <w:div w:id="934633802">
      <w:bodyDiv w:val="1"/>
      <w:marLeft w:val="0"/>
      <w:marRight w:val="0"/>
      <w:marTop w:val="0"/>
      <w:marBottom w:val="0"/>
      <w:divBdr>
        <w:top w:val="none" w:sz="0" w:space="0" w:color="auto"/>
        <w:left w:val="none" w:sz="0" w:space="0" w:color="auto"/>
        <w:bottom w:val="none" w:sz="0" w:space="0" w:color="auto"/>
        <w:right w:val="none" w:sz="0" w:space="0" w:color="auto"/>
      </w:divBdr>
    </w:div>
    <w:div w:id="958686206">
      <w:bodyDiv w:val="1"/>
      <w:marLeft w:val="0"/>
      <w:marRight w:val="0"/>
      <w:marTop w:val="0"/>
      <w:marBottom w:val="0"/>
      <w:divBdr>
        <w:top w:val="none" w:sz="0" w:space="0" w:color="auto"/>
        <w:left w:val="none" w:sz="0" w:space="0" w:color="auto"/>
        <w:bottom w:val="none" w:sz="0" w:space="0" w:color="auto"/>
        <w:right w:val="none" w:sz="0" w:space="0" w:color="auto"/>
      </w:divBdr>
    </w:div>
    <w:div w:id="979962890">
      <w:bodyDiv w:val="1"/>
      <w:marLeft w:val="0"/>
      <w:marRight w:val="0"/>
      <w:marTop w:val="0"/>
      <w:marBottom w:val="0"/>
      <w:divBdr>
        <w:top w:val="none" w:sz="0" w:space="0" w:color="auto"/>
        <w:left w:val="none" w:sz="0" w:space="0" w:color="auto"/>
        <w:bottom w:val="none" w:sz="0" w:space="0" w:color="auto"/>
        <w:right w:val="none" w:sz="0" w:space="0" w:color="auto"/>
      </w:divBdr>
    </w:div>
    <w:div w:id="1064522366">
      <w:bodyDiv w:val="1"/>
      <w:marLeft w:val="0"/>
      <w:marRight w:val="0"/>
      <w:marTop w:val="0"/>
      <w:marBottom w:val="0"/>
      <w:divBdr>
        <w:top w:val="none" w:sz="0" w:space="0" w:color="auto"/>
        <w:left w:val="none" w:sz="0" w:space="0" w:color="auto"/>
        <w:bottom w:val="none" w:sz="0" w:space="0" w:color="auto"/>
        <w:right w:val="none" w:sz="0" w:space="0" w:color="auto"/>
      </w:divBdr>
    </w:div>
    <w:div w:id="1084957666">
      <w:bodyDiv w:val="1"/>
      <w:marLeft w:val="0"/>
      <w:marRight w:val="0"/>
      <w:marTop w:val="0"/>
      <w:marBottom w:val="0"/>
      <w:divBdr>
        <w:top w:val="none" w:sz="0" w:space="0" w:color="auto"/>
        <w:left w:val="none" w:sz="0" w:space="0" w:color="auto"/>
        <w:bottom w:val="none" w:sz="0" w:space="0" w:color="auto"/>
        <w:right w:val="none" w:sz="0" w:space="0" w:color="auto"/>
      </w:divBdr>
    </w:div>
    <w:div w:id="1105078342">
      <w:bodyDiv w:val="1"/>
      <w:marLeft w:val="0"/>
      <w:marRight w:val="0"/>
      <w:marTop w:val="0"/>
      <w:marBottom w:val="0"/>
      <w:divBdr>
        <w:top w:val="none" w:sz="0" w:space="0" w:color="auto"/>
        <w:left w:val="none" w:sz="0" w:space="0" w:color="auto"/>
        <w:bottom w:val="none" w:sz="0" w:space="0" w:color="auto"/>
        <w:right w:val="none" w:sz="0" w:space="0" w:color="auto"/>
      </w:divBdr>
    </w:div>
    <w:div w:id="1109085227">
      <w:bodyDiv w:val="1"/>
      <w:marLeft w:val="0"/>
      <w:marRight w:val="0"/>
      <w:marTop w:val="0"/>
      <w:marBottom w:val="0"/>
      <w:divBdr>
        <w:top w:val="none" w:sz="0" w:space="0" w:color="auto"/>
        <w:left w:val="none" w:sz="0" w:space="0" w:color="auto"/>
        <w:bottom w:val="none" w:sz="0" w:space="0" w:color="auto"/>
        <w:right w:val="none" w:sz="0" w:space="0" w:color="auto"/>
      </w:divBdr>
    </w:div>
    <w:div w:id="1159730061">
      <w:bodyDiv w:val="1"/>
      <w:marLeft w:val="0"/>
      <w:marRight w:val="0"/>
      <w:marTop w:val="0"/>
      <w:marBottom w:val="0"/>
      <w:divBdr>
        <w:top w:val="none" w:sz="0" w:space="0" w:color="auto"/>
        <w:left w:val="none" w:sz="0" w:space="0" w:color="auto"/>
        <w:bottom w:val="none" w:sz="0" w:space="0" w:color="auto"/>
        <w:right w:val="none" w:sz="0" w:space="0" w:color="auto"/>
      </w:divBdr>
    </w:div>
    <w:div w:id="1233857100">
      <w:bodyDiv w:val="1"/>
      <w:marLeft w:val="0"/>
      <w:marRight w:val="0"/>
      <w:marTop w:val="0"/>
      <w:marBottom w:val="0"/>
      <w:divBdr>
        <w:top w:val="none" w:sz="0" w:space="0" w:color="auto"/>
        <w:left w:val="none" w:sz="0" w:space="0" w:color="auto"/>
        <w:bottom w:val="none" w:sz="0" w:space="0" w:color="auto"/>
        <w:right w:val="none" w:sz="0" w:space="0" w:color="auto"/>
      </w:divBdr>
    </w:div>
    <w:div w:id="1348947838">
      <w:bodyDiv w:val="1"/>
      <w:marLeft w:val="0"/>
      <w:marRight w:val="0"/>
      <w:marTop w:val="0"/>
      <w:marBottom w:val="0"/>
      <w:divBdr>
        <w:top w:val="none" w:sz="0" w:space="0" w:color="auto"/>
        <w:left w:val="none" w:sz="0" w:space="0" w:color="auto"/>
        <w:bottom w:val="none" w:sz="0" w:space="0" w:color="auto"/>
        <w:right w:val="none" w:sz="0" w:space="0" w:color="auto"/>
      </w:divBdr>
    </w:div>
    <w:div w:id="1452700465">
      <w:bodyDiv w:val="1"/>
      <w:marLeft w:val="0"/>
      <w:marRight w:val="0"/>
      <w:marTop w:val="0"/>
      <w:marBottom w:val="0"/>
      <w:divBdr>
        <w:top w:val="none" w:sz="0" w:space="0" w:color="auto"/>
        <w:left w:val="none" w:sz="0" w:space="0" w:color="auto"/>
        <w:bottom w:val="none" w:sz="0" w:space="0" w:color="auto"/>
        <w:right w:val="none" w:sz="0" w:space="0" w:color="auto"/>
      </w:divBdr>
    </w:div>
    <w:div w:id="1523401774">
      <w:bodyDiv w:val="1"/>
      <w:marLeft w:val="0"/>
      <w:marRight w:val="0"/>
      <w:marTop w:val="0"/>
      <w:marBottom w:val="0"/>
      <w:divBdr>
        <w:top w:val="none" w:sz="0" w:space="0" w:color="auto"/>
        <w:left w:val="none" w:sz="0" w:space="0" w:color="auto"/>
        <w:bottom w:val="none" w:sz="0" w:space="0" w:color="auto"/>
        <w:right w:val="none" w:sz="0" w:space="0" w:color="auto"/>
      </w:divBdr>
    </w:div>
    <w:div w:id="1556820411">
      <w:bodyDiv w:val="1"/>
      <w:marLeft w:val="0"/>
      <w:marRight w:val="0"/>
      <w:marTop w:val="0"/>
      <w:marBottom w:val="0"/>
      <w:divBdr>
        <w:top w:val="none" w:sz="0" w:space="0" w:color="auto"/>
        <w:left w:val="none" w:sz="0" w:space="0" w:color="auto"/>
        <w:bottom w:val="none" w:sz="0" w:space="0" w:color="auto"/>
        <w:right w:val="none" w:sz="0" w:space="0" w:color="auto"/>
      </w:divBdr>
    </w:div>
    <w:div w:id="1671369394">
      <w:bodyDiv w:val="1"/>
      <w:marLeft w:val="0"/>
      <w:marRight w:val="0"/>
      <w:marTop w:val="0"/>
      <w:marBottom w:val="0"/>
      <w:divBdr>
        <w:top w:val="none" w:sz="0" w:space="0" w:color="auto"/>
        <w:left w:val="none" w:sz="0" w:space="0" w:color="auto"/>
        <w:bottom w:val="none" w:sz="0" w:space="0" w:color="auto"/>
        <w:right w:val="none" w:sz="0" w:space="0" w:color="auto"/>
      </w:divBdr>
    </w:div>
    <w:div w:id="1819305019">
      <w:bodyDiv w:val="1"/>
      <w:marLeft w:val="0"/>
      <w:marRight w:val="0"/>
      <w:marTop w:val="0"/>
      <w:marBottom w:val="0"/>
      <w:divBdr>
        <w:top w:val="none" w:sz="0" w:space="0" w:color="auto"/>
        <w:left w:val="none" w:sz="0" w:space="0" w:color="auto"/>
        <w:bottom w:val="none" w:sz="0" w:space="0" w:color="auto"/>
        <w:right w:val="none" w:sz="0" w:space="0" w:color="auto"/>
      </w:divBdr>
    </w:div>
    <w:div w:id="1926069936">
      <w:bodyDiv w:val="1"/>
      <w:marLeft w:val="0"/>
      <w:marRight w:val="0"/>
      <w:marTop w:val="0"/>
      <w:marBottom w:val="0"/>
      <w:divBdr>
        <w:top w:val="none" w:sz="0" w:space="0" w:color="auto"/>
        <w:left w:val="none" w:sz="0" w:space="0" w:color="auto"/>
        <w:bottom w:val="none" w:sz="0" w:space="0" w:color="auto"/>
        <w:right w:val="none" w:sz="0" w:space="0" w:color="auto"/>
      </w:divBdr>
    </w:div>
    <w:div w:id="1936475128">
      <w:bodyDiv w:val="1"/>
      <w:marLeft w:val="0"/>
      <w:marRight w:val="0"/>
      <w:marTop w:val="0"/>
      <w:marBottom w:val="0"/>
      <w:divBdr>
        <w:top w:val="none" w:sz="0" w:space="0" w:color="auto"/>
        <w:left w:val="none" w:sz="0" w:space="0" w:color="auto"/>
        <w:bottom w:val="none" w:sz="0" w:space="0" w:color="auto"/>
        <w:right w:val="none" w:sz="0" w:space="0" w:color="auto"/>
      </w:divBdr>
    </w:div>
    <w:div w:id="2077774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2.png"/><Relationship Id="rId117" Type="http://schemas.openxmlformats.org/officeDocument/2006/relationships/image" Target="media/image57.png"/><Relationship Id="rId21" Type="http://schemas.openxmlformats.org/officeDocument/2006/relationships/image" Target="media/image8.png"/><Relationship Id="rId42" Type="http://schemas.openxmlformats.org/officeDocument/2006/relationships/image" Target="media/image22.png"/><Relationship Id="rId47" Type="http://schemas.openxmlformats.org/officeDocument/2006/relationships/header" Target="header15.xml"/><Relationship Id="rId63" Type="http://schemas.openxmlformats.org/officeDocument/2006/relationships/image" Target="media/image34.png"/><Relationship Id="rId68" Type="http://schemas.openxmlformats.org/officeDocument/2006/relationships/image" Target="media/image36.png"/><Relationship Id="rId84" Type="http://schemas.openxmlformats.org/officeDocument/2006/relationships/header" Target="header29.xml"/><Relationship Id="rId89" Type="http://schemas.openxmlformats.org/officeDocument/2006/relationships/header" Target="header32.xml"/><Relationship Id="rId112" Type="http://schemas.openxmlformats.org/officeDocument/2006/relationships/image" Target="media/image52.png"/><Relationship Id="rId133" Type="http://schemas.openxmlformats.org/officeDocument/2006/relationships/image" Target="media/image71.png"/><Relationship Id="rId138" Type="http://schemas.openxmlformats.org/officeDocument/2006/relationships/image" Target="media/image76.png"/><Relationship Id="rId16" Type="http://schemas.openxmlformats.org/officeDocument/2006/relationships/image" Target="media/image4.png"/><Relationship Id="rId107" Type="http://schemas.openxmlformats.org/officeDocument/2006/relationships/header" Target="header50.xml"/><Relationship Id="rId11" Type="http://schemas.openxmlformats.org/officeDocument/2006/relationships/header" Target="header1.xml"/><Relationship Id="rId32" Type="http://schemas.openxmlformats.org/officeDocument/2006/relationships/image" Target="media/image16.png"/><Relationship Id="rId37" Type="http://schemas.openxmlformats.org/officeDocument/2006/relationships/image" Target="media/image19.png"/><Relationship Id="rId53" Type="http://schemas.openxmlformats.org/officeDocument/2006/relationships/header" Target="header17.xml"/><Relationship Id="rId58" Type="http://schemas.openxmlformats.org/officeDocument/2006/relationships/image" Target="media/image30.png"/><Relationship Id="rId74" Type="http://schemas.openxmlformats.org/officeDocument/2006/relationships/image" Target="media/image40.png"/><Relationship Id="rId79" Type="http://schemas.openxmlformats.org/officeDocument/2006/relationships/image" Target="media/image43.png"/><Relationship Id="rId102" Type="http://schemas.openxmlformats.org/officeDocument/2006/relationships/header" Target="header45.xml"/><Relationship Id="rId123" Type="http://schemas.openxmlformats.org/officeDocument/2006/relationships/header" Target="header51.xml"/><Relationship Id="rId128" Type="http://schemas.openxmlformats.org/officeDocument/2006/relationships/image" Target="media/image66.png"/><Relationship Id="rId144" Type="http://schemas.openxmlformats.org/officeDocument/2006/relationships/theme" Target="theme/theme1.xml"/><Relationship Id="rId5" Type="http://schemas.openxmlformats.org/officeDocument/2006/relationships/settings" Target="settings.xml"/><Relationship Id="rId90" Type="http://schemas.openxmlformats.org/officeDocument/2006/relationships/header" Target="header33.xml"/><Relationship Id="rId95" Type="http://schemas.openxmlformats.org/officeDocument/2006/relationships/header" Target="header38.xml"/><Relationship Id="rId22" Type="http://schemas.openxmlformats.org/officeDocument/2006/relationships/image" Target="media/image9.png"/><Relationship Id="rId27" Type="http://schemas.openxmlformats.org/officeDocument/2006/relationships/header" Target="header5.xml"/><Relationship Id="rId43" Type="http://schemas.openxmlformats.org/officeDocument/2006/relationships/header" Target="header11.xml"/><Relationship Id="rId48" Type="http://schemas.openxmlformats.org/officeDocument/2006/relationships/image" Target="media/image23.png"/><Relationship Id="rId64" Type="http://schemas.openxmlformats.org/officeDocument/2006/relationships/image" Target="media/image35.png"/><Relationship Id="rId69" Type="http://schemas.openxmlformats.org/officeDocument/2006/relationships/image" Target="media/image37.png"/><Relationship Id="rId113" Type="http://schemas.openxmlformats.org/officeDocument/2006/relationships/image" Target="media/image53.png"/><Relationship Id="rId118" Type="http://schemas.openxmlformats.org/officeDocument/2006/relationships/image" Target="media/image58.png"/><Relationship Id="rId134" Type="http://schemas.openxmlformats.org/officeDocument/2006/relationships/image" Target="media/image72.png"/><Relationship Id="rId139" Type="http://schemas.openxmlformats.org/officeDocument/2006/relationships/image" Target="media/image77.png"/><Relationship Id="rId8" Type="http://schemas.openxmlformats.org/officeDocument/2006/relationships/endnotes" Target="endnotes.xml"/><Relationship Id="rId51" Type="http://schemas.openxmlformats.org/officeDocument/2006/relationships/image" Target="media/image26.png"/><Relationship Id="rId72" Type="http://schemas.openxmlformats.org/officeDocument/2006/relationships/header" Target="header24.xml"/><Relationship Id="rId80" Type="http://schemas.openxmlformats.org/officeDocument/2006/relationships/header" Target="header27.xml"/><Relationship Id="rId85" Type="http://schemas.openxmlformats.org/officeDocument/2006/relationships/image" Target="media/image46.png"/><Relationship Id="rId93" Type="http://schemas.openxmlformats.org/officeDocument/2006/relationships/header" Target="header36.xml"/><Relationship Id="rId98" Type="http://schemas.openxmlformats.org/officeDocument/2006/relationships/header" Target="header41.xml"/><Relationship Id="rId121" Type="http://schemas.openxmlformats.org/officeDocument/2006/relationships/image" Target="media/image61.png"/><Relationship Id="rId142" Type="http://schemas.openxmlformats.org/officeDocument/2006/relationships/header" Target="header54.xml"/><Relationship Id="rId3"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5.png"/><Relationship Id="rId25" Type="http://schemas.openxmlformats.org/officeDocument/2006/relationships/header" Target="header4.xml"/><Relationship Id="rId33" Type="http://schemas.openxmlformats.org/officeDocument/2006/relationships/header" Target="header7.xml"/><Relationship Id="rId38" Type="http://schemas.openxmlformats.org/officeDocument/2006/relationships/header" Target="header9.xml"/><Relationship Id="rId46" Type="http://schemas.openxmlformats.org/officeDocument/2006/relationships/header" Target="header14.xml"/><Relationship Id="rId59" Type="http://schemas.openxmlformats.org/officeDocument/2006/relationships/image" Target="media/image31.png"/><Relationship Id="rId67" Type="http://schemas.openxmlformats.org/officeDocument/2006/relationships/header" Target="header22.xml"/><Relationship Id="rId103" Type="http://schemas.openxmlformats.org/officeDocument/2006/relationships/header" Target="header46.xml"/><Relationship Id="rId108" Type="http://schemas.openxmlformats.org/officeDocument/2006/relationships/image" Target="media/image48.png"/><Relationship Id="rId116" Type="http://schemas.openxmlformats.org/officeDocument/2006/relationships/image" Target="media/image56.png"/><Relationship Id="rId124" Type="http://schemas.openxmlformats.org/officeDocument/2006/relationships/header" Target="header52.xml"/><Relationship Id="rId129" Type="http://schemas.openxmlformats.org/officeDocument/2006/relationships/image" Target="media/image67.png"/><Relationship Id="rId137" Type="http://schemas.openxmlformats.org/officeDocument/2006/relationships/image" Target="media/image75.png"/><Relationship Id="rId20" Type="http://schemas.openxmlformats.org/officeDocument/2006/relationships/image" Target="media/image7.png"/><Relationship Id="rId41" Type="http://schemas.openxmlformats.org/officeDocument/2006/relationships/image" Target="media/image21.png"/><Relationship Id="rId54" Type="http://schemas.openxmlformats.org/officeDocument/2006/relationships/image" Target="media/image27.png"/><Relationship Id="rId62" Type="http://schemas.openxmlformats.org/officeDocument/2006/relationships/image" Target="media/image33.png"/><Relationship Id="rId70" Type="http://schemas.openxmlformats.org/officeDocument/2006/relationships/header" Target="header23.xml"/><Relationship Id="rId75" Type="http://schemas.openxmlformats.org/officeDocument/2006/relationships/image" Target="media/image41.png"/><Relationship Id="rId83" Type="http://schemas.openxmlformats.org/officeDocument/2006/relationships/image" Target="media/image45.png"/><Relationship Id="rId88" Type="http://schemas.openxmlformats.org/officeDocument/2006/relationships/header" Target="header31.xml"/><Relationship Id="rId91" Type="http://schemas.openxmlformats.org/officeDocument/2006/relationships/header" Target="header34.xml"/><Relationship Id="rId96" Type="http://schemas.openxmlformats.org/officeDocument/2006/relationships/header" Target="header39.xml"/><Relationship Id="rId111" Type="http://schemas.openxmlformats.org/officeDocument/2006/relationships/image" Target="media/image51.png"/><Relationship Id="rId132" Type="http://schemas.openxmlformats.org/officeDocument/2006/relationships/image" Target="media/image70.png"/><Relationship Id="rId140" Type="http://schemas.openxmlformats.org/officeDocument/2006/relationships/hyperlink" Target="http://www.plantcell.org/cgi/doi/10.1105/tpc.112.103564"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image" Target="media/image10.png"/><Relationship Id="rId28" Type="http://schemas.openxmlformats.org/officeDocument/2006/relationships/image" Target="media/image13.png"/><Relationship Id="rId36" Type="http://schemas.openxmlformats.org/officeDocument/2006/relationships/header" Target="header8.xml"/><Relationship Id="rId49" Type="http://schemas.openxmlformats.org/officeDocument/2006/relationships/image" Target="media/image24.png"/><Relationship Id="rId57" Type="http://schemas.openxmlformats.org/officeDocument/2006/relationships/header" Target="header18.xml"/><Relationship Id="rId106" Type="http://schemas.openxmlformats.org/officeDocument/2006/relationships/header" Target="header49.xml"/><Relationship Id="rId114" Type="http://schemas.openxmlformats.org/officeDocument/2006/relationships/image" Target="media/image54.png"/><Relationship Id="rId119" Type="http://schemas.openxmlformats.org/officeDocument/2006/relationships/image" Target="media/image59.png"/><Relationship Id="rId127" Type="http://schemas.openxmlformats.org/officeDocument/2006/relationships/image" Target="media/image65.png"/><Relationship Id="rId10" Type="http://schemas.openxmlformats.org/officeDocument/2006/relationships/footer" Target="footer2.xml"/><Relationship Id="rId31" Type="http://schemas.openxmlformats.org/officeDocument/2006/relationships/image" Target="media/image15.png"/><Relationship Id="rId44" Type="http://schemas.openxmlformats.org/officeDocument/2006/relationships/header" Target="header12.xml"/><Relationship Id="rId52" Type="http://schemas.openxmlformats.org/officeDocument/2006/relationships/header" Target="header16.xml"/><Relationship Id="rId60" Type="http://schemas.openxmlformats.org/officeDocument/2006/relationships/image" Target="media/image32.png"/><Relationship Id="rId65" Type="http://schemas.openxmlformats.org/officeDocument/2006/relationships/header" Target="header20.xml"/><Relationship Id="rId73" Type="http://schemas.openxmlformats.org/officeDocument/2006/relationships/image" Target="media/image39.png"/><Relationship Id="rId78" Type="http://schemas.openxmlformats.org/officeDocument/2006/relationships/image" Target="media/image42.png"/><Relationship Id="rId81" Type="http://schemas.openxmlformats.org/officeDocument/2006/relationships/header" Target="header28.xml"/><Relationship Id="rId86" Type="http://schemas.openxmlformats.org/officeDocument/2006/relationships/header" Target="header30.xml"/><Relationship Id="rId94" Type="http://schemas.openxmlformats.org/officeDocument/2006/relationships/header" Target="header37.xml"/><Relationship Id="rId99" Type="http://schemas.openxmlformats.org/officeDocument/2006/relationships/header" Target="header42.xml"/><Relationship Id="rId101" Type="http://schemas.openxmlformats.org/officeDocument/2006/relationships/header" Target="header44.xml"/><Relationship Id="rId122" Type="http://schemas.openxmlformats.org/officeDocument/2006/relationships/image" Target="media/image62.png"/><Relationship Id="rId130" Type="http://schemas.openxmlformats.org/officeDocument/2006/relationships/image" Target="media/image68.png"/><Relationship Id="rId135" Type="http://schemas.openxmlformats.org/officeDocument/2006/relationships/image" Target="media/image73.png"/><Relationship Id="rId143"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 Id="rId13" Type="http://schemas.openxmlformats.org/officeDocument/2006/relationships/header" Target="header2.xml"/><Relationship Id="rId18" Type="http://schemas.openxmlformats.org/officeDocument/2006/relationships/header" Target="header3.xml"/><Relationship Id="rId39" Type="http://schemas.openxmlformats.org/officeDocument/2006/relationships/header" Target="header10.xml"/><Relationship Id="rId109" Type="http://schemas.openxmlformats.org/officeDocument/2006/relationships/image" Target="media/image49.png"/><Relationship Id="rId34" Type="http://schemas.openxmlformats.org/officeDocument/2006/relationships/image" Target="media/image17.png"/><Relationship Id="rId50" Type="http://schemas.openxmlformats.org/officeDocument/2006/relationships/image" Target="media/image25.png"/><Relationship Id="rId55" Type="http://schemas.openxmlformats.org/officeDocument/2006/relationships/image" Target="media/image28.png"/><Relationship Id="rId76" Type="http://schemas.openxmlformats.org/officeDocument/2006/relationships/header" Target="header25.xml"/><Relationship Id="rId97" Type="http://schemas.openxmlformats.org/officeDocument/2006/relationships/header" Target="header40.xml"/><Relationship Id="rId104" Type="http://schemas.openxmlformats.org/officeDocument/2006/relationships/header" Target="header47.xml"/><Relationship Id="rId120" Type="http://schemas.openxmlformats.org/officeDocument/2006/relationships/image" Target="media/image60.png"/><Relationship Id="rId125" Type="http://schemas.openxmlformats.org/officeDocument/2006/relationships/image" Target="media/image63.png"/><Relationship Id="rId141" Type="http://schemas.openxmlformats.org/officeDocument/2006/relationships/header" Target="header53.xml"/><Relationship Id="rId7" Type="http://schemas.openxmlformats.org/officeDocument/2006/relationships/footnotes" Target="footnotes.xml"/><Relationship Id="rId71" Type="http://schemas.openxmlformats.org/officeDocument/2006/relationships/image" Target="media/image38.png"/><Relationship Id="rId92" Type="http://schemas.openxmlformats.org/officeDocument/2006/relationships/header" Target="header35.xml"/><Relationship Id="rId2" Type="http://schemas.openxmlformats.org/officeDocument/2006/relationships/numbering" Target="numbering.xml"/><Relationship Id="rId29" Type="http://schemas.openxmlformats.org/officeDocument/2006/relationships/header" Target="header6.xml"/><Relationship Id="rId24" Type="http://schemas.openxmlformats.org/officeDocument/2006/relationships/image" Target="media/image11.png"/><Relationship Id="rId40" Type="http://schemas.openxmlformats.org/officeDocument/2006/relationships/image" Target="media/image20.png"/><Relationship Id="rId45" Type="http://schemas.openxmlformats.org/officeDocument/2006/relationships/header" Target="header13.xml"/><Relationship Id="rId66" Type="http://schemas.openxmlformats.org/officeDocument/2006/relationships/header" Target="header21.xml"/><Relationship Id="rId87" Type="http://schemas.openxmlformats.org/officeDocument/2006/relationships/image" Target="media/image47.png"/><Relationship Id="rId110" Type="http://schemas.openxmlformats.org/officeDocument/2006/relationships/image" Target="media/image50.png"/><Relationship Id="rId115" Type="http://schemas.openxmlformats.org/officeDocument/2006/relationships/image" Target="media/image55.png"/><Relationship Id="rId131" Type="http://schemas.openxmlformats.org/officeDocument/2006/relationships/image" Target="media/image69.png"/><Relationship Id="rId136" Type="http://schemas.openxmlformats.org/officeDocument/2006/relationships/image" Target="media/image74.png"/><Relationship Id="rId61" Type="http://schemas.openxmlformats.org/officeDocument/2006/relationships/header" Target="header19.xml"/><Relationship Id="rId82" Type="http://schemas.openxmlformats.org/officeDocument/2006/relationships/image" Target="media/image44.png"/><Relationship Id="rId19" Type="http://schemas.openxmlformats.org/officeDocument/2006/relationships/image" Target="media/image6.png"/><Relationship Id="rId14" Type="http://schemas.openxmlformats.org/officeDocument/2006/relationships/image" Target="media/image2.png"/><Relationship Id="rId30" Type="http://schemas.openxmlformats.org/officeDocument/2006/relationships/image" Target="media/image14.png"/><Relationship Id="rId35" Type="http://schemas.openxmlformats.org/officeDocument/2006/relationships/image" Target="media/image18.png"/><Relationship Id="rId56" Type="http://schemas.openxmlformats.org/officeDocument/2006/relationships/image" Target="media/image29.png"/><Relationship Id="rId77" Type="http://schemas.openxmlformats.org/officeDocument/2006/relationships/header" Target="header26.xml"/><Relationship Id="rId100" Type="http://schemas.openxmlformats.org/officeDocument/2006/relationships/header" Target="header43.xml"/><Relationship Id="rId105" Type="http://schemas.openxmlformats.org/officeDocument/2006/relationships/header" Target="header48.xml"/><Relationship Id="rId126" Type="http://schemas.openxmlformats.org/officeDocument/2006/relationships/image" Target="media/image64.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Klassisch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6DCD06-08BA-4360-8B92-ECB549FDAC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171</Pages>
  <Words>46398</Words>
  <Characters>292311</Characters>
  <Application>Microsoft Office Word</Application>
  <DocSecurity>0</DocSecurity>
  <Lines>2435</Lines>
  <Paragraphs>676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338033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dc:creator>
  <cp:lastModifiedBy>Anne</cp:lastModifiedBy>
  <cp:revision>174</cp:revision>
  <cp:lastPrinted>2015-05-14T18:13:00Z</cp:lastPrinted>
  <dcterms:created xsi:type="dcterms:W3CDTF">2015-05-04T09:50:00Z</dcterms:created>
  <dcterms:modified xsi:type="dcterms:W3CDTF">2015-11-18T13:52:00Z</dcterms:modified>
</cp:coreProperties>
</file>